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F" w:rsidRDefault="00DF0E01" w:rsidP="00860EDF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Motion 12-2</w:t>
      </w:r>
      <w:r w:rsidR="001A0AEE">
        <w:rPr>
          <w:b/>
          <w:sz w:val="24"/>
          <w:szCs w:val="24"/>
        </w:rPr>
        <w:t xml:space="preserve">  </w:t>
      </w:r>
      <w:r w:rsidR="001A0AEE" w:rsidRPr="001A0AEE">
        <w:rPr>
          <w:b/>
          <w:sz w:val="24"/>
          <w:szCs w:val="24"/>
        </w:rPr>
        <w:t xml:space="preserve"> </w:t>
      </w:r>
      <w:r w:rsidR="001A0AEE">
        <w:rPr>
          <w:b/>
          <w:sz w:val="24"/>
          <w:szCs w:val="24"/>
        </w:rPr>
        <w:t xml:space="preserve">Attachment A </w:t>
      </w:r>
    </w:p>
    <w:p w:rsidR="00DF0E01" w:rsidRDefault="00DF0E01" w:rsidP="00860EDF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Policies and Text Relating to the Siting of Facilities and Services</w:t>
      </w:r>
    </w:p>
    <w:p w:rsidR="00DF0E01" w:rsidRDefault="00DF0E01" w:rsidP="00860EDF">
      <w:pPr>
        <w:spacing w:after="0"/>
        <w:ind w:left="720" w:hanging="720"/>
        <w:rPr>
          <w:b/>
          <w:sz w:val="24"/>
          <w:szCs w:val="24"/>
        </w:rPr>
      </w:pPr>
    </w:p>
    <w:p w:rsidR="00103B0F" w:rsidRPr="00103B0F" w:rsidRDefault="00103B0F" w:rsidP="00860EDF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103B0F">
        <w:rPr>
          <w:b/>
          <w:sz w:val="24"/>
          <w:szCs w:val="24"/>
        </w:rPr>
        <w:t xml:space="preserve">n page </w:t>
      </w:r>
      <w:r>
        <w:rPr>
          <w:b/>
          <w:sz w:val="24"/>
          <w:szCs w:val="24"/>
        </w:rPr>
        <w:t>27, after Policy DP-49, insert the following:</w:t>
      </w:r>
    </w:p>
    <w:p w:rsidR="001D101A" w:rsidRPr="007C3B9F" w:rsidRDefault="001D101A" w:rsidP="00DF0E01">
      <w:pPr>
        <w:spacing w:after="0"/>
        <w:rPr>
          <w:u w:val="single"/>
        </w:rPr>
      </w:pPr>
      <w:r w:rsidRPr="007C3B9F">
        <w:rPr>
          <w:b/>
          <w:u w:val="single"/>
        </w:rPr>
        <w:t>DP-50</w:t>
      </w:r>
      <w:r w:rsidRPr="007C3B9F">
        <w:rPr>
          <w:u w:val="single"/>
        </w:rPr>
        <w:tab/>
      </w:r>
      <w:r w:rsidR="00C61244">
        <w:rPr>
          <w:u w:val="single"/>
        </w:rPr>
        <w:t xml:space="preserve">Except as provided in Appendix </w:t>
      </w:r>
      <w:r w:rsidR="007A5C56">
        <w:rPr>
          <w:u w:val="single"/>
        </w:rPr>
        <w:t>5</w:t>
      </w:r>
      <w:r w:rsidR="00C61244">
        <w:rPr>
          <w:u w:val="single"/>
        </w:rPr>
        <w:t xml:space="preserve"> (March 31, 2012 School Siting Task Force Report), l</w:t>
      </w:r>
      <w:r w:rsidRPr="007C3B9F">
        <w:rPr>
          <w:u w:val="single"/>
        </w:rPr>
        <w:t>imit new nonresidential uses located in the Rural Area</w:t>
      </w:r>
      <w:r w:rsidR="00714A72" w:rsidRPr="007C3B9F">
        <w:rPr>
          <w:u w:val="single"/>
        </w:rPr>
        <w:t xml:space="preserve"> </w:t>
      </w:r>
      <w:r w:rsidRPr="007C3B9F">
        <w:rPr>
          <w:u w:val="single"/>
        </w:rPr>
        <w:t xml:space="preserve">to </w:t>
      </w:r>
      <w:r w:rsidR="00103B0F">
        <w:rPr>
          <w:u w:val="single"/>
        </w:rPr>
        <w:t xml:space="preserve">those that </w:t>
      </w:r>
      <w:r w:rsidR="00AD64A7">
        <w:rPr>
          <w:u w:val="single"/>
        </w:rPr>
        <w:t xml:space="preserve">are demonstrated to </w:t>
      </w:r>
      <w:r w:rsidR="00103B0F">
        <w:rPr>
          <w:u w:val="single"/>
        </w:rPr>
        <w:t>serve the Rural Area, unless the use is dependent upon a rural location. Such uses shall be of a size, scale, and nature that is consistent with rural character.</w:t>
      </w:r>
    </w:p>
    <w:p w:rsidR="00860EDF" w:rsidRDefault="00860EDF" w:rsidP="001D101A">
      <w:pPr>
        <w:ind w:left="720" w:hanging="720"/>
      </w:pPr>
    </w:p>
    <w:p w:rsidR="00860EDF" w:rsidRDefault="00842527" w:rsidP="00842527">
      <w:pPr>
        <w:spacing w:after="0"/>
        <w:ind w:left="720" w:hanging="720"/>
        <w:rPr>
          <w:b/>
          <w:sz w:val="24"/>
          <w:szCs w:val="24"/>
        </w:rPr>
      </w:pPr>
      <w:r w:rsidRPr="00842527">
        <w:rPr>
          <w:b/>
          <w:sz w:val="24"/>
          <w:szCs w:val="24"/>
        </w:rPr>
        <w:t>On page</w:t>
      </w:r>
      <w:r w:rsidR="000E295A">
        <w:rPr>
          <w:b/>
          <w:sz w:val="24"/>
          <w:szCs w:val="24"/>
        </w:rPr>
        <w:t xml:space="preserve"> </w:t>
      </w:r>
      <w:r w:rsidRPr="00842527">
        <w:rPr>
          <w:b/>
          <w:sz w:val="24"/>
          <w:szCs w:val="24"/>
        </w:rPr>
        <w:t>46, after policy PF-11, insert the following:</w:t>
      </w:r>
    </w:p>
    <w:p w:rsidR="00264B79" w:rsidRPr="007C3B9F" w:rsidRDefault="00A162B0" w:rsidP="001D101A">
      <w:pPr>
        <w:ind w:left="720" w:hanging="720"/>
        <w:rPr>
          <w:u w:val="single"/>
        </w:rPr>
      </w:pPr>
      <w:r w:rsidRPr="007C3B9F">
        <w:rPr>
          <w:b/>
          <w:u w:val="single"/>
        </w:rPr>
        <w:t>PF-12</w:t>
      </w:r>
      <w:r w:rsidRPr="007C3B9F">
        <w:rPr>
          <w:u w:val="single"/>
        </w:rPr>
        <w:tab/>
      </w:r>
      <w:r w:rsidR="00C737AD" w:rsidRPr="007C3B9F">
        <w:rPr>
          <w:u w:val="single"/>
        </w:rPr>
        <w:t xml:space="preserve">Prohibit </w:t>
      </w:r>
      <w:r w:rsidR="00C31A3D" w:rsidRPr="007C3B9F">
        <w:rPr>
          <w:u w:val="single"/>
        </w:rPr>
        <w:t>sewer</w:t>
      </w:r>
      <w:r w:rsidR="00264B79" w:rsidRPr="007C3B9F">
        <w:rPr>
          <w:u w:val="single"/>
        </w:rPr>
        <w:t xml:space="preserve"> service</w:t>
      </w:r>
      <w:r w:rsidR="00C737AD" w:rsidRPr="007C3B9F">
        <w:rPr>
          <w:u w:val="single"/>
        </w:rPr>
        <w:t xml:space="preserve"> in the</w:t>
      </w:r>
      <w:r w:rsidR="00E73868" w:rsidRPr="007C3B9F">
        <w:rPr>
          <w:u w:val="single"/>
        </w:rPr>
        <w:t xml:space="preserve"> Rural A</w:t>
      </w:r>
      <w:r w:rsidR="00C737AD" w:rsidRPr="007C3B9F">
        <w:rPr>
          <w:u w:val="single"/>
        </w:rPr>
        <w:t>rea</w:t>
      </w:r>
      <w:r w:rsidRPr="007C3B9F">
        <w:rPr>
          <w:u w:val="single"/>
        </w:rPr>
        <w:t xml:space="preserve"> </w:t>
      </w:r>
      <w:r w:rsidR="00E73868" w:rsidRPr="007C3B9F">
        <w:rPr>
          <w:u w:val="single"/>
        </w:rPr>
        <w:t xml:space="preserve">and </w:t>
      </w:r>
      <w:r w:rsidR="00F415FA">
        <w:rPr>
          <w:u w:val="single"/>
        </w:rPr>
        <w:t xml:space="preserve">on </w:t>
      </w:r>
      <w:r w:rsidR="00E73868" w:rsidRPr="007C3B9F">
        <w:rPr>
          <w:u w:val="single"/>
        </w:rPr>
        <w:t>Resource Lands except</w:t>
      </w:r>
      <w:r w:rsidR="00264B79" w:rsidRPr="007C3B9F">
        <w:rPr>
          <w:u w:val="single"/>
        </w:rPr>
        <w:t>:</w:t>
      </w:r>
    </w:p>
    <w:p w:rsidR="00264B79" w:rsidRPr="009D73A0" w:rsidRDefault="00A162B0" w:rsidP="009D73A0">
      <w:pPr>
        <w:pStyle w:val="ListParagraph"/>
        <w:numPr>
          <w:ilvl w:val="0"/>
          <w:numId w:val="2"/>
        </w:numPr>
        <w:rPr>
          <w:u w:val="single"/>
        </w:rPr>
      </w:pPr>
      <w:r w:rsidRPr="009D73A0">
        <w:rPr>
          <w:u w:val="single"/>
        </w:rPr>
        <w:t xml:space="preserve"> </w:t>
      </w:r>
      <w:r w:rsidR="00E73868" w:rsidRPr="009D73A0">
        <w:rPr>
          <w:u w:val="single"/>
        </w:rPr>
        <w:t>where needed to</w:t>
      </w:r>
      <w:r w:rsidRPr="009D73A0">
        <w:rPr>
          <w:u w:val="single"/>
        </w:rPr>
        <w:t xml:space="preserve"> address </w:t>
      </w:r>
      <w:r w:rsidR="00C31A3D" w:rsidRPr="009D73A0">
        <w:rPr>
          <w:u w:val="single"/>
        </w:rPr>
        <w:t>specific</w:t>
      </w:r>
      <w:r w:rsidRPr="009D73A0">
        <w:rPr>
          <w:u w:val="single"/>
        </w:rPr>
        <w:t xml:space="preserve"> health and safety problems </w:t>
      </w:r>
      <w:r w:rsidR="00E73868" w:rsidRPr="009D73A0">
        <w:rPr>
          <w:u w:val="single"/>
        </w:rPr>
        <w:t>threatening existing structures</w:t>
      </w:r>
      <w:r w:rsidR="00264B79" w:rsidRPr="009D73A0">
        <w:rPr>
          <w:u w:val="single"/>
        </w:rPr>
        <w:t>; or</w:t>
      </w:r>
    </w:p>
    <w:p w:rsidR="00264B79" w:rsidRPr="009D73A0" w:rsidRDefault="00264B79" w:rsidP="009D73A0">
      <w:pPr>
        <w:pStyle w:val="ListParagraph"/>
        <w:numPr>
          <w:ilvl w:val="0"/>
          <w:numId w:val="2"/>
        </w:numPr>
        <w:rPr>
          <w:u w:val="single"/>
        </w:rPr>
      </w:pPr>
      <w:r w:rsidRPr="009D73A0">
        <w:rPr>
          <w:u w:val="single"/>
        </w:rPr>
        <w:t>as allowed by Countywide Planning Policy DP-47; or</w:t>
      </w:r>
    </w:p>
    <w:p w:rsidR="00264B79" w:rsidRPr="009D73A0" w:rsidRDefault="000E295A" w:rsidP="009D73A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as</w:t>
      </w:r>
      <w:proofErr w:type="gramEnd"/>
      <w:r>
        <w:rPr>
          <w:u w:val="single"/>
        </w:rPr>
        <w:t xml:space="preserve"> provided in Appendix </w:t>
      </w:r>
      <w:r w:rsidR="007A5C56">
        <w:rPr>
          <w:u w:val="single"/>
        </w:rPr>
        <w:t>5</w:t>
      </w:r>
      <w:r>
        <w:rPr>
          <w:u w:val="single"/>
        </w:rPr>
        <w:t xml:space="preserve"> (</w:t>
      </w:r>
      <w:r w:rsidR="00C61244">
        <w:rPr>
          <w:u w:val="single"/>
        </w:rPr>
        <w:t xml:space="preserve">March 31, 2012 </w:t>
      </w:r>
      <w:r>
        <w:rPr>
          <w:u w:val="single"/>
        </w:rPr>
        <w:t>School Siting Task Force Report)</w:t>
      </w:r>
      <w:r w:rsidR="00E73868" w:rsidRPr="009D73A0">
        <w:rPr>
          <w:u w:val="single"/>
        </w:rPr>
        <w:t xml:space="preserve">. </w:t>
      </w:r>
    </w:p>
    <w:p w:rsidR="00A162B0" w:rsidRPr="007C3B9F" w:rsidRDefault="00EA2079" w:rsidP="00DF0E01">
      <w:pPr>
        <w:spacing w:after="0" w:line="240" w:lineRule="auto"/>
        <w:rPr>
          <w:u w:val="single"/>
        </w:rPr>
      </w:pPr>
      <w:r>
        <w:rPr>
          <w:u w:val="single"/>
        </w:rPr>
        <w:t>S</w:t>
      </w:r>
      <w:r w:rsidR="00264B79" w:rsidRPr="007C3B9F">
        <w:rPr>
          <w:u w:val="single"/>
        </w:rPr>
        <w:t>ewer service authorized consistent with this policy</w:t>
      </w:r>
      <w:r>
        <w:rPr>
          <w:u w:val="single"/>
        </w:rPr>
        <w:t xml:space="preserve"> shall be</w:t>
      </w:r>
      <w:r w:rsidR="00E73868" w:rsidRPr="007C3B9F">
        <w:rPr>
          <w:u w:val="single"/>
        </w:rPr>
        <w:t xml:space="preserve"> provide</w:t>
      </w:r>
      <w:r>
        <w:rPr>
          <w:u w:val="single"/>
        </w:rPr>
        <w:t>d</w:t>
      </w:r>
      <w:r w:rsidR="00C52AD6" w:rsidRPr="007C3B9F">
        <w:rPr>
          <w:u w:val="single"/>
        </w:rPr>
        <w:t xml:space="preserve"> </w:t>
      </w:r>
      <w:r w:rsidR="00E73868" w:rsidRPr="007C3B9F">
        <w:rPr>
          <w:u w:val="single"/>
        </w:rPr>
        <w:t>in a manner that does not increase development potential</w:t>
      </w:r>
      <w:r w:rsidR="00EC0B38" w:rsidRPr="007C3B9F">
        <w:rPr>
          <w:u w:val="single"/>
        </w:rPr>
        <w:t xml:space="preserve"> in the Rural Area</w:t>
      </w:r>
      <w:r w:rsidR="00E73868" w:rsidRPr="007C3B9F">
        <w:rPr>
          <w:u w:val="single"/>
        </w:rPr>
        <w:t>.</w:t>
      </w:r>
    </w:p>
    <w:p w:rsidR="000E295A" w:rsidRPr="00D97114" w:rsidRDefault="000E295A" w:rsidP="00D97114">
      <w:pPr>
        <w:ind w:left="720" w:hanging="720"/>
      </w:pPr>
    </w:p>
    <w:p w:rsidR="00713F0A" w:rsidRPr="000E295A" w:rsidRDefault="000E295A" w:rsidP="000E295A">
      <w:pPr>
        <w:spacing w:after="0"/>
        <w:ind w:left="720" w:hanging="720"/>
        <w:rPr>
          <w:b/>
          <w:sz w:val="24"/>
          <w:szCs w:val="24"/>
        </w:rPr>
      </w:pPr>
      <w:r w:rsidRPr="000E295A">
        <w:rPr>
          <w:b/>
          <w:sz w:val="24"/>
          <w:szCs w:val="24"/>
        </w:rPr>
        <w:t xml:space="preserve">On page 47, </w:t>
      </w:r>
      <w:r w:rsidR="003A46F5">
        <w:rPr>
          <w:b/>
          <w:sz w:val="24"/>
          <w:szCs w:val="24"/>
        </w:rPr>
        <w:t xml:space="preserve">after policy PF-17, </w:t>
      </w:r>
      <w:r w:rsidR="00DF7A8D">
        <w:rPr>
          <w:b/>
          <w:sz w:val="24"/>
          <w:szCs w:val="24"/>
        </w:rPr>
        <w:t>insert</w:t>
      </w:r>
      <w:r w:rsidR="003A46F5">
        <w:rPr>
          <w:b/>
          <w:sz w:val="24"/>
          <w:szCs w:val="24"/>
        </w:rPr>
        <w:t xml:space="preserve"> the following:</w:t>
      </w:r>
    </w:p>
    <w:p w:rsidR="00344796" w:rsidRPr="006202D4" w:rsidRDefault="006202D4" w:rsidP="007177C2">
      <w:pPr>
        <w:spacing w:after="0"/>
        <w:rPr>
          <w:b/>
          <w:u w:val="single"/>
        </w:rPr>
      </w:pPr>
      <w:r w:rsidRPr="006202D4">
        <w:rPr>
          <w:b/>
          <w:u w:val="single"/>
        </w:rPr>
        <w:t xml:space="preserve">Locating </w:t>
      </w:r>
      <w:r w:rsidR="003A46F5" w:rsidRPr="006202D4">
        <w:rPr>
          <w:b/>
          <w:u w:val="single"/>
        </w:rPr>
        <w:t>Facilities</w:t>
      </w:r>
      <w:r w:rsidRPr="006202D4">
        <w:rPr>
          <w:b/>
          <w:u w:val="single"/>
        </w:rPr>
        <w:t xml:space="preserve"> and Services</w:t>
      </w:r>
    </w:p>
    <w:p w:rsidR="00740406" w:rsidRPr="00DF0E01" w:rsidRDefault="000E43BB" w:rsidP="00436203">
      <w:pPr>
        <w:rPr>
          <w:u w:val="single"/>
        </w:rPr>
      </w:pPr>
      <w:proofErr w:type="gramStart"/>
      <w:r w:rsidRPr="00DF0E01">
        <w:rPr>
          <w:u w:val="single"/>
        </w:rPr>
        <w:t>VISION 2040</w:t>
      </w:r>
      <w:r w:rsidR="00B24502" w:rsidRPr="00DF0E01">
        <w:rPr>
          <w:u w:val="single"/>
        </w:rPr>
        <w:t xml:space="preserve"> calls for a full range of urban services in the Urban Growth Area to support the Regional Growth Strategy, and for limiting the availability of services in the rural area.</w:t>
      </w:r>
      <w:proofErr w:type="gramEnd"/>
      <w:r w:rsidR="00B24502" w:rsidRPr="00DF0E01">
        <w:rPr>
          <w:u w:val="single"/>
        </w:rPr>
        <w:t xml:space="preserve"> </w:t>
      </w:r>
      <w:r w:rsidR="00095C60" w:rsidRPr="00DF0E01">
        <w:rPr>
          <w:u w:val="single"/>
        </w:rPr>
        <w:t xml:space="preserve">In the long term, there is increased efficiency and cost effectiveness </w:t>
      </w:r>
      <w:r w:rsidR="00264B79" w:rsidRPr="00DF0E01">
        <w:rPr>
          <w:u w:val="single"/>
        </w:rPr>
        <w:t>in</w:t>
      </w:r>
      <w:r w:rsidR="00095C60" w:rsidRPr="00DF0E01">
        <w:rPr>
          <w:u w:val="single"/>
        </w:rPr>
        <w:t xml:space="preserve"> siting and operating facilities </w:t>
      </w:r>
      <w:r w:rsidR="000C4B60" w:rsidRPr="00DF0E01">
        <w:rPr>
          <w:u w:val="single"/>
        </w:rPr>
        <w:t xml:space="preserve">and services </w:t>
      </w:r>
      <w:r w:rsidR="00095C60" w:rsidRPr="00DF0E01">
        <w:rPr>
          <w:u w:val="single"/>
        </w:rPr>
        <w:t xml:space="preserve">that serve a primarily urban population within the urban growth area. At the same time, those facilities </w:t>
      </w:r>
      <w:r w:rsidR="008E13AA" w:rsidRPr="00DF0E01">
        <w:rPr>
          <w:u w:val="single"/>
        </w:rPr>
        <w:t xml:space="preserve">and services </w:t>
      </w:r>
      <w:r w:rsidR="00095C60" w:rsidRPr="00DF0E01">
        <w:rPr>
          <w:u w:val="single"/>
        </w:rPr>
        <w:t xml:space="preserve">that primarily benefit rural populations provide a greater benefit when they are </w:t>
      </w:r>
      <w:r w:rsidR="000C4B60" w:rsidRPr="00DF0E01">
        <w:rPr>
          <w:u w:val="single"/>
        </w:rPr>
        <w:t>located</w:t>
      </w:r>
      <w:r w:rsidR="00095C60" w:rsidRPr="00DF0E01">
        <w:rPr>
          <w:u w:val="single"/>
        </w:rPr>
        <w:t xml:space="preserve"> within </w:t>
      </w:r>
      <w:r w:rsidR="00264B79" w:rsidRPr="00DF0E01">
        <w:rPr>
          <w:u w:val="single"/>
        </w:rPr>
        <w:t>neighboring cities and rural towns</w:t>
      </w:r>
      <w:r w:rsidR="00095C60" w:rsidRPr="00DF0E01">
        <w:rPr>
          <w:u w:val="single"/>
        </w:rPr>
        <w:t>.</w:t>
      </w:r>
    </w:p>
    <w:p w:rsidR="00B162CA" w:rsidRPr="00AB2BD2" w:rsidRDefault="00B162CA" w:rsidP="00436203">
      <w:pPr>
        <w:rPr>
          <w:u w:val="single"/>
        </w:rPr>
      </w:pPr>
      <w:r w:rsidRPr="001D312E">
        <w:rPr>
          <w:b/>
          <w:u w:val="single"/>
        </w:rPr>
        <w:t>PF-</w:t>
      </w:r>
      <w:r w:rsidR="009577B7" w:rsidRPr="001D312E">
        <w:rPr>
          <w:b/>
          <w:u w:val="single"/>
        </w:rPr>
        <w:t>18</w:t>
      </w:r>
      <w:r w:rsidRPr="00AB2BD2">
        <w:rPr>
          <w:u w:val="single"/>
        </w:rPr>
        <w:tab/>
      </w:r>
      <w:r w:rsidR="00C96E6F">
        <w:rPr>
          <w:u w:val="single"/>
        </w:rPr>
        <w:t>Locate</w:t>
      </w:r>
      <w:r w:rsidRPr="00AB2BD2">
        <w:rPr>
          <w:u w:val="single"/>
        </w:rPr>
        <w:t xml:space="preserve"> schools, institutions, and other community facilities</w:t>
      </w:r>
      <w:r w:rsidR="001F2E8E">
        <w:rPr>
          <w:u w:val="single"/>
        </w:rPr>
        <w:t xml:space="preserve"> and services </w:t>
      </w:r>
      <w:r w:rsidRPr="00AB2BD2">
        <w:rPr>
          <w:u w:val="single"/>
        </w:rPr>
        <w:t>that primarily serve urban populations within the urban gr</w:t>
      </w:r>
      <w:r w:rsidR="00890BF6">
        <w:rPr>
          <w:u w:val="single"/>
        </w:rPr>
        <w:t>owth area, where they are accessible to the communities they serve</w:t>
      </w:r>
      <w:r w:rsidR="00C61244">
        <w:rPr>
          <w:u w:val="single"/>
        </w:rPr>
        <w:t xml:space="preserve">, except as provided in Appendix </w:t>
      </w:r>
      <w:r w:rsidR="0004647A">
        <w:rPr>
          <w:u w:val="single"/>
        </w:rPr>
        <w:t>5</w:t>
      </w:r>
      <w:r w:rsidR="00C61244">
        <w:rPr>
          <w:u w:val="single"/>
        </w:rPr>
        <w:t xml:space="preserve"> (March 31, 2012 School Siting Task Force Report)</w:t>
      </w:r>
      <w:r w:rsidR="00890BF6">
        <w:rPr>
          <w:u w:val="single"/>
        </w:rPr>
        <w:t xml:space="preserve">. </w:t>
      </w:r>
      <w:r w:rsidR="00C96E6F">
        <w:rPr>
          <w:u w:val="single"/>
        </w:rPr>
        <w:t>Locate</w:t>
      </w:r>
      <w:r w:rsidR="00890BF6">
        <w:rPr>
          <w:u w:val="single"/>
        </w:rPr>
        <w:t xml:space="preserve"> these facilities in </w:t>
      </w:r>
      <w:r w:rsidR="00C96E6F">
        <w:rPr>
          <w:u w:val="single"/>
        </w:rPr>
        <w:t>places</w:t>
      </w:r>
      <w:r w:rsidR="00890BF6">
        <w:rPr>
          <w:u w:val="single"/>
        </w:rPr>
        <w:t xml:space="preserve"> that are well served by transit and pedestrian and bicycle networks.</w:t>
      </w:r>
    </w:p>
    <w:p w:rsidR="00AB7AAB" w:rsidRDefault="00B162CA" w:rsidP="00D97114">
      <w:pPr>
        <w:spacing w:after="0"/>
        <w:rPr>
          <w:u w:val="single"/>
        </w:rPr>
      </w:pPr>
      <w:r w:rsidRPr="001D312E">
        <w:rPr>
          <w:b/>
          <w:u w:val="single"/>
        </w:rPr>
        <w:t>PF-</w:t>
      </w:r>
      <w:r w:rsidR="009577B7" w:rsidRPr="001D312E">
        <w:rPr>
          <w:b/>
          <w:u w:val="single"/>
        </w:rPr>
        <w:t>19</w:t>
      </w:r>
      <w:r w:rsidRPr="00AB2BD2">
        <w:rPr>
          <w:u w:val="single"/>
        </w:rPr>
        <w:tab/>
        <w:t xml:space="preserve">Locate schools, institutions, and other community facilities </w:t>
      </w:r>
      <w:r w:rsidR="001F2E8E">
        <w:rPr>
          <w:u w:val="single"/>
        </w:rPr>
        <w:t xml:space="preserve">and services </w:t>
      </w:r>
      <w:r w:rsidR="0057099B" w:rsidRPr="00AB2BD2">
        <w:rPr>
          <w:u w:val="single"/>
        </w:rPr>
        <w:t xml:space="preserve">primarily </w:t>
      </w:r>
      <w:r w:rsidRPr="00AB2BD2">
        <w:rPr>
          <w:u w:val="single"/>
        </w:rPr>
        <w:t xml:space="preserve">serving rural residents in neighboring cities and </w:t>
      </w:r>
      <w:r w:rsidR="00A12DDD">
        <w:rPr>
          <w:u w:val="single"/>
        </w:rPr>
        <w:t xml:space="preserve">rural </w:t>
      </w:r>
      <w:r w:rsidRPr="00AB2BD2">
        <w:rPr>
          <w:u w:val="single"/>
        </w:rPr>
        <w:t>towns</w:t>
      </w:r>
      <w:r w:rsidR="00A12DDD">
        <w:rPr>
          <w:u w:val="single"/>
        </w:rPr>
        <w:t>,</w:t>
      </w:r>
      <w:r w:rsidRPr="00AB2BD2">
        <w:rPr>
          <w:u w:val="single"/>
        </w:rPr>
        <w:t xml:space="preserve"> </w:t>
      </w:r>
      <w:r w:rsidR="00975938" w:rsidRPr="00AB2BD2">
        <w:rPr>
          <w:u w:val="single"/>
        </w:rPr>
        <w:t>or</w:t>
      </w:r>
      <w:r w:rsidR="00F83E43">
        <w:rPr>
          <w:u w:val="single"/>
        </w:rPr>
        <w:t xml:space="preserve"> as </w:t>
      </w:r>
      <w:r w:rsidR="00166359">
        <w:rPr>
          <w:u w:val="single"/>
        </w:rPr>
        <w:t xml:space="preserve">provided in Appendix </w:t>
      </w:r>
      <w:r w:rsidR="0004647A">
        <w:rPr>
          <w:u w:val="single"/>
        </w:rPr>
        <w:t>5</w:t>
      </w:r>
      <w:r w:rsidR="00166359">
        <w:rPr>
          <w:u w:val="single"/>
        </w:rPr>
        <w:t xml:space="preserve"> (</w:t>
      </w:r>
      <w:r w:rsidR="00C61244">
        <w:rPr>
          <w:u w:val="single"/>
        </w:rPr>
        <w:t xml:space="preserve">March 31, 2012 </w:t>
      </w:r>
      <w:r w:rsidR="00166359">
        <w:rPr>
          <w:u w:val="single"/>
        </w:rPr>
        <w:t>School Siting Task Force Report)</w:t>
      </w:r>
      <w:r w:rsidR="00AB7AAB">
        <w:rPr>
          <w:u w:val="single"/>
        </w:rPr>
        <w:t>.</w:t>
      </w:r>
    </w:p>
    <w:p w:rsidR="00AB7AAB" w:rsidRPr="00D97114" w:rsidRDefault="00AB7AAB" w:rsidP="00D97114">
      <w:pPr>
        <w:ind w:left="720" w:hanging="720"/>
      </w:pPr>
    </w:p>
    <w:p w:rsidR="00AB7AAB" w:rsidRPr="00DF23C6" w:rsidRDefault="00FE0EBE" w:rsidP="00DF23C6">
      <w:pPr>
        <w:spacing w:after="0"/>
        <w:rPr>
          <w:b/>
          <w:sz w:val="24"/>
          <w:szCs w:val="24"/>
        </w:rPr>
      </w:pPr>
      <w:r w:rsidRPr="00DF23C6">
        <w:rPr>
          <w:b/>
          <w:sz w:val="24"/>
          <w:szCs w:val="24"/>
        </w:rPr>
        <w:t>At the end of</w:t>
      </w:r>
      <w:r w:rsidR="00AB7AAB" w:rsidRPr="00DF23C6">
        <w:rPr>
          <w:b/>
          <w:sz w:val="24"/>
          <w:szCs w:val="24"/>
        </w:rPr>
        <w:t xml:space="preserve"> page </w:t>
      </w:r>
      <w:r w:rsidRPr="00DF23C6">
        <w:rPr>
          <w:b/>
          <w:sz w:val="24"/>
          <w:szCs w:val="24"/>
        </w:rPr>
        <w:t>61</w:t>
      </w:r>
      <w:r w:rsidR="00AB7AAB" w:rsidRPr="00DF23C6">
        <w:rPr>
          <w:b/>
          <w:sz w:val="24"/>
          <w:szCs w:val="24"/>
        </w:rPr>
        <w:t xml:space="preserve">, insert a new </w:t>
      </w:r>
      <w:r w:rsidR="0023504F" w:rsidRPr="00DF23C6">
        <w:rPr>
          <w:b/>
          <w:sz w:val="24"/>
          <w:szCs w:val="24"/>
        </w:rPr>
        <w:t>Appendix</w:t>
      </w:r>
      <w:r w:rsidR="00AB7AAB" w:rsidRPr="00DF23C6">
        <w:rPr>
          <w:b/>
          <w:sz w:val="24"/>
          <w:szCs w:val="24"/>
        </w:rPr>
        <w:t xml:space="preserve"> </w:t>
      </w:r>
      <w:r w:rsidR="0023504F" w:rsidRPr="00DF23C6">
        <w:rPr>
          <w:b/>
          <w:sz w:val="24"/>
          <w:szCs w:val="24"/>
        </w:rPr>
        <w:t>5</w:t>
      </w:r>
      <w:r w:rsidR="00AB7AAB" w:rsidRPr="00DF23C6">
        <w:rPr>
          <w:b/>
          <w:sz w:val="24"/>
          <w:szCs w:val="24"/>
        </w:rPr>
        <w:t xml:space="preserve"> (March 31, 2012 School Siting Task Force Report). Include the following text as a preamble to Appendix</w:t>
      </w:r>
      <w:r w:rsidR="0023504F" w:rsidRPr="00DF23C6">
        <w:rPr>
          <w:b/>
          <w:sz w:val="24"/>
          <w:szCs w:val="24"/>
        </w:rPr>
        <w:t xml:space="preserve"> 5</w:t>
      </w:r>
      <w:r w:rsidR="00AB7AAB" w:rsidRPr="00DF23C6">
        <w:rPr>
          <w:b/>
          <w:sz w:val="24"/>
          <w:szCs w:val="24"/>
        </w:rPr>
        <w:t>:</w:t>
      </w:r>
    </w:p>
    <w:p w:rsidR="0023504F" w:rsidRPr="007F288F" w:rsidRDefault="0023504F" w:rsidP="007F288F">
      <w:pPr>
        <w:rPr>
          <w:u w:val="single"/>
        </w:rPr>
      </w:pPr>
      <w:r>
        <w:rPr>
          <w:u w:val="single"/>
        </w:rPr>
        <w:t xml:space="preserve">On </w:t>
      </w:r>
      <w:r w:rsidR="00FE0EBE">
        <w:rPr>
          <w:u w:val="single"/>
        </w:rPr>
        <w:t>March 31, 2012 the School Siting Task Force</w:t>
      </w:r>
      <w:r>
        <w:rPr>
          <w:u w:val="single"/>
        </w:rPr>
        <w:t xml:space="preserve"> issued the following report and recommendations related to </w:t>
      </w:r>
      <w:r w:rsidR="008D7B7A">
        <w:rPr>
          <w:u w:val="single"/>
        </w:rPr>
        <w:t xml:space="preserve">18 undeveloped school sites in King </w:t>
      </w:r>
      <w:proofErr w:type="gramStart"/>
      <w:r w:rsidR="008D7B7A">
        <w:rPr>
          <w:u w:val="single"/>
        </w:rPr>
        <w:t>County,</w:t>
      </w:r>
      <w:proofErr w:type="gramEnd"/>
      <w:r w:rsidR="008D7B7A">
        <w:rPr>
          <w:u w:val="single"/>
        </w:rPr>
        <w:t xml:space="preserve"> and future school siting</w:t>
      </w:r>
      <w:r w:rsidR="007F288F">
        <w:rPr>
          <w:u w:val="single"/>
        </w:rPr>
        <w:t xml:space="preserve">. </w:t>
      </w:r>
      <w:r>
        <w:rPr>
          <w:u w:val="single"/>
        </w:rPr>
        <w:t xml:space="preserve">Countywide Planning Policies DP-50, PF-12, PF-18 and PF-19 contain references to this report, and in particular </w:t>
      </w:r>
      <w:r w:rsidR="007952B4">
        <w:rPr>
          <w:u w:val="single"/>
        </w:rPr>
        <w:t xml:space="preserve">the </w:t>
      </w:r>
      <w:r>
        <w:rPr>
          <w:u w:val="single"/>
        </w:rPr>
        <w:t>Site Specific Solutions</w:t>
      </w:r>
      <w:r w:rsidR="007F288F">
        <w:rPr>
          <w:u w:val="single"/>
        </w:rPr>
        <w:t xml:space="preserve"> table found on</w:t>
      </w:r>
      <w:r>
        <w:rPr>
          <w:u w:val="single"/>
        </w:rPr>
        <w:t xml:space="preserve"> pages 15-19</w:t>
      </w:r>
      <w:r w:rsidR="007F288F">
        <w:rPr>
          <w:u w:val="single"/>
        </w:rPr>
        <w:t>.</w:t>
      </w:r>
    </w:p>
    <w:sectPr w:rsidR="0023504F" w:rsidRPr="007F288F" w:rsidSect="00FF57D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971"/>
    <w:multiLevelType w:val="hybridMultilevel"/>
    <w:tmpl w:val="2F204B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627BB"/>
    <w:multiLevelType w:val="hybridMultilevel"/>
    <w:tmpl w:val="4C9EC716"/>
    <w:lvl w:ilvl="0" w:tplc="B3BE21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F02B3"/>
    <w:multiLevelType w:val="hybridMultilevel"/>
    <w:tmpl w:val="5D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01A"/>
    <w:rsid w:val="0004647A"/>
    <w:rsid w:val="00055EFA"/>
    <w:rsid w:val="00064B5A"/>
    <w:rsid w:val="00095C60"/>
    <w:rsid w:val="000A6EAE"/>
    <w:rsid w:val="000C4B60"/>
    <w:rsid w:val="000E295A"/>
    <w:rsid w:val="000E43BB"/>
    <w:rsid w:val="000F1580"/>
    <w:rsid w:val="00103B0F"/>
    <w:rsid w:val="00166359"/>
    <w:rsid w:val="001A0AEE"/>
    <w:rsid w:val="001C5EB1"/>
    <w:rsid w:val="001D101A"/>
    <w:rsid w:val="001D312E"/>
    <w:rsid w:val="001F2E8E"/>
    <w:rsid w:val="0023504F"/>
    <w:rsid w:val="002403B6"/>
    <w:rsid w:val="0024269D"/>
    <w:rsid w:val="00264B79"/>
    <w:rsid w:val="00265FE8"/>
    <w:rsid w:val="00266CBF"/>
    <w:rsid w:val="00281B69"/>
    <w:rsid w:val="00281F6D"/>
    <w:rsid w:val="0029227C"/>
    <w:rsid w:val="002E3283"/>
    <w:rsid w:val="002F1397"/>
    <w:rsid w:val="003061AE"/>
    <w:rsid w:val="00306547"/>
    <w:rsid w:val="00321925"/>
    <w:rsid w:val="00323C6B"/>
    <w:rsid w:val="00344796"/>
    <w:rsid w:val="00344A32"/>
    <w:rsid w:val="00355206"/>
    <w:rsid w:val="003A46F5"/>
    <w:rsid w:val="0041518D"/>
    <w:rsid w:val="00436203"/>
    <w:rsid w:val="004D35D5"/>
    <w:rsid w:val="004F17B3"/>
    <w:rsid w:val="005004A2"/>
    <w:rsid w:val="00513501"/>
    <w:rsid w:val="00563013"/>
    <w:rsid w:val="0057099B"/>
    <w:rsid w:val="005B3D8D"/>
    <w:rsid w:val="005D18EE"/>
    <w:rsid w:val="005F2123"/>
    <w:rsid w:val="005F3AA3"/>
    <w:rsid w:val="006202D4"/>
    <w:rsid w:val="00674600"/>
    <w:rsid w:val="00682DB4"/>
    <w:rsid w:val="006A20AF"/>
    <w:rsid w:val="006E5509"/>
    <w:rsid w:val="006F5AC1"/>
    <w:rsid w:val="00713F0A"/>
    <w:rsid w:val="00714A72"/>
    <w:rsid w:val="007177C2"/>
    <w:rsid w:val="007321AF"/>
    <w:rsid w:val="00740406"/>
    <w:rsid w:val="007939D4"/>
    <w:rsid w:val="007952B4"/>
    <w:rsid w:val="007A5C56"/>
    <w:rsid w:val="007B0476"/>
    <w:rsid w:val="007C3B9F"/>
    <w:rsid w:val="007F288F"/>
    <w:rsid w:val="00823FFF"/>
    <w:rsid w:val="00831F67"/>
    <w:rsid w:val="00840083"/>
    <w:rsid w:val="00842527"/>
    <w:rsid w:val="00860E6C"/>
    <w:rsid w:val="00860EDF"/>
    <w:rsid w:val="008713D4"/>
    <w:rsid w:val="00890BF6"/>
    <w:rsid w:val="00891CE7"/>
    <w:rsid w:val="00892E89"/>
    <w:rsid w:val="008A4344"/>
    <w:rsid w:val="008D7B7A"/>
    <w:rsid w:val="008E13AA"/>
    <w:rsid w:val="008E3712"/>
    <w:rsid w:val="00910992"/>
    <w:rsid w:val="0093525F"/>
    <w:rsid w:val="009577B7"/>
    <w:rsid w:val="00975938"/>
    <w:rsid w:val="009B5A3F"/>
    <w:rsid w:val="009C040F"/>
    <w:rsid w:val="009D504D"/>
    <w:rsid w:val="009D73A0"/>
    <w:rsid w:val="00A05CC8"/>
    <w:rsid w:val="00A06C45"/>
    <w:rsid w:val="00A12DDD"/>
    <w:rsid w:val="00A162B0"/>
    <w:rsid w:val="00A4606D"/>
    <w:rsid w:val="00A623D4"/>
    <w:rsid w:val="00AA1884"/>
    <w:rsid w:val="00AA3A87"/>
    <w:rsid w:val="00AB2BD2"/>
    <w:rsid w:val="00AB7AAB"/>
    <w:rsid w:val="00AD64A7"/>
    <w:rsid w:val="00AF1337"/>
    <w:rsid w:val="00B10DC0"/>
    <w:rsid w:val="00B162CA"/>
    <w:rsid w:val="00B24502"/>
    <w:rsid w:val="00B32D54"/>
    <w:rsid w:val="00B4350B"/>
    <w:rsid w:val="00B9336E"/>
    <w:rsid w:val="00BA116D"/>
    <w:rsid w:val="00BC1EB4"/>
    <w:rsid w:val="00C14EDC"/>
    <w:rsid w:val="00C24005"/>
    <w:rsid w:val="00C31A3D"/>
    <w:rsid w:val="00C52AD6"/>
    <w:rsid w:val="00C61244"/>
    <w:rsid w:val="00C640FF"/>
    <w:rsid w:val="00C737AD"/>
    <w:rsid w:val="00C96E6F"/>
    <w:rsid w:val="00CB68CE"/>
    <w:rsid w:val="00CB7D34"/>
    <w:rsid w:val="00CD2739"/>
    <w:rsid w:val="00CD5440"/>
    <w:rsid w:val="00D035FB"/>
    <w:rsid w:val="00D1051B"/>
    <w:rsid w:val="00D36C36"/>
    <w:rsid w:val="00D71F3C"/>
    <w:rsid w:val="00D72A55"/>
    <w:rsid w:val="00D97114"/>
    <w:rsid w:val="00DB3BE6"/>
    <w:rsid w:val="00DC371A"/>
    <w:rsid w:val="00DC7CAD"/>
    <w:rsid w:val="00DF0E01"/>
    <w:rsid w:val="00DF23C6"/>
    <w:rsid w:val="00DF7A8D"/>
    <w:rsid w:val="00E73868"/>
    <w:rsid w:val="00EA0186"/>
    <w:rsid w:val="00EA2079"/>
    <w:rsid w:val="00EA2E79"/>
    <w:rsid w:val="00EB602F"/>
    <w:rsid w:val="00EC0B38"/>
    <w:rsid w:val="00ED23ED"/>
    <w:rsid w:val="00F2018A"/>
    <w:rsid w:val="00F33EA8"/>
    <w:rsid w:val="00F415FA"/>
    <w:rsid w:val="00F83E43"/>
    <w:rsid w:val="00FE0EBE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68857-9A73-4727-B6FE-F3236ABB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smithla</dc:creator>
  <cp:lastModifiedBy>wolfka</cp:lastModifiedBy>
  <cp:revision>4</cp:revision>
  <cp:lastPrinted>2012-04-17T21:47:00Z</cp:lastPrinted>
  <dcterms:created xsi:type="dcterms:W3CDTF">2012-05-23T18:30:00Z</dcterms:created>
  <dcterms:modified xsi:type="dcterms:W3CDTF">2012-05-24T21:50:00Z</dcterms:modified>
</cp:coreProperties>
</file>