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6E" w:rsidRDefault="003F156E">
      <w:bookmarkStart w:id="0" w:name="_GoBack"/>
      <w:bookmarkEnd w:id="0"/>
    </w:p>
    <w:p w:rsidR="003F156E" w:rsidRDefault="003F156E">
      <w:pPr>
        <w:pStyle w:val="Header"/>
        <w:tabs>
          <w:tab w:val="clear" w:pos="4320"/>
          <w:tab w:val="clear" w:pos="8640"/>
        </w:tabs>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5040"/>
      </w:tblGrid>
      <w:tr w:rsidR="003F156E">
        <w:tblPrEx>
          <w:tblCellMar>
            <w:top w:w="0" w:type="dxa"/>
            <w:bottom w:w="0" w:type="dxa"/>
          </w:tblCellMar>
        </w:tblPrEx>
        <w:tc>
          <w:tcPr>
            <w:tcW w:w="4590" w:type="dxa"/>
            <w:tcBorders>
              <w:top w:val="single" w:sz="6" w:space="0" w:color="FFFFFF"/>
              <w:left w:val="single" w:sz="6" w:space="0" w:color="FFFFFF"/>
              <w:bottom w:val="single" w:sz="6" w:space="0" w:color="000000"/>
              <w:right w:val="single" w:sz="6" w:space="0" w:color="FFFFFF"/>
            </w:tcBorders>
          </w:tcPr>
          <w:p w:rsidR="003F156E" w:rsidRDefault="003F156E">
            <w:pPr>
              <w:widowControl w:val="0"/>
              <w:spacing w:line="144" w:lineRule="exact"/>
              <w:rPr>
                <w:rFonts w:ascii="Arial" w:hAnsi="Arial"/>
                <w:b/>
                <w:sz w:val="24"/>
              </w:rPr>
            </w:pPr>
          </w:p>
          <w:p w:rsidR="003F156E" w:rsidRDefault="003F156E">
            <w:pPr>
              <w:widowControl w:val="0"/>
              <w:spacing w:line="240" w:lineRule="exact"/>
              <w:rPr>
                <w:rFonts w:ascii="Arial" w:hAnsi="Arial"/>
                <w:b/>
                <w:sz w:val="24"/>
              </w:rPr>
            </w:pPr>
          </w:p>
          <w:p w:rsidR="003F156E" w:rsidRDefault="003F156E">
            <w:pPr>
              <w:widowControl w:val="0"/>
              <w:spacing w:line="240" w:lineRule="exact"/>
              <w:ind w:left="2160"/>
              <w:rPr>
                <w:rFonts w:ascii="Arial" w:hAnsi="Arial"/>
                <w:b/>
                <w:sz w:val="24"/>
              </w:rPr>
            </w:pPr>
            <w:r>
              <w:rPr>
                <w:rFonts w:ascii="Arial" w:hAnsi="Arial"/>
                <w:b/>
                <w:sz w:val="24"/>
              </w:rPr>
              <w:t>PLAINTIFF(S),</w:t>
            </w:r>
          </w:p>
          <w:p w:rsidR="003F156E" w:rsidRDefault="003F156E">
            <w:pPr>
              <w:widowControl w:val="0"/>
              <w:spacing w:line="240" w:lineRule="exact"/>
              <w:rPr>
                <w:rFonts w:ascii="Arial" w:hAnsi="Arial"/>
                <w:b/>
                <w:sz w:val="24"/>
              </w:rPr>
            </w:pPr>
            <w:r>
              <w:rPr>
                <w:rFonts w:ascii="Arial" w:hAnsi="Arial"/>
                <w:b/>
                <w:sz w:val="24"/>
              </w:rPr>
              <w:t>vs.</w:t>
            </w:r>
          </w:p>
          <w:p w:rsidR="003F156E" w:rsidRDefault="003F156E">
            <w:pPr>
              <w:widowControl w:val="0"/>
              <w:spacing w:line="240" w:lineRule="exact"/>
              <w:rPr>
                <w:rFonts w:ascii="Arial" w:hAnsi="Arial"/>
                <w:b/>
                <w:sz w:val="24"/>
              </w:rPr>
            </w:pPr>
          </w:p>
          <w:p w:rsidR="003F156E" w:rsidRDefault="003F156E">
            <w:pPr>
              <w:widowControl w:val="0"/>
              <w:spacing w:after="19" w:line="240" w:lineRule="exact"/>
              <w:ind w:left="2160"/>
              <w:rPr>
                <w:rFonts w:ascii="Arial" w:hAnsi="Arial"/>
                <w:b/>
                <w:sz w:val="24"/>
              </w:rPr>
            </w:pPr>
            <w:r>
              <w:rPr>
                <w:rFonts w:ascii="Arial" w:hAnsi="Arial"/>
                <w:b/>
                <w:sz w:val="24"/>
              </w:rPr>
              <w:t>DEFENDANT(S).</w:t>
            </w:r>
          </w:p>
        </w:tc>
        <w:tc>
          <w:tcPr>
            <w:tcW w:w="5040" w:type="dxa"/>
            <w:tcBorders>
              <w:top w:val="single" w:sz="6" w:space="0" w:color="FFFFFF"/>
              <w:left w:val="single" w:sz="6" w:space="0" w:color="000000"/>
              <w:bottom w:val="single" w:sz="6" w:space="0" w:color="FFFFFF"/>
              <w:right w:val="single" w:sz="6" w:space="0" w:color="FFFFFF"/>
            </w:tcBorders>
          </w:tcPr>
          <w:p w:rsidR="003F156E" w:rsidRDefault="003F156E">
            <w:pPr>
              <w:widowControl w:val="0"/>
              <w:spacing w:line="240" w:lineRule="exact"/>
              <w:rPr>
                <w:rFonts w:ascii="Arial" w:hAnsi="Arial"/>
                <w:b/>
                <w:sz w:val="24"/>
              </w:rPr>
            </w:pPr>
            <w:r>
              <w:rPr>
                <w:rFonts w:ascii="Arial" w:hAnsi="Arial"/>
                <w:b/>
                <w:sz w:val="24"/>
              </w:rPr>
              <w:t xml:space="preserve">     NO.</w:t>
            </w:r>
          </w:p>
          <w:p w:rsidR="003F156E" w:rsidRDefault="003F156E">
            <w:pPr>
              <w:widowControl w:val="0"/>
              <w:spacing w:line="240" w:lineRule="exact"/>
              <w:rPr>
                <w:rFonts w:ascii="Arial" w:hAnsi="Arial"/>
                <w:b/>
                <w:sz w:val="24"/>
              </w:rPr>
            </w:pPr>
          </w:p>
          <w:p w:rsidR="003F156E" w:rsidRDefault="003F156E">
            <w:pPr>
              <w:widowControl w:val="0"/>
              <w:spacing w:line="240" w:lineRule="exact"/>
              <w:rPr>
                <w:rFonts w:ascii="Arial" w:hAnsi="Arial"/>
                <w:b/>
                <w:sz w:val="24"/>
              </w:rPr>
            </w:pPr>
            <w:r>
              <w:rPr>
                <w:rFonts w:ascii="Arial" w:hAnsi="Arial"/>
                <w:b/>
                <w:sz w:val="24"/>
              </w:rPr>
              <w:t xml:space="preserve">     PLAINTIFF'S NOTICE OF                             SETTLEMENT IN ARBITRATION</w:t>
            </w:r>
          </w:p>
          <w:p w:rsidR="003F156E" w:rsidRDefault="003F156E">
            <w:pPr>
              <w:widowControl w:val="0"/>
              <w:spacing w:after="19" w:line="240" w:lineRule="exact"/>
              <w:rPr>
                <w:rFonts w:ascii="Arial" w:hAnsi="Arial"/>
                <w:b/>
                <w:sz w:val="24"/>
              </w:rPr>
            </w:pPr>
            <w:r>
              <w:rPr>
                <w:rFonts w:ascii="Arial" w:hAnsi="Arial"/>
                <w:b/>
                <w:sz w:val="24"/>
              </w:rPr>
              <w:t xml:space="preserve">     (Clerk's Action Required - ARSRAC)</w:t>
            </w:r>
          </w:p>
        </w:tc>
      </w:tr>
    </w:tbl>
    <w:p w:rsidR="003F156E" w:rsidRDefault="003F156E">
      <w:pPr>
        <w:widowControl w:val="0"/>
        <w:spacing w:line="240" w:lineRule="exact"/>
        <w:rPr>
          <w:rFonts w:ascii="Arial" w:hAnsi="Arial"/>
          <w:sz w:val="28"/>
        </w:rPr>
      </w:pPr>
    </w:p>
    <w:p w:rsidR="003F156E" w:rsidRDefault="003F156E">
      <w:pPr>
        <w:widowControl w:val="0"/>
        <w:spacing w:line="240" w:lineRule="exact"/>
        <w:rPr>
          <w:rFonts w:ascii="Arial" w:hAnsi="Arial"/>
          <w:sz w:val="24"/>
        </w:rPr>
      </w:pPr>
      <w:r>
        <w:rPr>
          <w:rFonts w:ascii="Arial" w:hAnsi="Arial"/>
          <w:sz w:val="24"/>
        </w:rPr>
        <w:t>Notice is hereby given that all claims against all parties in this action have been resolved.  Any trials or other hearings in this matter may be stricken from the court calendar.  This notice is being filed with the consent of all parties.</w:t>
      </w:r>
    </w:p>
    <w:p w:rsidR="003F156E" w:rsidRDefault="003F156E">
      <w:pPr>
        <w:widowControl w:val="0"/>
        <w:spacing w:line="240" w:lineRule="exact"/>
        <w:rPr>
          <w:rFonts w:ascii="Arial" w:hAnsi="Arial"/>
          <w:sz w:val="24"/>
        </w:rPr>
      </w:pPr>
    </w:p>
    <w:p w:rsidR="003F156E" w:rsidRDefault="003F156E">
      <w:pPr>
        <w:widowControl w:val="0"/>
        <w:spacing w:line="240" w:lineRule="exact"/>
        <w:rPr>
          <w:rFonts w:ascii="Arial" w:hAnsi="Arial"/>
          <w:sz w:val="24"/>
        </w:rPr>
      </w:pPr>
      <w:r>
        <w:rPr>
          <w:rFonts w:ascii="Arial" w:hAnsi="Arial"/>
          <w:sz w:val="24"/>
        </w:rPr>
        <w:t>If an order dismissing all claims against all parties is not entered within 45 days after the written notice of settlement is filed, or within 45 days after the scheduled trial date, whichever is earlier, and if a Certificate of Settlement Without Dismissal is not filed as provided in LMAR 4.4 (d), the case may be dismissed on the Clerk's motion pursuant to LMAR 4.4 (c).</w:t>
      </w:r>
    </w:p>
    <w:p w:rsidR="003F156E" w:rsidRDefault="003F156E">
      <w:pPr>
        <w:widowControl w:val="0"/>
        <w:spacing w:line="240" w:lineRule="exact"/>
        <w:rPr>
          <w:rFonts w:ascii="Arial" w:hAnsi="Arial"/>
          <w:sz w:val="28"/>
        </w:rPr>
      </w:pPr>
    </w:p>
    <w:p w:rsidR="00CE6B98" w:rsidRDefault="003F156E">
      <w:pPr>
        <w:widowControl w:val="0"/>
        <w:spacing w:line="240" w:lineRule="exact"/>
        <w:rPr>
          <w:rFonts w:ascii="Arial" w:hAnsi="Arial"/>
          <w:b/>
          <w:sz w:val="24"/>
          <w:u w:val="single"/>
        </w:rPr>
      </w:pPr>
      <w:r>
        <w:rPr>
          <w:rFonts w:ascii="Arial" w:hAnsi="Arial"/>
          <w:sz w:val="24"/>
        </w:rPr>
        <w:t xml:space="preserve">DATED: </w:t>
      </w:r>
      <w:r>
        <w:rPr>
          <w:rFonts w:ascii="Arial" w:hAnsi="Arial"/>
          <w:b/>
          <w:sz w:val="24"/>
          <w:u w:val="single"/>
        </w:rPr>
        <w:t xml:space="preserve">               </w:t>
      </w:r>
      <w:r>
        <w:rPr>
          <w:rFonts w:ascii="Arial" w:hAnsi="Arial"/>
          <w:sz w:val="24"/>
        </w:rPr>
        <w:t>, 20</w:t>
      </w:r>
      <w:r>
        <w:rPr>
          <w:rFonts w:ascii="Arial" w:hAnsi="Arial"/>
          <w:b/>
          <w:sz w:val="24"/>
          <w:u w:val="single"/>
        </w:rPr>
        <w:t xml:space="preserve">      </w:t>
      </w:r>
    </w:p>
    <w:p w:rsidR="00CE6B98" w:rsidRPr="00CE6B98" w:rsidRDefault="00CE6B98">
      <w:pPr>
        <w:widowControl w:val="0"/>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______________________________</w:t>
      </w:r>
      <w:r>
        <w:rPr>
          <w:rFonts w:ascii="Arial" w:hAnsi="Arial"/>
          <w:sz w:val="24"/>
        </w:rPr>
        <w:t>______</w:t>
      </w:r>
    </w:p>
    <w:p w:rsidR="003F156E" w:rsidRPr="00CE6B98" w:rsidRDefault="003C4941" w:rsidP="00CE6B98">
      <w:pPr>
        <w:widowControl w:val="0"/>
        <w:spacing w:line="240" w:lineRule="exact"/>
        <w:ind w:left="2160" w:firstLine="720"/>
        <w:rPr>
          <w:rFonts w:ascii="Arial" w:hAnsi="Arial"/>
          <w:b/>
          <w:sz w:val="24"/>
          <w:u w:val="single"/>
        </w:rPr>
      </w:pPr>
      <w:r>
        <w:rPr>
          <w:rFonts w:ascii="Arial" w:hAnsi="Arial"/>
          <w:noProof/>
        </w:rPr>
        <mc:AlternateContent>
          <mc:Choice Requires="wps">
            <w:drawing>
              <wp:anchor distT="0" distB="0" distL="114300" distR="114300" simplePos="0" relativeHeight="251657728" behindDoc="1" locked="1" layoutInCell="0" allowOverlap="1">
                <wp:simplePos x="0" y="0"/>
                <wp:positionH relativeFrom="page">
                  <wp:posOffset>3291840</wp:posOffset>
                </wp:positionH>
                <wp:positionV relativeFrom="paragraph">
                  <wp:posOffset>-60325</wp:posOffset>
                </wp:positionV>
                <wp:extent cx="348996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B30F" id="Rectangle 2" o:spid="_x0000_s1026" style="position:absolute;margin-left:259.2pt;margin-top:-4.75pt;width:274.8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1n4wIAAC4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" o:allowincell="f" fillcolor="black" stroked="f" strokeweight="0">
                <w10:wrap anchorx="page"/>
                <w10:anchorlock/>
              </v:rect>
            </w:pict>
          </mc:Fallback>
        </mc:AlternateContent>
      </w:r>
      <w:r w:rsidR="006C0744" w:rsidRPr="00EB13BA">
        <w:rPr>
          <w:rFonts w:ascii="Arial Narrow" w:hAnsi="Arial Narrow"/>
          <w:b/>
          <w:sz w:val="24"/>
          <w:szCs w:val="24"/>
        </w:rPr>
        <w:t>Attorney for Plaintiff</w:t>
      </w:r>
      <w:r w:rsidR="003F156E" w:rsidRPr="00EB13BA">
        <w:rPr>
          <w:rFonts w:ascii="Arial Narrow" w:hAnsi="Arial Narrow"/>
          <w:b/>
          <w:sz w:val="24"/>
          <w:szCs w:val="24"/>
        </w:rPr>
        <w:t xml:space="preserve">, WSBA #     </w:t>
      </w:r>
    </w:p>
    <w:p w:rsidR="003F156E" w:rsidRDefault="003F156E">
      <w:pPr>
        <w:widowControl w:val="0"/>
        <w:spacing w:line="240" w:lineRule="exact"/>
        <w:rPr>
          <w:rFonts w:ascii="Arial" w:hAnsi="Arial"/>
          <w:b/>
          <w:sz w:val="28"/>
        </w:rPr>
      </w:pPr>
      <w:r>
        <w:rPr>
          <w:rFonts w:ascii="Arial" w:hAnsi="Arial"/>
          <w:b/>
          <w:sz w:val="28"/>
        </w:rPr>
        <w:t xml:space="preserve">        </w:t>
      </w:r>
    </w:p>
    <w:p w:rsidR="003F156E" w:rsidRDefault="003F156E">
      <w:pPr>
        <w:widowControl w:val="0"/>
        <w:spacing w:line="240" w:lineRule="exact"/>
        <w:rPr>
          <w:rFonts w:ascii="Arial" w:hAnsi="Arial"/>
          <w:sz w:val="24"/>
        </w:rPr>
      </w:pPr>
      <w:r>
        <w:rPr>
          <w:rFonts w:ascii="Arial" w:hAnsi="Arial"/>
          <w:b/>
          <w:sz w:val="24"/>
        </w:rPr>
        <w:t>NOTICE</w:t>
      </w:r>
      <w:r>
        <w:rPr>
          <w:rFonts w:ascii="Arial" w:hAnsi="Arial"/>
          <w:sz w:val="24"/>
        </w:rPr>
        <w:t xml:space="preserve">:  LMAR 4.4 provides that after any settlement that fully resolves all claims against all parties, the plaintiff shall, within five days or before the arbitration hearing, whichever is sooner, file and serve a written notice of settlement.  The notice shall be </w:t>
      </w:r>
      <w:r w:rsidR="00CE44BA">
        <w:rPr>
          <w:rFonts w:ascii="Arial" w:hAnsi="Arial"/>
          <w:sz w:val="24"/>
        </w:rPr>
        <w:t xml:space="preserve">sent to </w:t>
      </w:r>
      <w:r>
        <w:rPr>
          <w:rFonts w:ascii="Arial" w:hAnsi="Arial"/>
          <w:sz w:val="24"/>
        </w:rPr>
        <w:t xml:space="preserve">the arbitrator and </w:t>
      </w:r>
      <w:r w:rsidR="00CE44BA">
        <w:rPr>
          <w:rFonts w:ascii="Arial" w:hAnsi="Arial"/>
          <w:sz w:val="24"/>
        </w:rPr>
        <w:t xml:space="preserve">the original must be e-filed with </w:t>
      </w:r>
      <w:r>
        <w:rPr>
          <w:rFonts w:ascii="Arial" w:hAnsi="Arial"/>
          <w:sz w:val="24"/>
        </w:rPr>
        <w:t xml:space="preserve">the court.  Where the notice cannot be </w:t>
      </w:r>
      <w:r w:rsidR="00CE44BA">
        <w:rPr>
          <w:rFonts w:ascii="Arial" w:hAnsi="Arial"/>
          <w:sz w:val="24"/>
        </w:rPr>
        <w:t>sent to</w:t>
      </w:r>
      <w:r>
        <w:rPr>
          <w:rFonts w:ascii="Arial" w:hAnsi="Arial"/>
          <w:sz w:val="24"/>
        </w:rPr>
        <w:t xml:space="preserve"> the arbitrator before the arbitration hearing, the plaintiff shall notify the arbitrator of the settlement by telephone prior to the hearing</w:t>
      </w:r>
      <w:r w:rsidR="00CE44BA">
        <w:rPr>
          <w:rFonts w:ascii="Arial" w:hAnsi="Arial"/>
          <w:sz w:val="24"/>
        </w:rPr>
        <w:t>.</w:t>
      </w:r>
    </w:p>
    <w:p w:rsidR="003F156E" w:rsidRDefault="003F156E">
      <w:pPr>
        <w:widowControl w:val="0"/>
        <w:spacing w:line="240" w:lineRule="exact"/>
        <w:rPr>
          <w:rFonts w:ascii="Arial" w:hAnsi="Arial"/>
          <w:sz w:val="28"/>
        </w:rPr>
      </w:pPr>
    </w:p>
    <w:p w:rsidR="003F156E" w:rsidRDefault="003F156E">
      <w:pPr>
        <w:widowControl w:val="0"/>
        <w:spacing w:line="240" w:lineRule="exact"/>
        <w:rPr>
          <w:rFonts w:ascii="Arial" w:hAnsi="Arial"/>
          <w:sz w:val="28"/>
        </w:rPr>
      </w:pPr>
    </w:p>
    <w:p w:rsidR="003F156E" w:rsidRDefault="00CE44BA">
      <w:pPr>
        <w:widowControl w:val="0"/>
        <w:spacing w:line="240" w:lineRule="exact"/>
        <w:rPr>
          <w:rFonts w:ascii="Arial" w:hAnsi="Arial"/>
          <w:b/>
          <w:sz w:val="28"/>
          <w:u w:val="single"/>
        </w:rPr>
      </w:pPr>
      <w:r>
        <w:rPr>
          <w:rFonts w:ascii="Arial" w:hAnsi="Arial"/>
          <w:b/>
          <w:sz w:val="24"/>
        </w:rPr>
        <w:t>E-F</w:t>
      </w:r>
      <w:r w:rsidR="003F156E">
        <w:rPr>
          <w:rFonts w:ascii="Arial" w:hAnsi="Arial"/>
          <w:b/>
          <w:sz w:val="24"/>
        </w:rPr>
        <w:t xml:space="preserve">ILE WITH </w:t>
      </w:r>
      <w:r w:rsidR="007F6F15">
        <w:rPr>
          <w:rFonts w:ascii="Arial" w:hAnsi="Arial"/>
          <w:b/>
          <w:sz w:val="24"/>
        </w:rPr>
        <w:t>THE CLERK'S OFFICE,</w:t>
      </w:r>
      <w:r>
        <w:rPr>
          <w:rFonts w:ascii="Arial" w:hAnsi="Arial"/>
          <w:b/>
          <w:sz w:val="24"/>
        </w:rPr>
        <w:t xml:space="preserve"> </w:t>
      </w:r>
      <w:r w:rsidR="003F156E">
        <w:rPr>
          <w:rFonts w:ascii="Arial" w:hAnsi="Arial"/>
          <w:b/>
          <w:sz w:val="24"/>
        </w:rPr>
        <w:t xml:space="preserve">COPIES TO THE </w:t>
      </w:r>
      <w:r w:rsidR="007F6F15">
        <w:rPr>
          <w:rFonts w:ascii="Arial" w:hAnsi="Arial"/>
          <w:b/>
          <w:sz w:val="24"/>
        </w:rPr>
        <w:t xml:space="preserve">ARBITRATOR, &amp; </w:t>
      </w:r>
      <w:r>
        <w:rPr>
          <w:rFonts w:ascii="Arial" w:hAnsi="Arial"/>
          <w:b/>
          <w:sz w:val="24"/>
        </w:rPr>
        <w:t>PARTIES</w:t>
      </w:r>
      <w:r w:rsidR="003F156E">
        <w:rPr>
          <w:rFonts w:ascii="Arial" w:hAnsi="Arial"/>
          <w:b/>
          <w:sz w:val="28"/>
          <w:u w:val="single"/>
        </w:rPr>
        <w:t xml:space="preserve">                                                                                                         </w:t>
      </w:r>
    </w:p>
    <w:sectPr w:rsidR="003F156E">
      <w:headerReference w:type="default" r:id="rId6"/>
      <w:footerReference w:type="default" r:id="rId7"/>
      <w:endnotePr>
        <w:numFmt w:val="decimal"/>
      </w:endnotePr>
      <w:pgSz w:w="12240" w:h="15840" w:code="1"/>
      <w:pgMar w:top="-4410" w:right="1440" w:bottom="360" w:left="1530" w:header="1728"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2F" w:rsidRDefault="00DA392F">
      <w:r>
        <w:separator/>
      </w:r>
    </w:p>
  </w:endnote>
  <w:endnote w:type="continuationSeparator" w:id="0">
    <w:p w:rsidR="00DA392F" w:rsidRDefault="00D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6E" w:rsidRDefault="002B04B8">
    <w:pPr>
      <w:pStyle w:val="Footer"/>
    </w:pPr>
    <w:r>
      <w:rPr>
        <w:rFonts w:ascii="Arial" w:hAnsi="Arial"/>
      </w:rPr>
      <w:t>PLAINTIFF</w:t>
    </w:r>
    <w:r w:rsidR="003F156E">
      <w:rPr>
        <w:rFonts w:ascii="Arial" w:hAnsi="Arial"/>
      </w:rPr>
      <w:t>’S NOTICE OF SETTLEMENT</w:t>
    </w:r>
    <w:r>
      <w:rPr>
        <w:rFonts w:ascii="Arial" w:hAnsi="Arial"/>
      </w:rPr>
      <w:t xml:space="preserve"> 11/03/2009</w:t>
    </w:r>
    <w:r w:rsidR="003F156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2F" w:rsidRDefault="00DA392F">
      <w:r>
        <w:separator/>
      </w:r>
    </w:p>
  </w:footnote>
  <w:footnote w:type="continuationSeparator" w:id="0">
    <w:p w:rsidR="00DA392F" w:rsidRDefault="00DA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6E" w:rsidRDefault="003C4941">
    <w:pPr>
      <w:widowControl w:val="0"/>
      <w:tabs>
        <w:tab w:val="right" w:pos="-288"/>
      </w:tabs>
      <w:spacing w:line="240" w:lineRule="exact"/>
      <w:ind w:left="-720" w:right="720"/>
      <w:rPr>
        <w:rFonts w:ascii="CG Times" w:hAnsi="CG Times"/>
        <w:sz w:val="26"/>
      </w:rPr>
    </w:pPr>
    <w:r>
      <w:rPr>
        <w:noProof/>
      </w:rPr>
      <mc:AlternateContent>
        <mc:Choice Requires="wps">
          <w:drawing>
            <wp:anchor distT="0" distB="0" distL="114300" distR="114300" simplePos="0" relativeHeight="251657216" behindDoc="1" locked="1" layoutInCell="0" allowOverlap="1">
              <wp:simplePos x="0" y="0"/>
              <wp:positionH relativeFrom="page">
                <wp:posOffset>777240</wp:posOffset>
              </wp:positionH>
              <wp:positionV relativeFrom="page">
                <wp:posOffset>914400</wp:posOffset>
              </wp:positionV>
              <wp:extent cx="5715" cy="8382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83820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68A9" id="Rectangle 1" o:spid="_x0000_s1026" style="position:absolute;margin-left:61.2pt;margin-top:1in;width:.45pt;height:6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Y5Q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795020</wp:posOffset>
              </wp:positionH>
              <wp:positionV relativeFrom="page">
                <wp:posOffset>914400</wp:posOffset>
              </wp:positionV>
              <wp:extent cx="5715" cy="8382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83820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5417" id="Rectangle 2" o:spid="_x0000_s1026" style="position:absolute;margin-left:62.6pt;margin-top:1in;width:.4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Hc5Q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" o:allowincell="f" fillcolor="black" stroked="f" strokeweight="0">
              <w10:wrap anchorx="page" anchory="page"/>
              <w10:anchorlock/>
            </v:rect>
          </w:pict>
        </mc:Fallback>
      </mc:AlternateContent>
    </w:r>
    <w:r w:rsidR="003F156E">
      <w:rPr>
        <w:rFonts w:ascii="CG Times" w:hAnsi="CG Times"/>
        <w:sz w:val="26"/>
      </w:rPr>
      <w:tab/>
    </w:r>
  </w:p>
  <w:p w:rsidR="003F156E" w:rsidRDefault="003F156E">
    <w:pPr>
      <w:widowControl w:val="0"/>
      <w:tabs>
        <w:tab w:val="right" w:pos="-288"/>
      </w:tabs>
      <w:spacing w:line="240" w:lineRule="exact"/>
      <w:ind w:left="-720" w:right="720"/>
      <w:rPr>
        <w:rFonts w:ascii="CG Times" w:hAnsi="CG Times"/>
        <w:sz w:val="26"/>
      </w:rPr>
    </w:pPr>
  </w:p>
  <w:p w:rsidR="003F156E" w:rsidRDefault="003F156E">
    <w:pPr>
      <w:widowControl w:val="0"/>
      <w:tabs>
        <w:tab w:val="right" w:pos="-288"/>
      </w:tabs>
      <w:spacing w:line="240" w:lineRule="exact"/>
      <w:ind w:left="-720" w:right="720"/>
      <w:rPr>
        <w:rFonts w:ascii="CG Times" w:hAnsi="CG Times"/>
        <w:sz w:val="26"/>
      </w:rPr>
    </w:pPr>
    <w:r>
      <w:rPr>
        <w:rFonts w:ascii="CG Times" w:hAnsi="CG Times"/>
        <w:sz w:val="26"/>
      </w:rPr>
      <w:fldChar w:fldCharType="begin"/>
    </w:r>
    <w:r>
      <w:rPr>
        <w:rFonts w:ascii="CG Times" w:hAnsi="CG Times"/>
        <w:sz w:val="26"/>
      </w:rPr>
      <w:instrText>ADVANCE \y48</w:instrText>
    </w:r>
    <w:r>
      <w:rPr>
        <w:rFonts w:ascii="CG Times" w:hAnsi="CG Times"/>
        <w:sz w:val="26"/>
      </w:rPr>
      <w:fldChar w:fldCharType="end"/>
    </w: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rPr>
        <w:rFonts w:ascii="CG Times" w:hAnsi="CG Times"/>
        <w:sz w:val="26"/>
      </w:rPr>
    </w:pPr>
  </w:p>
  <w:p w:rsidR="003F156E" w:rsidRDefault="003F156E">
    <w:pPr>
      <w:widowControl w:val="0"/>
      <w:spacing w:line="240" w:lineRule="exact"/>
      <w:jc w:val="center"/>
      <w:rPr>
        <w:rFonts w:ascii="Arial" w:hAnsi="Arial"/>
        <w:b/>
        <w:sz w:val="26"/>
      </w:rPr>
    </w:pPr>
    <w:smartTag w:uri="urn:schemas-microsoft-com:office:smarttags" w:element="place">
      <w:smartTag w:uri="urn:schemas-microsoft-com:office:smarttags" w:element="PlaceName">
        <w:r>
          <w:rPr>
            <w:rFonts w:ascii="Arial" w:hAnsi="Arial"/>
            <w:b/>
            <w:sz w:val="26"/>
          </w:rPr>
          <w:t>SUPERIOR</w:t>
        </w:r>
      </w:smartTag>
      <w:r>
        <w:rPr>
          <w:rFonts w:ascii="Arial" w:hAnsi="Arial"/>
          <w:b/>
          <w:sz w:val="26"/>
        </w:rPr>
        <w:t xml:space="preserve"> </w:t>
      </w:r>
      <w:smartTag w:uri="urn:schemas-microsoft-com:office:smarttags" w:element="PlaceType">
        <w:r>
          <w:rPr>
            <w:rFonts w:ascii="Arial" w:hAnsi="Arial"/>
            <w:b/>
            <w:sz w:val="26"/>
          </w:rPr>
          <w:t>COURT</w:t>
        </w:r>
      </w:smartTag>
      <w:r>
        <w:rPr>
          <w:rFonts w:ascii="Arial" w:hAnsi="Arial"/>
          <w:b/>
          <w:sz w:val="26"/>
        </w:rPr>
        <w:t xml:space="preserve"> </w:t>
      </w:r>
      <w:smartTag w:uri="urn:schemas-microsoft-com:office:smarttags" w:element="PlaceName">
        <w:r>
          <w:rPr>
            <w:rFonts w:ascii="Arial" w:hAnsi="Arial"/>
            <w:b/>
            <w:sz w:val="26"/>
          </w:rPr>
          <w:t>OF</w:t>
        </w:r>
      </w:smartTag>
      <w:r>
        <w:rPr>
          <w:rFonts w:ascii="Arial" w:hAnsi="Arial"/>
          <w:b/>
          <w:sz w:val="26"/>
        </w:rPr>
        <w:t xml:space="preserve"> </w:t>
      </w:r>
      <w:smartTag w:uri="urn:schemas-microsoft-com:office:smarttags" w:element="PlaceName">
        <w:r>
          <w:rPr>
            <w:rFonts w:ascii="Arial" w:hAnsi="Arial"/>
            <w:b/>
            <w:sz w:val="26"/>
          </w:rPr>
          <w:t>WASHINGTON</w:t>
        </w:r>
      </w:smartTag>
      <w:r>
        <w:rPr>
          <w:rFonts w:ascii="Arial" w:hAnsi="Arial"/>
          <w:b/>
          <w:sz w:val="26"/>
        </w:rPr>
        <w:t xml:space="preserve"> </w:t>
      </w:r>
      <w:smartTag w:uri="urn:schemas-microsoft-com:office:smarttags" w:element="PlaceName">
        <w:r>
          <w:rPr>
            <w:rFonts w:ascii="Arial" w:hAnsi="Arial"/>
            <w:b/>
            <w:sz w:val="26"/>
          </w:rPr>
          <w:t>FOR</w:t>
        </w:r>
      </w:smartTag>
      <w:r>
        <w:rPr>
          <w:rFonts w:ascii="Arial" w:hAnsi="Arial"/>
          <w:b/>
          <w:sz w:val="26"/>
        </w:rPr>
        <w:t xml:space="preserve"> </w:t>
      </w:r>
      <w:smartTag w:uri="urn:schemas-microsoft-com:office:smarttags" w:element="PlaceName">
        <w:r>
          <w:rPr>
            <w:rFonts w:ascii="Arial" w:hAnsi="Arial"/>
            <w:b/>
            <w:sz w:val="26"/>
          </w:rPr>
          <w:t>KING</w:t>
        </w:r>
      </w:smartTag>
      <w:r>
        <w:rPr>
          <w:rFonts w:ascii="Arial" w:hAnsi="Arial"/>
          <w:b/>
          <w:sz w:val="26"/>
        </w:rPr>
        <w:t xml:space="preserve"> </w:t>
      </w:r>
      <w:smartTag w:uri="urn:schemas-microsoft-com:office:smarttags" w:element="PlaceType">
        <w:r>
          <w:rPr>
            <w:rFonts w:ascii="Arial" w:hAnsi="Arial"/>
            <w:b/>
            <w:sz w:val="26"/>
          </w:rPr>
          <w:t>COUNTY</w:t>
        </w:r>
      </w:smartTag>
    </w:smartTag>
  </w:p>
  <w:p w:rsidR="003F156E" w:rsidRDefault="003F156E">
    <w:pPr>
      <w:widowControl w:val="0"/>
      <w:spacing w:line="240" w:lineRule="exact"/>
      <w:rPr>
        <w:rFonts w:ascii="CG Times" w:hAnsi="CG Times"/>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CC"/>
    <w:rsid w:val="00006C4B"/>
    <w:rsid w:val="000A410F"/>
    <w:rsid w:val="002B04B8"/>
    <w:rsid w:val="003145C6"/>
    <w:rsid w:val="003271D1"/>
    <w:rsid w:val="003C4941"/>
    <w:rsid w:val="003F156E"/>
    <w:rsid w:val="00443FDE"/>
    <w:rsid w:val="006C0744"/>
    <w:rsid w:val="006F1D31"/>
    <w:rsid w:val="007F6F15"/>
    <w:rsid w:val="008E78BC"/>
    <w:rsid w:val="00963429"/>
    <w:rsid w:val="00AB73CC"/>
    <w:rsid w:val="00CE44BA"/>
    <w:rsid w:val="00CE6B98"/>
    <w:rsid w:val="00D767A8"/>
    <w:rsid w:val="00DA392F"/>
    <w:rsid w:val="00EB13BA"/>
    <w:rsid w:val="00EB2848"/>
    <w:rsid w:val="00F4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549C007-3E77-4BCD-84E0-ED7A9F45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B2848"/>
    <w:rPr>
      <w:rFonts w:ascii="Tahoma" w:hAnsi="Tahoma" w:cs="Tahoma"/>
      <w:sz w:val="16"/>
      <w:szCs w:val="16"/>
    </w:rPr>
  </w:style>
  <w:style w:type="character" w:customStyle="1" w:styleId="BalloonTextChar">
    <w:name w:val="Balloon Text Char"/>
    <w:link w:val="BalloonText"/>
    <w:rsid w:val="00EB2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PLAINTIFF(S),</vt:lpstr>
    </vt:vector>
  </TitlesOfParts>
  <Company>King County</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PLAINTIFF(S),</dc:title>
  <dc:subject/>
  <dc:creator>Superior Court</dc:creator>
  <cp:keywords/>
  <cp:lastModifiedBy>DAVID A REYNOLDS</cp:lastModifiedBy>
  <cp:revision>2</cp:revision>
  <cp:lastPrinted>2009-11-03T22:46:00Z</cp:lastPrinted>
  <dcterms:created xsi:type="dcterms:W3CDTF">2016-11-21T02:07:00Z</dcterms:created>
  <dcterms:modified xsi:type="dcterms:W3CDTF">2016-11-21T02:07:00Z</dcterms:modified>
</cp:coreProperties>
</file>