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5C788" w14:textId="77777777" w:rsidR="009F5D62" w:rsidRDefault="009F5D62"/>
    <w:p w14:paraId="6F344F9F" w14:textId="77777777" w:rsidR="00251AAD" w:rsidRDefault="00251AAD"/>
    <w:p w14:paraId="44DF6ED6" w14:textId="77777777" w:rsidR="00251AAD" w:rsidRDefault="00251AAD"/>
    <w:p w14:paraId="4AABED1F" w14:textId="77777777" w:rsidR="00251AAD" w:rsidRDefault="00251AAD"/>
    <w:p w14:paraId="40B48EE3" w14:textId="77777777" w:rsidR="00251AAD" w:rsidRDefault="00251AAD"/>
    <w:p w14:paraId="69DA5F06" w14:textId="77777777" w:rsidR="00251AAD" w:rsidRDefault="00251AAD"/>
    <w:p w14:paraId="797C4ABC" w14:textId="77777777" w:rsidR="00251AAD" w:rsidRDefault="00251AAD"/>
    <w:p w14:paraId="304BFB2B" w14:textId="77777777" w:rsidR="00251AAD" w:rsidRDefault="00251AAD"/>
    <w:p w14:paraId="6DEF779C" w14:textId="77777777" w:rsidR="00251AAD" w:rsidRDefault="00251AAD"/>
    <w:p w14:paraId="16CC9775" w14:textId="77777777" w:rsidR="00251AAD" w:rsidRDefault="00251AAD"/>
    <w:p w14:paraId="41DB19AD" w14:textId="77777777" w:rsidR="00251AAD" w:rsidRDefault="00251AAD"/>
    <w:p w14:paraId="0D74E834" w14:textId="77777777" w:rsidR="00251AAD" w:rsidRPr="007E126F" w:rsidRDefault="00251AAD" w:rsidP="00251AAD">
      <w:pPr>
        <w:jc w:val="center"/>
        <w:rPr>
          <w:b/>
          <w:sz w:val="24"/>
        </w:rPr>
      </w:pPr>
      <w:r w:rsidRPr="007E126F">
        <w:rPr>
          <w:b/>
          <w:sz w:val="24"/>
        </w:rPr>
        <w:t>SUPERIOR COURT OF THE STATE OF WASHINGTON</w:t>
      </w:r>
    </w:p>
    <w:p w14:paraId="58FCCB03" w14:textId="77777777" w:rsidR="00251AAD" w:rsidRPr="007E126F" w:rsidRDefault="00251AAD" w:rsidP="00251AAD">
      <w:pPr>
        <w:pStyle w:val="Heading1"/>
        <w:rPr>
          <w:b/>
        </w:rPr>
      </w:pPr>
      <w:r w:rsidRPr="007E126F">
        <w:rPr>
          <w:b/>
        </w:rPr>
        <w:t>COUNTY OF KING</w:t>
      </w:r>
    </w:p>
    <w:p w14:paraId="75050DCD" w14:textId="77777777" w:rsidR="00251AAD" w:rsidRDefault="00251AAD" w:rsidP="00251AAD"/>
    <w:p w14:paraId="5DEF57E6" w14:textId="77777777" w:rsidR="00251AAD" w:rsidRDefault="00251AAD" w:rsidP="00251AAD">
      <w:pPr>
        <w:widowControl w:val="0"/>
        <w:spacing w:line="312" w:lineRule="auto"/>
        <w:rPr>
          <w:sz w:val="24"/>
        </w:rPr>
      </w:pPr>
      <w:r>
        <w:rPr>
          <w:noProof/>
          <w:sz w:val="24"/>
        </w:rPr>
        <mc:AlternateContent>
          <mc:Choice Requires="wps">
            <w:drawing>
              <wp:anchor distT="0" distB="0" distL="114300" distR="114300" simplePos="0" relativeHeight="251659264" behindDoc="0" locked="0" layoutInCell="0" allowOverlap="1" wp14:anchorId="5071BF3A" wp14:editId="36C1FF5E">
                <wp:simplePos x="0" y="0"/>
                <wp:positionH relativeFrom="column">
                  <wp:posOffset>3108960</wp:posOffset>
                </wp:positionH>
                <wp:positionV relativeFrom="paragraph">
                  <wp:posOffset>189230</wp:posOffset>
                </wp:positionV>
                <wp:extent cx="0" cy="1645920"/>
                <wp:effectExtent l="5715" t="12700" r="1333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E812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4.9pt" to="244.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" o:allowincell="f"/>
            </w:pict>
          </mc:Fallback>
        </mc:AlternateContent>
      </w:r>
      <w:r>
        <w:rPr>
          <w:sz w:val="24"/>
        </w:rPr>
        <w:t>STATE OF WASHINGTON</w:t>
      </w:r>
      <w:r>
        <w:rPr>
          <w:sz w:val="24"/>
        </w:rPr>
        <w:tab/>
      </w:r>
    </w:p>
    <w:p w14:paraId="420BF815" w14:textId="77777777" w:rsidR="00251AAD" w:rsidRDefault="00B97459" w:rsidP="00B97459">
      <w:pPr>
        <w:widowControl w:val="0"/>
        <w:spacing w:line="312" w:lineRule="auto"/>
        <w:ind w:left="2880" w:firstLine="720"/>
        <w:rPr>
          <w:sz w:val="24"/>
        </w:rPr>
      </w:pPr>
      <w:r>
        <w:rPr>
          <w:b/>
          <w:sz w:val="24"/>
        </w:rPr>
        <w:t xml:space="preserve">    </w:t>
      </w:r>
      <w:r w:rsidR="00251AAD" w:rsidRPr="007E126F">
        <w:rPr>
          <w:b/>
          <w:sz w:val="24"/>
        </w:rPr>
        <w:t>Plaintiff,</w:t>
      </w:r>
      <w:r w:rsidR="00B9032C">
        <w:rPr>
          <w:sz w:val="24"/>
        </w:rPr>
        <w:t xml:space="preserve">       </w:t>
      </w:r>
      <w:r>
        <w:rPr>
          <w:sz w:val="24"/>
        </w:rPr>
        <w:t xml:space="preserve"> </w:t>
      </w:r>
      <w:r w:rsidR="00251AAD" w:rsidRPr="007A0DFE">
        <w:rPr>
          <w:sz w:val="24"/>
        </w:rPr>
        <w:t xml:space="preserve">Case No.         </w:t>
      </w:r>
      <w:r w:rsidR="00251AAD">
        <w:rPr>
          <w:sz w:val="24"/>
        </w:rPr>
        <w:t xml:space="preserve">                              </w:t>
      </w:r>
      <w:r w:rsidR="00A163B0">
        <w:rPr>
          <w:b/>
          <w:sz w:val="24"/>
        </w:rPr>
        <w:t xml:space="preserve"> SEA</w:t>
      </w:r>
    </w:p>
    <w:p w14:paraId="60391C30" w14:textId="77777777" w:rsidR="00251AAD" w:rsidRDefault="00251AAD" w:rsidP="00251AAD">
      <w:pPr>
        <w:widowControl w:val="0"/>
        <w:spacing w:line="312" w:lineRule="auto"/>
        <w:rPr>
          <w:sz w:val="24"/>
        </w:rPr>
      </w:pPr>
      <w:r>
        <w:rPr>
          <w:sz w:val="24"/>
        </w:rPr>
        <w:t xml:space="preserve">              vs.  </w:t>
      </w:r>
      <w:r>
        <w:rPr>
          <w:sz w:val="24"/>
        </w:rPr>
        <w:tab/>
      </w:r>
      <w:r>
        <w:rPr>
          <w:sz w:val="24"/>
        </w:rPr>
        <w:tab/>
      </w:r>
      <w:r>
        <w:rPr>
          <w:sz w:val="24"/>
        </w:rPr>
        <w:tab/>
      </w:r>
      <w:r>
        <w:rPr>
          <w:sz w:val="24"/>
        </w:rPr>
        <w:tab/>
      </w:r>
      <w:r>
        <w:rPr>
          <w:sz w:val="24"/>
        </w:rPr>
        <w:tab/>
      </w:r>
      <w:r>
        <w:rPr>
          <w:sz w:val="24"/>
        </w:rPr>
        <w:tab/>
      </w:r>
    </w:p>
    <w:p w14:paraId="09FB401F" w14:textId="77777777" w:rsidR="00251AAD" w:rsidRDefault="00251AAD" w:rsidP="00251AAD">
      <w:pPr>
        <w:rPr>
          <w:rFonts w:ascii="Arial" w:hAnsi="Arial"/>
          <w:b/>
          <w:sz w:val="18"/>
        </w:rPr>
      </w:pPr>
      <w:r>
        <w:rPr>
          <w:sz w:val="24"/>
        </w:rPr>
        <w:tab/>
      </w:r>
      <w:r>
        <w:rPr>
          <w:sz w:val="24"/>
        </w:rPr>
        <w:tab/>
      </w:r>
      <w:r>
        <w:rPr>
          <w:sz w:val="24"/>
        </w:rPr>
        <w:tab/>
      </w:r>
      <w:r>
        <w:rPr>
          <w:sz w:val="24"/>
        </w:rPr>
        <w:tab/>
      </w:r>
      <w:r>
        <w:rPr>
          <w:sz w:val="24"/>
        </w:rPr>
        <w:tab/>
      </w:r>
      <w:r>
        <w:rPr>
          <w:sz w:val="24"/>
        </w:rPr>
        <w:tab/>
      </w:r>
      <w:r>
        <w:rPr>
          <w:sz w:val="24"/>
        </w:rPr>
        <w:tab/>
        <w:t xml:space="preserve">  </w:t>
      </w:r>
      <w:r>
        <w:rPr>
          <w:b/>
          <w:sz w:val="24"/>
        </w:rPr>
        <w:t>NOTE FOR CRIMINAL MOTION</w:t>
      </w:r>
    </w:p>
    <w:p w14:paraId="06D7A135" w14:textId="77777777" w:rsidR="00251AAD" w:rsidRDefault="00A163B0" w:rsidP="00251AAD">
      <w:pPr>
        <w:rPr>
          <w:rFonts w:ascii="Arial" w:hAnsi="Arial"/>
          <w:b/>
          <w:sz w:val="18"/>
        </w:rPr>
      </w:pP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   SEATTLE</w:t>
      </w:r>
      <w:r w:rsidR="00251AAD">
        <w:rPr>
          <w:rFonts w:ascii="Arial" w:hAnsi="Arial"/>
          <w:b/>
          <w:sz w:val="18"/>
        </w:rPr>
        <w:t xml:space="preserve"> COURTHOUSE ONLY</w:t>
      </w:r>
    </w:p>
    <w:p w14:paraId="19502DB9" w14:textId="77777777" w:rsidR="00B97459" w:rsidRPr="00711D39" w:rsidRDefault="00B97459" w:rsidP="00251AAD">
      <w:pPr>
        <w:rPr>
          <w:rFonts w:ascii="Arial" w:hAnsi="Arial"/>
          <w:b/>
          <w:sz w:val="18"/>
        </w:rPr>
      </w:pPr>
    </w:p>
    <w:p w14:paraId="33F6BFEA" w14:textId="77777777" w:rsidR="00251AAD" w:rsidRPr="007A0DFE" w:rsidRDefault="00B97459" w:rsidP="00B97459">
      <w:pPr>
        <w:widowControl w:val="0"/>
        <w:spacing w:line="312" w:lineRule="auto"/>
        <w:jc w:val="right"/>
        <w:rPr>
          <w:b/>
          <w:sz w:val="24"/>
        </w:rPr>
      </w:pPr>
      <w:r w:rsidRPr="00B97459">
        <w:rPr>
          <w:b/>
          <w:sz w:val="24"/>
        </w:rPr>
        <w:t xml:space="preserve">Defendant. </w:t>
      </w:r>
      <w:r w:rsidR="00251AAD">
        <w:rPr>
          <w:sz w:val="24"/>
        </w:rPr>
        <w:t xml:space="preserve">     </w:t>
      </w:r>
      <w:r>
        <w:rPr>
          <w:sz w:val="24"/>
        </w:rPr>
        <w:t xml:space="preserve">          </w:t>
      </w:r>
      <w:r w:rsidR="00251AAD">
        <w:rPr>
          <w:sz w:val="24"/>
        </w:rPr>
        <w:t xml:space="preserve"> </w:t>
      </w:r>
      <w:r w:rsidR="00251AAD">
        <w:rPr>
          <w:b/>
          <w:sz w:val="24"/>
        </w:rPr>
        <w:tab/>
        <w:t xml:space="preserve">  </w:t>
      </w:r>
      <w:r w:rsidR="00251AAD" w:rsidRPr="007E126F">
        <w:rPr>
          <w:b/>
          <w:sz w:val="24"/>
        </w:rPr>
        <w:t xml:space="preserve">(Clerk's Action Required)    </w:t>
      </w:r>
      <w:r w:rsidR="00251AAD">
        <w:rPr>
          <w:b/>
          <w:sz w:val="24"/>
        </w:rPr>
        <w:tab/>
      </w:r>
    </w:p>
    <w:p w14:paraId="1C2D4635" w14:textId="77777777" w:rsidR="00251AAD" w:rsidRDefault="00251AAD" w:rsidP="00251AAD">
      <w:pPr>
        <w:widowControl w:val="0"/>
        <w:spacing w:line="312" w:lineRule="auto"/>
        <w:rPr>
          <w:b/>
          <w:sz w:val="24"/>
        </w:rPr>
      </w:pPr>
      <w:r w:rsidRPr="007A0DFE">
        <w:rPr>
          <w:sz w:val="24"/>
        </w:rPr>
        <w:fldChar w:fldCharType="begin">
          <w:ffData>
            <w:name w:val="Check1"/>
            <w:enabled/>
            <w:calcOnExit w:val="0"/>
            <w:checkBox>
              <w:sizeAuto/>
              <w:default w:val="0"/>
            </w:checkBox>
          </w:ffData>
        </w:fldChar>
      </w:r>
      <w:bookmarkStart w:id="0" w:name="Check1"/>
      <w:r w:rsidRPr="007A0DFE">
        <w:rPr>
          <w:sz w:val="24"/>
        </w:rPr>
        <w:instrText xml:space="preserve"> FORMCHECKBOX </w:instrText>
      </w:r>
      <w:r w:rsidR="00E04695">
        <w:rPr>
          <w:sz w:val="24"/>
        </w:rPr>
      </w:r>
      <w:r w:rsidR="00E04695">
        <w:rPr>
          <w:sz w:val="24"/>
        </w:rPr>
        <w:fldChar w:fldCharType="separate"/>
      </w:r>
      <w:r w:rsidRPr="007A0DFE">
        <w:rPr>
          <w:sz w:val="24"/>
        </w:rPr>
        <w:fldChar w:fldCharType="end"/>
      </w:r>
      <w:bookmarkEnd w:id="0"/>
      <w:r w:rsidRPr="007A0DFE">
        <w:rPr>
          <w:sz w:val="24"/>
        </w:rPr>
        <w:t xml:space="preserve"> </w:t>
      </w:r>
      <w:r>
        <w:rPr>
          <w:sz w:val="24"/>
        </w:rPr>
        <w:t xml:space="preserve">In Custody         </w:t>
      </w:r>
      <w:r w:rsidRPr="007A0DFE">
        <w:rPr>
          <w:sz w:val="24"/>
        </w:rPr>
        <w:fldChar w:fldCharType="begin">
          <w:ffData>
            <w:name w:val="Check1"/>
            <w:enabled/>
            <w:calcOnExit w:val="0"/>
            <w:checkBox>
              <w:sizeAuto/>
              <w:default w:val="0"/>
            </w:checkBox>
          </w:ffData>
        </w:fldChar>
      </w:r>
      <w:r w:rsidRPr="007A0DFE">
        <w:rPr>
          <w:sz w:val="24"/>
        </w:rPr>
        <w:instrText xml:space="preserve"> FORMCHECKBOX </w:instrText>
      </w:r>
      <w:r w:rsidR="00E04695">
        <w:rPr>
          <w:sz w:val="24"/>
        </w:rPr>
      </w:r>
      <w:r w:rsidR="00E04695">
        <w:rPr>
          <w:sz w:val="24"/>
        </w:rPr>
        <w:fldChar w:fldCharType="separate"/>
      </w:r>
      <w:r w:rsidRPr="007A0DFE">
        <w:rPr>
          <w:sz w:val="24"/>
        </w:rPr>
        <w:fldChar w:fldCharType="end"/>
      </w:r>
      <w:r w:rsidRPr="007A0DFE">
        <w:rPr>
          <w:sz w:val="24"/>
        </w:rPr>
        <w:t xml:space="preserve"> </w:t>
      </w:r>
      <w:r>
        <w:rPr>
          <w:sz w:val="24"/>
        </w:rPr>
        <w:t>Out of Custody</w:t>
      </w:r>
      <w:r>
        <w:rPr>
          <w:b/>
          <w:sz w:val="24"/>
        </w:rPr>
        <w:t xml:space="preserve"> </w:t>
      </w:r>
    </w:p>
    <w:p w14:paraId="0FEB1CB3" w14:textId="77777777" w:rsidR="00251AAD" w:rsidRDefault="00251AAD" w:rsidP="00251AAD">
      <w:pPr>
        <w:widowControl w:val="0"/>
        <w:spacing w:line="312" w:lineRule="auto"/>
        <w:rPr>
          <w:b/>
          <w:sz w:val="24"/>
        </w:rPr>
      </w:pPr>
      <w:r>
        <w:rPr>
          <w:sz w:val="24"/>
        </w:rPr>
        <w:t>CCN________________</w:t>
      </w:r>
      <w:r>
        <w:rPr>
          <w:b/>
          <w:sz w:val="24"/>
        </w:rPr>
        <w:t xml:space="preserve"> </w:t>
      </w:r>
      <w:r>
        <w:rPr>
          <w:b/>
          <w:sz w:val="24"/>
        </w:rPr>
        <w:tab/>
      </w:r>
      <w:r>
        <w:rPr>
          <w:b/>
          <w:sz w:val="24"/>
        </w:rPr>
        <w:tab/>
      </w:r>
      <w:r>
        <w:rPr>
          <w:b/>
          <w:sz w:val="24"/>
        </w:rPr>
        <w:tab/>
      </w:r>
      <w:r>
        <w:rPr>
          <w:b/>
          <w:sz w:val="24"/>
        </w:rPr>
        <w:tab/>
      </w:r>
      <w:r>
        <w:rPr>
          <w:b/>
          <w:sz w:val="24"/>
        </w:rPr>
        <w:tab/>
      </w:r>
    </w:p>
    <w:p w14:paraId="49B8B068" w14:textId="77777777" w:rsidR="00251AAD" w:rsidRDefault="00251AAD" w:rsidP="00251AAD">
      <w:pPr>
        <w:widowControl w:val="0"/>
        <w:spacing w:line="312" w:lineRule="auto"/>
        <w:rPr>
          <w:b/>
          <w:sz w:val="24"/>
        </w:rPr>
      </w:pPr>
      <w:r>
        <w:rPr>
          <w:noProof/>
          <w:sz w:val="22"/>
        </w:rPr>
        <mc:AlternateContent>
          <mc:Choice Requires="wps">
            <w:drawing>
              <wp:anchor distT="0" distB="0" distL="114300" distR="114300" simplePos="0" relativeHeight="251660288" behindDoc="0" locked="0" layoutInCell="0" allowOverlap="1" wp14:anchorId="4B6E972F" wp14:editId="6CAABE56">
                <wp:simplePos x="0" y="0"/>
                <wp:positionH relativeFrom="column">
                  <wp:posOffset>0</wp:posOffset>
                </wp:positionH>
                <wp:positionV relativeFrom="paragraph">
                  <wp:posOffset>41275</wp:posOffset>
                </wp:positionV>
                <wp:extent cx="6675120" cy="0"/>
                <wp:effectExtent l="11430"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7A83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525.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1N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NnuaZh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" o:allowincell="f"/>
            </w:pict>
          </mc:Fallback>
        </mc:AlternateContent>
      </w:r>
    </w:p>
    <w:p w14:paraId="4D545428" w14:textId="77777777" w:rsidR="00251AAD" w:rsidRPr="005F2BDF" w:rsidRDefault="00251AAD" w:rsidP="00251AAD">
      <w:pPr>
        <w:widowControl w:val="0"/>
        <w:spacing w:line="312" w:lineRule="auto"/>
        <w:rPr>
          <w:b/>
        </w:rPr>
      </w:pPr>
      <w:r w:rsidRPr="005F2BDF">
        <w:t xml:space="preserve">Trial date ___________________     </w:t>
      </w:r>
      <w:r w:rsidR="00C74AE5">
        <w:t>Next case setting hearing _____________________</w:t>
      </w:r>
    </w:p>
    <w:p w14:paraId="372D5C39" w14:textId="77777777" w:rsidR="00251AAD" w:rsidRPr="004813AC" w:rsidRDefault="00251AAD" w:rsidP="00251AAD">
      <w:pPr>
        <w:widowControl w:val="0"/>
      </w:pPr>
    </w:p>
    <w:p w14:paraId="6237BA71" w14:textId="08F15597" w:rsidR="00251AAD" w:rsidRPr="004813AC" w:rsidRDefault="00251AAD" w:rsidP="00251AAD">
      <w:pPr>
        <w:widowControl w:val="0"/>
      </w:pPr>
      <w:r w:rsidRPr="004813AC">
        <w:fldChar w:fldCharType="begin">
          <w:ffData>
            <w:name w:val="Check1"/>
            <w:enabled/>
            <w:calcOnExit w:val="0"/>
            <w:checkBox>
              <w:sizeAuto/>
              <w:default w:val="0"/>
            </w:checkBox>
          </w:ffData>
        </w:fldChar>
      </w:r>
      <w:r w:rsidRPr="004813AC">
        <w:instrText xml:space="preserve"> FORMCHECKBOX </w:instrText>
      </w:r>
      <w:r w:rsidR="00E04695">
        <w:fldChar w:fldCharType="separate"/>
      </w:r>
      <w:r w:rsidRPr="004813AC">
        <w:fldChar w:fldCharType="end"/>
      </w:r>
      <w:r w:rsidRPr="004813AC">
        <w:t xml:space="preserve"> Plaintiff    </w:t>
      </w:r>
      <w:r w:rsidRPr="004813AC">
        <w:fldChar w:fldCharType="begin">
          <w:ffData>
            <w:name w:val="Check2"/>
            <w:enabled/>
            <w:calcOnExit w:val="0"/>
            <w:checkBox>
              <w:sizeAuto/>
              <w:default w:val="0"/>
            </w:checkBox>
          </w:ffData>
        </w:fldChar>
      </w:r>
      <w:bookmarkStart w:id="1" w:name="Check2"/>
      <w:r w:rsidRPr="004813AC">
        <w:instrText xml:space="preserve"> FORMCHECKBOX </w:instrText>
      </w:r>
      <w:r w:rsidR="00E04695">
        <w:fldChar w:fldCharType="separate"/>
      </w:r>
      <w:r w:rsidRPr="004813AC">
        <w:fldChar w:fldCharType="end"/>
      </w:r>
      <w:bookmarkEnd w:id="1"/>
      <w:r w:rsidR="009F5D62" w:rsidRPr="004813AC">
        <w:t xml:space="preserve">  Defendant requests that</w:t>
      </w:r>
      <w:r w:rsidRPr="004813AC">
        <w:t xml:space="preserve"> the court set the below noted criminal motion on the Crim</w:t>
      </w:r>
      <w:r w:rsidR="00A163B0" w:rsidRPr="004813AC">
        <w:t>inal Motions Calendar for __________________</w:t>
      </w:r>
      <w:r w:rsidRPr="004813AC">
        <w:t xml:space="preserve"> at</w:t>
      </w:r>
      <w:r w:rsidR="00B37FBA" w:rsidRPr="004813AC">
        <w:t xml:space="preserve">  _________</w:t>
      </w:r>
      <w:r w:rsidR="00A97FCB">
        <w:t xml:space="preserve"> p.m. in room </w:t>
      </w:r>
      <w:r w:rsidR="00E04695">
        <w:rPr>
          <w:b/>
        </w:rPr>
        <w:t>W-905</w:t>
      </w:r>
      <w:r w:rsidR="00787418" w:rsidRPr="004813AC">
        <w:t>.</w:t>
      </w:r>
      <w:r w:rsidR="00B37FBA" w:rsidRPr="004813AC">
        <w:t xml:space="preserve">  (The date and time for setting a criminal motion shall be scheduled in advance by contacting the staff of the motion judge.  See page 2 for more information).</w:t>
      </w:r>
    </w:p>
    <w:p w14:paraId="0EF862B0" w14:textId="77777777" w:rsidR="00251AAD" w:rsidRPr="004813AC" w:rsidRDefault="00251AAD" w:rsidP="00251AAD">
      <w:pPr>
        <w:widowControl w:val="0"/>
      </w:pPr>
    </w:p>
    <w:p w14:paraId="69EEA10C" w14:textId="77777777" w:rsidR="00251AAD" w:rsidRPr="004813AC" w:rsidRDefault="00251AAD" w:rsidP="00251AAD">
      <w:pPr>
        <w:widowControl w:val="0"/>
      </w:pPr>
      <w:r w:rsidRPr="004813AC">
        <w:rPr>
          <w:b/>
        </w:rPr>
        <w:t>Nature of Motion</w:t>
      </w:r>
      <w:r w:rsidRPr="004813AC">
        <w:t xml:space="preserve"> (Except for expedited</w:t>
      </w:r>
      <w:r w:rsidR="00A163B0" w:rsidRPr="004813AC">
        <w:t xml:space="preserve"> motions heard by the Chief Criminal</w:t>
      </w:r>
      <w:r w:rsidRPr="004813AC">
        <w:t xml:space="preserve"> Judge, all other criminal motions are heard</w:t>
      </w:r>
      <w:r w:rsidR="00A163B0" w:rsidRPr="004813AC">
        <w:t xml:space="preserve"> by the Assistant Chief Criminal </w:t>
      </w:r>
      <w:r w:rsidRPr="004813AC">
        <w:t>Judge):</w:t>
      </w:r>
    </w:p>
    <w:p w14:paraId="02A54286" w14:textId="77777777" w:rsidR="00251AAD" w:rsidRPr="004813AC" w:rsidRDefault="00251AAD" w:rsidP="00251AAD">
      <w:pPr>
        <w:widowControl w:val="0"/>
      </w:pPr>
    </w:p>
    <w:p w14:paraId="18F5B725" w14:textId="77777777" w:rsidR="00E14EBE" w:rsidRPr="004813AC" w:rsidRDefault="00E14EBE" w:rsidP="00E14EBE">
      <w:pPr>
        <w:widowControl w:val="0"/>
        <w:spacing w:after="60"/>
      </w:pPr>
      <w:r w:rsidRPr="004813AC">
        <w:fldChar w:fldCharType="begin">
          <w:ffData>
            <w:name w:val="Check1"/>
            <w:enabled/>
            <w:calcOnExit w:val="0"/>
            <w:checkBox>
              <w:sizeAuto/>
              <w:default w:val="0"/>
            </w:checkBox>
          </w:ffData>
        </w:fldChar>
      </w:r>
      <w:r w:rsidRPr="004813AC">
        <w:instrText xml:space="preserve"> FORMCHECKBOX </w:instrText>
      </w:r>
      <w:r w:rsidR="00E04695">
        <w:fldChar w:fldCharType="separate"/>
      </w:r>
      <w:r w:rsidRPr="004813AC">
        <w:fldChar w:fldCharType="end"/>
      </w:r>
      <w:r w:rsidRPr="004813AC">
        <w:t xml:space="preserve"> Motion for discovery pursuant to CrR 4.7   </w:t>
      </w:r>
      <w:r w:rsidRPr="004813AC">
        <w:fldChar w:fldCharType="begin">
          <w:ffData>
            <w:name w:val="Check1"/>
            <w:enabled/>
            <w:calcOnExit w:val="0"/>
            <w:checkBox>
              <w:sizeAuto/>
              <w:default w:val="0"/>
            </w:checkBox>
          </w:ffData>
        </w:fldChar>
      </w:r>
      <w:r w:rsidRPr="004813AC">
        <w:instrText xml:space="preserve"> FORMCHECKBOX </w:instrText>
      </w:r>
      <w:r w:rsidR="00E04695">
        <w:fldChar w:fldCharType="separate"/>
      </w:r>
      <w:r w:rsidRPr="004813AC">
        <w:fldChar w:fldCharType="end"/>
      </w:r>
      <w:r w:rsidRPr="004813AC">
        <w:t xml:space="preserve"> Motion to amend    </w:t>
      </w:r>
      <w:r w:rsidRPr="004813AC">
        <w:fldChar w:fldCharType="begin">
          <w:ffData>
            <w:name w:val="Check1"/>
            <w:enabled/>
            <w:calcOnExit w:val="0"/>
            <w:checkBox>
              <w:sizeAuto/>
              <w:default w:val="0"/>
            </w:checkBox>
          </w:ffData>
        </w:fldChar>
      </w:r>
      <w:r w:rsidRPr="004813AC">
        <w:instrText xml:space="preserve"> FORMCHECKBOX </w:instrText>
      </w:r>
      <w:r w:rsidR="00E04695">
        <w:fldChar w:fldCharType="separate"/>
      </w:r>
      <w:r w:rsidRPr="004813AC">
        <w:fldChar w:fldCharType="end"/>
      </w:r>
      <w:r w:rsidRPr="004813AC">
        <w:t xml:space="preserve"> Motion to dismiss</w:t>
      </w:r>
    </w:p>
    <w:p w14:paraId="257FBD38" w14:textId="77777777" w:rsidR="00E14EBE" w:rsidRPr="004813AC" w:rsidRDefault="00E14EBE" w:rsidP="00E14EBE">
      <w:pPr>
        <w:widowControl w:val="0"/>
        <w:spacing w:after="60"/>
      </w:pPr>
      <w:r w:rsidRPr="004813AC">
        <w:fldChar w:fldCharType="begin">
          <w:ffData>
            <w:name w:val="Check1"/>
            <w:enabled/>
            <w:calcOnExit w:val="0"/>
            <w:checkBox>
              <w:sizeAuto/>
              <w:default w:val="0"/>
            </w:checkBox>
          </w:ffData>
        </w:fldChar>
      </w:r>
      <w:r w:rsidRPr="004813AC">
        <w:instrText xml:space="preserve"> FORMCHECKBOX </w:instrText>
      </w:r>
      <w:r w:rsidR="00E04695">
        <w:fldChar w:fldCharType="separate"/>
      </w:r>
      <w:r w:rsidRPr="004813AC">
        <w:fldChar w:fldCharType="end"/>
      </w:r>
      <w:r w:rsidRPr="004813AC">
        <w:t xml:space="preserve"> Motion for forced medication  </w:t>
      </w:r>
      <w:r w:rsidRPr="004813AC">
        <w:fldChar w:fldCharType="begin">
          <w:ffData>
            <w:name w:val="Check1"/>
            <w:enabled/>
            <w:calcOnExit w:val="0"/>
            <w:checkBox>
              <w:sizeAuto/>
              <w:default w:val="0"/>
            </w:checkBox>
          </w:ffData>
        </w:fldChar>
      </w:r>
      <w:r w:rsidRPr="004813AC">
        <w:instrText xml:space="preserve"> FORMCHECKBOX </w:instrText>
      </w:r>
      <w:r w:rsidR="00E04695">
        <w:fldChar w:fldCharType="separate"/>
      </w:r>
      <w:r w:rsidRPr="004813AC">
        <w:fldChar w:fldCharType="end"/>
      </w:r>
      <w:r w:rsidRPr="004813AC">
        <w:t xml:space="preserve"> Motion to sever </w:t>
      </w:r>
      <w:r w:rsidRPr="004813AC">
        <w:fldChar w:fldCharType="begin">
          <w:ffData>
            <w:name w:val="Check1"/>
            <w:enabled/>
            <w:calcOnExit w:val="0"/>
            <w:checkBox>
              <w:sizeAuto/>
              <w:default w:val="0"/>
            </w:checkBox>
          </w:ffData>
        </w:fldChar>
      </w:r>
      <w:r w:rsidRPr="004813AC">
        <w:instrText xml:space="preserve"> FORMCHECKBOX </w:instrText>
      </w:r>
      <w:r w:rsidR="00E04695">
        <w:fldChar w:fldCharType="separate"/>
      </w:r>
      <w:r w:rsidRPr="004813AC">
        <w:fldChar w:fldCharType="end"/>
      </w:r>
      <w:r w:rsidRPr="004813AC">
        <w:t xml:space="preserve">  Motion to consolidate</w:t>
      </w:r>
    </w:p>
    <w:p w14:paraId="308ACF5B" w14:textId="77777777" w:rsidR="00E14EBE" w:rsidRPr="004813AC" w:rsidRDefault="00E14EBE" w:rsidP="00E14EBE">
      <w:pPr>
        <w:widowControl w:val="0"/>
        <w:spacing w:after="60"/>
      </w:pPr>
      <w:r w:rsidRPr="004813AC">
        <w:fldChar w:fldCharType="begin">
          <w:ffData>
            <w:name w:val="Check1"/>
            <w:enabled/>
            <w:calcOnExit w:val="0"/>
            <w:checkBox>
              <w:sizeAuto/>
              <w:default w:val="0"/>
            </w:checkBox>
          </w:ffData>
        </w:fldChar>
      </w:r>
      <w:r w:rsidRPr="004813AC">
        <w:instrText xml:space="preserve"> FORMCHECKBOX </w:instrText>
      </w:r>
      <w:r w:rsidR="00E04695">
        <w:fldChar w:fldCharType="separate"/>
      </w:r>
      <w:r w:rsidRPr="004813AC">
        <w:fldChar w:fldCharType="end"/>
      </w:r>
      <w:r w:rsidRPr="004813AC">
        <w:t xml:space="preserve"> Contested competency hearing   </w:t>
      </w:r>
      <w:r w:rsidRPr="004813AC">
        <w:fldChar w:fldCharType="begin">
          <w:ffData>
            <w:name w:val="Check1"/>
            <w:enabled/>
            <w:calcOnExit w:val="0"/>
            <w:checkBox>
              <w:sizeAuto/>
              <w:default w:val="0"/>
            </w:checkBox>
          </w:ffData>
        </w:fldChar>
      </w:r>
      <w:r w:rsidRPr="004813AC">
        <w:instrText xml:space="preserve"> FORMCHECKBOX </w:instrText>
      </w:r>
      <w:r w:rsidR="00E04695">
        <w:fldChar w:fldCharType="separate"/>
      </w:r>
      <w:r w:rsidRPr="004813AC">
        <w:fldChar w:fldCharType="end"/>
      </w:r>
      <w:r w:rsidRPr="004813AC">
        <w:t xml:space="preserve"> Motion for fingerprints / DNA sample  </w:t>
      </w:r>
    </w:p>
    <w:p w14:paraId="5841B0DF" w14:textId="77777777" w:rsidR="00E14EBE" w:rsidRPr="004813AC" w:rsidRDefault="00E14EBE" w:rsidP="00E14EBE">
      <w:pPr>
        <w:widowControl w:val="0"/>
        <w:spacing w:after="60"/>
      </w:pPr>
      <w:r w:rsidRPr="004813AC">
        <w:fldChar w:fldCharType="begin">
          <w:ffData>
            <w:name w:val="Check1"/>
            <w:enabled/>
            <w:calcOnExit w:val="0"/>
            <w:checkBox>
              <w:sizeAuto/>
              <w:default w:val="0"/>
            </w:checkBox>
          </w:ffData>
        </w:fldChar>
      </w:r>
      <w:r w:rsidRPr="004813AC">
        <w:instrText xml:space="preserve"> FORMCHECKBOX </w:instrText>
      </w:r>
      <w:r w:rsidR="00E04695">
        <w:fldChar w:fldCharType="separate"/>
      </w:r>
      <w:r w:rsidRPr="004813AC">
        <w:fldChar w:fldCharType="end"/>
      </w:r>
      <w:r w:rsidRPr="004813AC">
        <w:t xml:space="preserve">  Motion to compel discovery  </w:t>
      </w:r>
      <w:r w:rsidRPr="004813AC">
        <w:fldChar w:fldCharType="begin">
          <w:ffData>
            <w:name w:val="Check1"/>
            <w:enabled/>
            <w:calcOnExit w:val="0"/>
            <w:checkBox>
              <w:sizeAuto/>
              <w:default w:val="0"/>
            </w:checkBox>
          </w:ffData>
        </w:fldChar>
      </w:r>
      <w:r w:rsidRPr="004813AC">
        <w:instrText xml:space="preserve"> FORMCHECKBOX </w:instrText>
      </w:r>
      <w:r w:rsidR="00E04695">
        <w:fldChar w:fldCharType="separate"/>
      </w:r>
      <w:r w:rsidRPr="004813AC">
        <w:fldChar w:fldCharType="end"/>
      </w:r>
      <w:r w:rsidRPr="004813AC">
        <w:t xml:space="preserve">  Motion for a protective order </w:t>
      </w:r>
    </w:p>
    <w:p w14:paraId="6B2B3A8B" w14:textId="77777777" w:rsidR="00E14EBE" w:rsidRPr="004813AC" w:rsidRDefault="00E14EBE" w:rsidP="00E14EBE">
      <w:pPr>
        <w:widowControl w:val="0"/>
        <w:spacing w:after="60"/>
      </w:pPr>
      <w:r w:rsidRPr="004813AC">
        <w:fldChar w:fldCharType="begin">
          <w:ffData>
            <w:name w:val="Check1"/>
            <w:enabled/>
            <w:calcOnExit w:val="0"/>
            <w:checkBox>
              <w:sizeAuto/>
              <w:default w:val="0"/>
            </w:checkBox>
          </w:ffData>
        </w:fldChar>
      </w:r>
      <w:r w:rsidRPr="004813AC">
        <w:instrText xml:space="preserve"> FORMCHECKBOX </w:instrText>
      </w:r>
      <w:r w:rsidR="00E04695">
        <w:fldChar w:fldCharType="separate"/>
      </w:r>
      <w:r w:rsidRPr="004813AC">
        <w:fldChar w:fldCharType="end"/>
      </w:r>
      <w:r w:rsidRPr="004813AC">
        <w:t xml:space="preserve"> Motion to compel disclosure of a confidential informant   </w:t>
      </w:r>
    </w:p>
    <w:p w14:paraId="7471D709" w14:textId="77777777" w:rsidR="00E14EBE" w:rsidRPr="004813AC" w:rsidRDefault="00E14EBE" w:rsidP="00E14EBE">
      <w:pPr>
        <w:widowControl w:val="0"/>
      </w:pPr>
      <w:r w:rsidRPr="004813AC">
        <w:fldChar w:fldCharType="begin">
          <w:ffData>
            <w:name w:val="Check1"/>
            <w:enabled/>
            <w:calcOnExit w:val="0"/>
            <w:checkBox>
              <w:sizeAuto/>
              <w:default w:val="0"/>
            </w:checkBox>
          </w:ffData>
        </w:fldChar>
      </w:r>
      <w:r w:rsidRPr="004813AC">
        <w:instrText xml:space="preserve"> FORMCHECKBOX </w:instrText>
      </w:r>
      <w:r w:rsidR="00E04695">
        <w:fldChar w:fldCharType="separate"/>
      </w:r>
      <w:r w:rsidRPr="004813AC">
        <w:fldChar w:fldCharType="end"/>
      </w:r>
      <w:r w:rsidRPr="004813AC">
        <w:t xml:space="preserve"> Other motion:   ________________________________________________________________________.</w:t>
      </w:r>
    </w:p>
    <w:p w14:paraId="4E536DE1" w14:textId="77777777" w:rsidR="00251AAD" w:rsidRPr="004813AC" w:rsidRDefault="00251AAD" w:rsidP="00251AAD">
      <w:pPr>
        <w:widowControl w:val="0"/>
      </w:pPr>
      <w:r w:rsidRPr="004813AC">
        <w:t xml:space="preserve">      </w:t>
      </w:r>
    </w:p>
    <w:p w14:paraId="71AB2315" w14:textId="77777777" w:rsidR="00251AAD" w:rsidRPr="005F2BDF" w:rsidRDefault="00251AAD" w:rsidP="00251AAD">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before="60"/>
        <w:textAlignment w:val="baseline"/>
        <w:rPr>
          <w:b/>
        </w:rPr>
      </w:pPr>
      <w:r w:rsidRPr="005F2BDF">
        <w:rPr>
          <w:b/>
        </w:rPr>
        <w:t>You may list an address that is not your residential address where you agree to accept legal documents.</w:t>
      </w:r>
    </w:p>
    <w:p w14:paraId="4D6DCE5F" w14:textId="77777777" w:rsidR="009F5D62" w:rsidRPr="005F2BDF" w:rsidRDefault="009F5D62" w:rsidP="00251AAD">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before="60"/>
        <w:textAlignment w:val="baseline"/>
      </w:pPr>
    </w:p>
    <w:p w14:paraId="0892E22A" w14:textId="77777777" w:rsidR="00251AAD" w:rsidRPr="005F2BDF" w:rsidRDefault="00251AAD" w:rsidP="00251AAD">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before="40" w:line="312" w:lineRule="auto"/>
        <w:textAlignment w:val="baseline"/>
      </w:pPr>
      <w:r w:rsidRPr="005F2BDF">
        <w:t>Sign</w:t>
      </w:r>
      <w:r w:rsidR="00B9032C" w:rsidRPr="005F2BDF">
        <w:t>: _</w:t>
      </w:r>
      <w:r w:rsidRPr="005F2BDF">
        <w:t xml:space="preserve">______________________________  Print/Type Name: </w:t>
      </w:r>
      <w:r w:rsidR="009F5D62" w:rsidRPr="005F2BDF">
        <w:t xml:space="preserve">________________________    </w:t>
      </w:r>
      <w:r w:rsidR="009F5D62" w:rsidRPr="005F2BDF">
        <w:fldChar w:fldCharType="begin">
          <w:ffData>
            <w:name w:val="Check1"/>
            <w:enabled/>
            <w:calcOnExit w:val="0"/>
            <w:checkBox>
              <w:sizeAuto/>
              <w:default w:val="0"/>
            </w:checkBox>
          </w:ffData>
        </w:fldChar>
      </w:r>
      <w:r w:rsidR="009F5D62" w:rsidRPr="005F2BDF">
        <w:instrText xml:space="preserve"> FORMCHECKBOX </w:instrText>
      </w:r>
      <w:r w:rsidR="00E04695">
        <w:fldChar w:fldCharType="separate"/>
      </w:r>
      <w:r w:rsidR="009F5D62" w:rsidRPr="005F2BDF">
        <w:fldChar w:fldCharType="end"/>
      </w:r>
      <w:r w:rsidR="009F5D62" w:rsidRPr="005F2BDF">
        <w:t xml:space="preserve"> Pro Se </w:t>
      </w:r>
    </w:p>
    <w:p w14:paraId="05FB1BF6" w14:textId="77777777" w:rsidR="009F5D62" w:rsidRPr="005F2BDF" w:rsidRDefault="00251AAD" w:rsidP="00251AAD">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12" w:lineRule="auto"/>
        <w:textAlignment w:val="baseline"/>
      </w:pPr>
      <w:r w:rsidRPr="005F2BDF">
        <w:t xml:space="preserve">WSBA # _________________ (if attorney) </w:t>
      </w:r>
      <w:r w:rsidRPr="005F2BDF">
        <w:tab/>
        <w:t>Attorney for: ___________________________________</w:t>
      </w:r>
    </w:p>
    <w:p w14:paraId="0D6C5069" w14:textId="77777777" w:rsidR="00251AAD" w:rsidRPr="005F2BDF" w:rsidRDefault="009F5D62" w:rsidP="00251AAD">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12" w:lineRule="auto"/>
        <w:textAlignment w:val="baseline"/>
      </w:pPr>
      <w:r w:rsidRPr="005F2BDF">
        <w:t>Agency: ______________________</w:t>
      </w:r>
      <w:r w:rsidR="00B9032C">
        <w:t>_____________________________________________________</w:t>
      </w:r>
      <w:r w:rsidR="00251AAD" w:rsidRPr="005F2BDF">
        <w:tab/>
      </w:r>
    </w:p>
    <w:p w14:paraId="0F558DC9" w14:textId="77777777" w:rsidR="00251AAD" w:rsidRDefault="00251AAD"/>
    <w:p w14:paraId="602D0FFD" w14:textId="77777777" w:rsidR="005F2BDF" w:rsidRDefault="005F2BDF"/>
    <w:p w14:paraId="3BCB510D" w14:textId="77777777" w:rsidR="005F2BDF" w:rsidRPr="005F2BDF" w:rsidRDefault="005F2BDF"/>
    <w:p w14:paraId="01F12808" w14:textId="77777777" w:rsidR="00251AAD" w:rsidRPr="005F2BDF" w:rsidRDefault="00251AAD" w:rsidP="00251AAD">
      <w:pPr>
        <w:pBdr>
          <w:top w:val="single" w:sz="6" w:space="1" w:color="auto"/>
          <w:left w:val="single" w:sz="6" w:space="1" w:color="auto"/>
          <w:bottom w:val="single" w:sz="6" w:space="1" w:color="auto"/>
          <w:right w:val="single" w:sz="6" w:space="0" w:color="auto"/>
        </w:pBd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jc w:val="center"/>
        <w:textAlignment w:val="baseline"/>
      </w:pPr>
      <w:r w:rsidRPr="005F2BDF">
        <w:t>LIST NAMES AND SERVICE ADDRESSES FOR ALL NECESSARY PARTIES REQUIRING NOTICE</w:t>
      </w:r>
    </w:p>
    <w:tbl>
      <w:tblPr>
        <w:tblW w:w="0" w:type="auto"/>
        <w:tblLayout w:type="fixed"/>
        <w:tblLook w:val="0000" w:firstRow="0" w:lastRow="0" w:firstColumn="0" w:lastColumn="0" w:noHBand="0" w:noVBand="0"/>
      </w:tblPr>
      <w:tblGrid>
        <w:gridCol w:w="4788"/>
        <w:gridCol w:w="4788"/>
      </w:tblGrid>
      <w:tr w:rsidR="00251AAD" w:rsidRPr="005F2BDF" w14:paraId="3CAD064C" w14:textId="77777777" w:rsidTr="009F5D62">
        <w:tc>
          <w:tcPr>
            <w:tcW w:w="4788" w:type="dxa"/>
            <w:tcBorders>
              <w:top w:val="nil"/>
              <w:left w:val="nil"/>
              <w:bottom w:val="nil"/>
              <w:right w:val="nil"/>
            </w:tcBorders>
          </w:tcPr>
          <w:p w14:paraId="1B997940"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pPr>
          </w:p>
          <w:p w14:paraId="69CD4485"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pPr>
          </w:p>
          <w:p w14:paraId="02CAA2F9"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pPr>
            <w:r w:rsidRPr="005F2BDF">
              <w:t>Name__________________________________</w:t>
            </w:r>
          </w:p>
          <w:p w14:paraId="32DAD937"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pPr>
            <w:r w:rsidRPr="005F2BDF">
              <w:t>Service Address:_________________________</w:t>
            </w:r>
          </w:p>
          <w:p w14:paraId="10CBD3A6"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pPr>
            <w:r w:rsidRPr="005F2BDF">
              <w:t>City, State, Zip___________________________</w:t>
            </w:r>
          </w:p>
          <w:p w14:paraId="7683486A"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pPr>
            <w:r w:rsidRPr="005F2BDF">
              <w:t>WSBA# _______Atty. For:__________________</w:t>
            </w:r>
          </w:p>
          <w:p w14:paraId="257E04CB"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rPr>
                <w:u w:val="single"/>
              </w:rPr>
            </w:pPr>
            <w:r w:rsidRPr="005F2BDF">
              <w:t xml:space="preserve">Telephone #:  </w:t>
            </w:r>
            <w:r w:rsidRPr="005F2BDF">
              <w:rPr>
                <w:u w:val="single"/>
              </w:rPr>
              <w:t xml:space="preserve">                                                      </w:t>
            </w:r>
          </w:p>
        </w:tc>
        <w:tc>
          <w:tcPr>
            <w:tcW w:w="4788" w:type="dxa"/>
            <w:tcBorders>
              <w:top w:val="nil"/>
              <w:left w:val="nil"/>
              <w:bottom w:val="nil"/>
              <w:right w:val="nil"/>
            </w:tcBorders>
          </w:tcPr>
          <w:p w14:paraId="6E8AA401"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pPr>
          </w:p>
          <w:p w14:paraId="57C2A669"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pPr>
          </w:p>
          <w:p w14:paraId="6176E149"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pPr>
            <w:r w:rsidRPr="005F2BDF">
              <w:t>Name__________________________________</w:t>
            </w:r>
          </w:p>
          <w:p w14:paraId="28AD90E0"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pPr>
            <w:r w:rsidRPr="005F2BDF">
              <w:t>Service Address:_________________________</w:t>
            </w:r>
          </w:p>
          <w:p w14:paraId="259BB5AC"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pPr>
            <w:r w:rsidRPr="005F2BDF">
              <w:t>City, State, Zip___________________________</w:t>
            </w:r>
          </w:p>
          <w:p w14:paraId="61954838"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pPr>
            <w:r w:rsidRPr="005F2BDF">
              <w:t>WSBA# _______Atty. For:__________________</w:t>
            </w:r>
          </w:p>
          <w:p w14:paraId="37008A26"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rPr>
                <w:u w:val="single"/>
              </w:rPr>
            </w:pPr>
            <w:r w:rsidRPr="005F2BDF">
              <w:t xml:space="preserve">Telephone #:  </w:t>
            </w:r>
            <w:r w:rsidRPr="005F2BDF">
              <w:rPr>
                <w:u w:val="single"/>
              </w:rPr>
              <w:t xml:space="preserve">                                                      </w:t>
            </w:r>
          </w:p>
          <w:p w14:paraId="2AC0ACAC"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rPr>
                <w:u w:val="single"/>
              </w:rPr>
            </w:pPr>
          </w:p>
        </w:tc>
      </w:tr>
      <w:tr w:rsidR="00251AAD" w:rsidRPr="005F2BDF" w14:paraId="3674859C" w14:textId="77777777" w:rsidTr="009F5D62">
        <w:tc>
          <w:tcPr>
            <w:tcW w:w="4788" w:type="dxa"/>
            <w:tcBorders>
              <w:top w:val="nil"/>
              <w:left w:val="nil"/>
              <w:bottom w:val="nil"/>
              <w:right w:val="nil"/>
            </w:tcBorders>
          </w:tcPr>
          <w:p w14:paraId="54D753D8"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rPr>
                <w:u w:val="single"/>
              </w:rPr>
            </w:pPr>
          </w:p>
        </w:tc>
        <w:tc>
          <w:tcPr>
            <w:tcW w:w="4788" w:type="dxa"/>
            <w:tcBorders>
              <w:top w:val="nil"/>
              <w:left w:val="nil"/>
              <w:bottom w:val="nil"/>
              <w:right w:val="nil"/>
            </w:tcBorders>
          </w:tcPr>
          <w:p w14:paraId="63B8752F"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rPr>
                <w:u w:val="single"/>
              </w:rPr>
            </w:pPr>
          </w:p>
        </w:tc>
      </w:tr>
      <w:tr w:rsidR="00251AAD" w:rsidRPr="005F2BDF" w14:paraId="41088EF1" w14:textId="77777777" w:rsidTr="009F5D62">
        <w:tc>
          <w:tcPr>
            <w:tcW w:w="4788" w:type="dxa"/>
            <w:tcBorders>
              <w:top w:val="nil"/>
              <w:left w:val="nil"/>
              <w:bottom w:val="nil"/>
              <w:right w:val="nil"/>
            </w:tcBorders>
          </w:tcPr>
          <w:p w14:paraId="2F367CFA"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rPr>
                <w:u w:val="single"/>
              </w:rPr>
            </w:pPr>
          </w:p>
        </w:tc>
        <w:tc>
          <w:tcPr>
            <w:tcW w:w="4788" w:type="dxa"/>
            <w:tcBorders>
              <w:top w:val="nil"/>
              <w:left w:val="nil"/>
              <w:bottom w:val="nil"/>
              <w:right w:val="nil"/>
            </w:tcBorders>
          </w:tcPr>
          <w:p w14:paraId="58654B5A" w14:textId="77777777" w:rsidR="00251AAD" w:rsidRPr="005F2BDF" w:rsidRDefault="00251AAD" w:rsidP="009F5D62">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textAlignment w:val="baseline"/>
              <w:rPr>
                <w:u w:val="single"/>
              </w:rPr>
            </w:pPr>
          </w:p>
        </w:tc>
      </w:tr>
    </w:tbl>
    <w:p w14:paraId="006085D4" w14:textId="77777777" w:rsidR="00251AAD" w:rsidRPr="005F2BDF" w:rsidRDefault="00251AAD" w:rsidP="00251AAD">
      <w:pPr>
        <w:tabs>
          <w:tab w:val="left" w:pos="540"/>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pPr>
    </w:p>
    <w:p w14:paraId="11FAB411" w14:textId="77777777" w:rsidR="00251AAD" w:rsidRPr="005F2BDF" w:rsidRDefault="00251AAD" w:rsidP="00251AAD">
      <w:pPr>
        <w:tabs>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288" w:lineRule="auto"/>
        <w:jc w:val="center"/>
        <w:textAlignment w:val="baseline"/>
        <w:rPr>
          <w:b/>
        </w:rPr>
      </w:pPr>
      <w:r w:rsidRPr="005F2BDF">
        <w:rPr>
          <w:b/>
        </w:rPr>
        <w:t>IMPORTANT NOTICE REGARDING CASES</w:t>
      </w:r>
    </w:p>
    <w:p w14:paraId="59DA9D6F" w14:textId="77777777" w:rsidR="00251AAD" w:rsidRPr="005F2BDF" w:rsidRDefault="00251AAD" w:rsidP="00251AAD">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rPr>
          <w:b/>
        </w:rPr>
      </w:pPr>
    </w:p>
    <w:p w14:paraId="32D68871" w14:textId="67AC81A1" w:rsidR="00251AAD" w:rsidRDefault="00251AAD" w:rsidP="00251AAD">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pPr>
      <w:r w:rsidRPr="005F2BDF">
        <w:t>To set a motion, please use the foll</w:t>
      </w:r>
      <w:r w:rsidR="00DB69CF">
        <w:t xml:space="preserve">owing contact information: Seattle: </w:t>
      </w:r>
      <w:hyperlink r:id="rId9" w:history="1">
        <w:r w:rsidR="00DB69CF" w:rsidRPr="003751D9">
          <w:rPr>
            <w:rStyle w:val="Hyperlink"/>
          </w:rPr>
          <w:t>seacriminalmotions@kingcounty.gov</w:t>
        </w:r>
      </w:hyperlink>
      <w:r w:rsidR="00DB69CF">
        <w:t xml:space="preserve">  </w:t>
      </w:r>
      <w:r w:rsidR="002255BD">
        <w:t xml:space="preserve">or </w:t>
      </w:r>
      <w:r w:rsidR="007510DA">
        <w:t xml:space="preserve">(206) </w:t>
      </w:r>
      <w:r w:rsidR="00FA4FBF" w:rsidRPr="00FA4FBF">
        <w:t>477-</w:t>
      </w:r>
      <w:r w:rsidR="0032292D">
        <w:t>1</w:t>
      </w:r>
      <w:r w:rsidR="00E04695">
        <w:t>379</w:t>
      </w:r>
      <w:r w:rsidR="002255BD">
        <w:t>.</w:t>
      </w:r>
    </w:p>
    <w:p w14:paraId="6B3D304A" w14:textId="77777777" w:rsidR="002255BD" w:rsidRPr="005F2BDF" w:rsidRDefault="002255BD" w:rsidP="00251AAD">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pPr>
    </w:p>
    <w:p w14:paraId="25726D89" w14:textId="77777777" w:rsidR="006F7F9A" w:rsidRPr="005F2BDF" w:rsidRDefault="00251AAD" w:rsidP="006F7F9A">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pPr>
      <w:r w:rsidRPr="005F2BDF">
        <w:t xml:space="preserve">Special settings can be made available for lengthy motions and to accommodate attorneys in trial.  </w:t>
      </w:r>
      <w:r w:rsidR="006F7F9A" w:rsidRPr="005F2BDF">
        <w:t xml:space="preserve">The party who schedules the motion must notify opposing counsel, </w:t>
      </w:r>
      <w:hyperlink r:id="rId10" w:history="1">
        <w:r w:rsidR="006F7F9A" w:rsidRPr="005F2BDF">
          <w:rPr>
            <w:rStyle w:val="Hyperlink"/>
          </w:rPr>
          <w:t>CrR 8.2</w:t>
        </w:r>
      </w:hyperlink>
      <w:r w:rsidR="006F7F9A" w:rsidRPr="005F2BDF">
        <w:t xml:space="preserve">, </w:t>
      </w:r>
      <w:hyperlink r:id="rId11" w:history="1">
        <w:r w:rsidR="006F7F9A" w:rsidRPr="005F2BDF">
          <w:rPr>
            <w:rStyle w:val="Hyperlink"/>
          </w:rPr>
          <w:t>CR 7(b)</w:t>
        </w:r>
      </w:hyperlink>
      <w:r w:rsidR="006F7F9A" w:rsidRPr="005F2BDF">
        <w:t xml:space="preserve">. </w:t>
      </w:r>
    </w:p>
    <w:p w14:paraId="31E0F4EA" w14:textId="77777777" w:rsidR="00251AAD" w:rsidRPr="005F2BDF" w:rsidRDefault="00251AAD" w:rsidP="00251AAD">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pPr>
    </w:p>
    <w:p w14:paraId="1E208E2D" w14:textId="77777777" w:rsidR="00251AAD" w:rsidRPr="005F2BDF" w:rsidRDefault="00251AAD" w:rsidP="00251AAD">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pPr>
      <w:r w:rsidRPr="005F2BDF">
        <w:t xml:space="preserve">Party requesting criminal motion must file </w:t>
      </w:r>
      <w:r w:rsidR="006F7F9A" w:rsidRPr="005F2BDF">
        <w:t xml:space="preserve">any written </w:t>
      </w:r>
      <w:r w:rsidRPr="005F2BDF">
        <w:t>motion &amp; affidavits separat</w:t>
      </w:r>
      <w:r w:rsidR="006F7F9A" w:rsidRPr="005F2BDF">
        <w:t xml:space="preserve">ely along with this notice.  </w:t>
      </w:r>
      <w:r w:rsidRPr="005F2BDF">
        <w:t>Serve a copy of this notice, with motion documents, on all parties.</w:t>
      </w:r>
    </w:p>
    <w:p w14:paraId="61FB0DAB" w14:textId="77777777" w:rsidR="00251AAD" w:rsidRPr="005F2BDF" w:rsidRDefault="00251AAD" w:rsidP="00251AAD">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pPr>
    </w:p>
    <w:p w14:paraId="7748313C" w14:textId="77777777" w:rsidR="00251AAD" w:rsidRPr="005F2BDF" w:rsidRDefault="00251AAD" w:rsidP="00251AAD">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pPr>
      <w:r w:rsidRPr="005F2BDF">
        <w:t>Criminal motions are set according to the following schedule:</w:t>
      </w:r>
    </w:p>
    <w:p w14:paraId="2795BC04" w14:textId="77777777" w:rsidR="00251AAD" w:rsidRPr="005F2BDF" w:rsidRDefault="00251AAD" w:rsidP="00251AAD">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pPr>
    </w:p>
    <w:tbl>
      <w:tblPr>
        <w:tblW w:w="86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520"/>
        <w:gridCol w:w="1620"/>
        <w:gridCol w:w="1620"/>
      </w:tblGrid>
      <w:tr w:rsidR="00251AAD" w:rsidRPr="005F2BDF" w14:paraId="74D97615" w14:textId="77777777" w:rsidTr="009F5D62">
        <w:tc>
          <w:tcPr>
            <w:tcW w:w="2880" w:type="dxa"/>
            <w:tcBorders>
              <w:bottom w:val="single" w:sz="4" w:space="0" w:color="auto"/>
            </w:tcBorders>
          </w:tcPr>
          <w:p w14:paraId="365AAA9D" w14:textId="77777777" w:rsidR="00251AAD" w:rsidRPr="005F2BDF" w:rsidRDefault="00251AAD" w:rsidP="009F5D62">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rPr>
                <w:b/>
              </w:rPr>
            </w:pPr>
            <w:r w:rsidRPr="005F2BDF">
              <w:rPr>
                <w:b/>
              </w:rPr>
              <w:t>Calendar</w:t>
            </w:r>
          </w:p>
        </w:tc>
        <w:tc>
          <w:tcPr>
            <w:tcW w:w="2520" w:type="dxa"/>
          </w:tcPr>
          <w:p w14:paraId="4F50159C" w14:textId="77777777" w:rsidR="00251AAD" w:rsidRPr="005F2BDF" w:rsidRDefault="00251AAD" w:rsidP="009F5D62">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rPr>
                <w:b/>
              </w:rPr>
            </w:pPr>
            <w:r w:rsidRPr="005F2BDF">
              <w:rPr>
                <w:b/>
              </w:rPr>
              <w:t>Day of the Week</w:t>
            </w:r>
          </w:p>
        </w:tc>
        <w:tc>
          <w:tcPr>
            <w:tcW w:w="1620" w:type="dxa"/>
          </w:tcPr>
          <w:p w14:paraId="4E59F3F0" w14:textId="77777777" w:rsidR="00251AAD" w:rsidRPr="005F2BDF" w:rsidRDefault="00251AAD" w:rsidP="009F5D62">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rPr>
                <w:b/>
              </w:rPr>
            </w:pPr>
            <w:r w:rsidRPr="005F2BDF">
              <w:rPr>
                <w:b/>
              </w:rPr>
              <w:t>Time</w:t>
            </w:r>
          </w:p>
        </w:tc>
        <w:tc>
          <w:tcPr>
            <w:tcW w:w="1620" w:type="dxa"/>
          </w:tcPr>
          <w:p w14:paraId="6BF01819" w14:textId="77777777" w:rsidR="00251AAD" w:rsidRPr="005F2BDF" w:rsidRDefault="00251AAD" w:rsidP="009F5D62">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rPr>
                <w:b/>
              </w:rPr>
            </w:pPr>
            <w:r w:rsidRPr="005F2BDF">
              <w:rPr>
                <w:b/>
              </w:rPr>
              <w:t>Location</w:t>
            </w:r>
          </w:p>
        </w:tc>
      </w:tr>
      <w:tr w:rsidR="00251AAD" w:rsidRPr="005F2BDF" w14:paraId="5E6FF8BB" w14:textId="77777777" w:rsidTr="009F5D62">
        <w:tc>
          <w:tcPr>
            <w:tcW w:w="2880" w:type="dxa"/>
          </w:tcPr>
          <w:p w14:paraId="5593FF56" w14:textId="77777777" w:rsidR="00251AAD" w:rsidRPr="005F2BDF" w:rsidRDefault="00A163B0" w:rsidP="009F5D62">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pPr>
            <w:r>
              <w:t>Seattle</w:t>
            </w:r>
          </w:p>
        </w:tc>
        <w:tc>
          <w:tcPr>
            <w:tcW w:w="2520" w:type="dxa"/>
          </w:tcPr>
          <w:p w14:paraId="29B75BE3" w14:textId="77777777" w:rsidR="00251AAD" w:rsidRPr="005F2BDF" w:rsidRDefault="00A163B0" w:rsidP="009F5D62">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pPr>
            <w:r>
              <w:t xml:space="preserve">Monday, </w:t>
            </w:r>
            <w:r w:rsidR="00234AC1">
              <w:t xml:space="preserve">Tuesday, </w:t>
            </w:r>
            <w:r>
              <w:t>Wednesday, Thursday</w:t>
            </w:r>
          </w:p>
        </w:tc>
        <w:tc>
          <w:tcPr>
            <w:tcW w:w="1620" w:type="dxa"/>
          </w:tcPr>
          <w:p w14:paraId="7A4CDE8A" w14:textId="77777777" w:rsidR="00251AAD" w:rsidRPr="005F2BDF" w:rsidRDefault="00357F3B" w:rsidP="009F5D62">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pPr>
            <w:r>
              <w:t>afternoon</w:t>
            </w:r>
          </w:p>
        </w:tc>
        <w:tc>
          <w:tcPr>
            <w:tcW w:w="1620" w:type="dxa"/>
          </w:tcPr>
          <w:p w14:paraId="7202547B" w14:textId="7F0181FB" w:rsidR="00251AAD" w:rsidRPr="005F2BDF" w:rsidRDefault="00E04695" w:rsidP="009F5D62">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pPr>
            <w:r>
              <w:t>W-905</w:t>
            </w:r>
          </w:p>
        </w:tc>
      </w:tr>
    </w:tbl>
    <w:p w14:paraId="08A5F621" w14:textId="77777777" w:rsidR="00251AAD" w:rsidRPr="005F2BDF" w:rsidRDefault="00251AAD" w:rsidP="00251AAD">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pPr>
    </w:p>
    <w:p w14:paraId="685476CB" w14:textId="77777777" w:rsidR="004700D4" w:rsidRPr="004700D4" w:rsidRDefault="004700D4" w:rsidP="004700D4">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pPr>
      <w:r w:rsidRPr="004700D4">
        <w:t xml:space="preserve">Motion documents must be filed before a motion can be set.  When noting a hearing on the criminal motions calendar, the moving party shall serve and file all motion documents no later than six court days before the hearing date.  Any party opposing a motion shall file and serve the responsive materials no later than noon two court days before the date the motion is to be heard.  Any documents in strict reply shall be filed and served no later than noon on the court day before the hearing.  Motions to shorten time should be presented to the criminal motions judge.  The moving party shall comply with </w:t>
      </w:r>
      <w:hyperlink r:id="rId12" w:history="1">
        <w:r w:rsidRPr="004700D4">
          <w:rPr>
            <w:rStyle w:val="Hyperlink"/>
          </w:rPr>
          <w:t>LCR 7(b)(10)</w:t>
        </w:r>
      </w:hyperlink>
      <w:r w:rsidRPr="004700D4">
        <w:t xml:space="preserve">, </w:t>
      </w:r>
      <w:hyperlink r:id="rId13" w:history="1">
        <w:r w:rsidRPr="004700D4">
          <w:rPr>
            <w:rStyle w:val="Hyperlink"/>
          </w:rPr>
          <w:t>CrR 8.2</w:t>
        </w:r>
      </w:hyperlink>
      <w:r w:rsidRPr="004700D4">
        <w:t xml:space="preserve">, </w:t>
      </w:r>
      <w:hyperlink r:id="rId14" w:history="1">
        <w:r w:rsidRPr="004700D4">
          <w:rPr>
            <w:rStyle w:val="Hyperlink"/>
          </w:rPr>
          <w:t>CR 7(b)</w:t>
        </w:r>
      </w:hyperlink>
      <w:r w:rsidRPr="004700D4">
        <w:t>.</w:t>
      </w:r>
    </w:p>
    <w:p w14:paraId="68BE2BBD" w14:textId="77777777" w:rsidR="00251AAD" w:rsidRPr="005F2BDF" w:rsidRDefault="00251AAD" w:rsidP="00251AAD">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pPr>
    </w:p>
    <w:p w14:paraId="62A0DE01" w14:textId="77777777" w:rsidR="00251AAD" w:rsidRDefault="001171E1">
      <w:r w:rsidRPr="001171E1">
        <w:t>The SEATTLE COURTHOUSE is in Seattle, Washington at 516 Third Avenue.  The Clerk’s Office is on the sixth floor, room E609.  The Judges’ Mailroom is Room C203.</w:t>
      </w:r>
    </w:p>
    <w:sectPr w:rsidR="00251AA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22E7" w14:textId="77777777" w:rsidR="00A27EFF" w:rsidRDefault="00A27EFF" w:rsidP="00251AAD">
      <w:r>
        <w:separator/>
      </w:r>
    </w:p>
  </w:endnote>
  <w:endnote w:type="continuationSeparator" w:id="0">
    <w:p w14:paraId="5A51F138" w14:textId="77777777" w:rsidR="00A27EFF" w:rsidRDefault="00A27EFF" w:rsidP="0025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0D84" w14:textId="77777777" w:rsidR="00D61BA5" w:rsidRDefault="00D61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17118"/>
      <w:docPartObj>
        <w:docPartGallery w:val="Page Numbers (Bottom of Page)"/>
        <w:docPartUnique/>
      </w:docPartObj>
    </w:sdtPr>
    <w:sdtEndPr/>
    <w:sdtContent>
      <w:sdt>
        <w:sdtPr>
          <w:id w:val="860082579"/>
          <w:docPartObj>
            <w:docPartGallery w:val="Page Numbers (Top of Page)"/>
            <w:docPartUnique/>
          </w:docPartObj>
        </w:sdtPr>
        <w:sdtEndPr/>
        <w:sdtContent>
          <w:p w14:paraId="6312258F" w14:textId="77777777" w:rsidR="0002214D" w:rsidRDefault="000221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425A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25AF">
              <w:rPr>
                <w:b/>
                <w:bCs/>
                <w:noProof/>
              </w:rPr>
              <w:t>1</w:t>
            </w:r>
            <w:r>
              <w:rPr>
                <w:b/>
                <w:bCs/>
                <w:sz w:val="24"/>
                <w:szCs w:val="24"/>
              </w:rPr>
              <w:fldChar w:fldCharType="end"/>
            </w:r>
          </w:p>
        </w:sdtContent>
      </w:sdt>
    </w:sdtContent>
  </w:sdt>
  <w:p w14:paraId="4A37C1B4" w14:textId="77777777" w:rsidR="0002214D" w:rsidRDefault="0002214D">
    <w:pPr>
      <w:pStyle w:val="Footer"/>
    </w:pPr>
    <w:r>
      <w:t>NOTE FOR CRIMINAL MOTION- SEATTLE COURTHOUSE ONLY</w:t>
    </w:r>
    <w:r>
      <w:tab/>
      <w:t xml:space="preserve"> </w:t>
    </w:r>
  </w:p>
  <w:p w14:paraId="7EF45B5F" w14:textId="77777777" w:rsidR="00AB0701" w:rsidRDefault="0002214D">
    <w:pPr>
      <w:pStyle w:val="Footer"/>
    </w:pPr>
    <w:r>
      <w:t>SUPERIOR COURT</w:t>
    </w:r>
  </w:p>
  <w:p w14:paraId="580EFFAA" w14:textId="0CBE29D1" w:rsidR="0002214D" w:rsidRDefault="00AB0701">
    <w:pPr>
      <w:pStyle w:val="Footer"/>
    </w:pPr>
    <w:r>
      <w:t>Revised: 3/22</w:t>
    </w:r>
    <w:r w:rsidR="0002214D">
      <w:tab/>
    </w:r>
    <w:r w:rsidR="0002214D">
      <w:tab/>
      <w:t xml:space="preserve">                                         CODE: NTHG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C227" w14:textId="77777777" w:rsidR="00D61BA5" w:rsidRDefault="00D61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2976" w14:textId="77777777" w:rsidR="00A27EFF" w:rsidRDefault="00A27EFF" w:rsidP="00251AAD">
      <w:r>
        <w:separator/>
      </w:r>
    </w:p>
  </w:footnote>
  <w:footnote w:type="continuationSeparator" w:id="0">
    <w:p w14:paraId="2907F95B" w14:textId="77777777" w:rsidR="00A27EFF" w:rsidRDefault="00A27EFF" w:rsidP="00251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2CE8" w14:textId="77777777" w:rsidR="00D61BA5" w:rsidRDefault="00D61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4C0A" w14:textId="77777777" w:rsidR="00D61BA5" w:rsidRDefault="00D61B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9FC" w14:textId="77777777" w:rsidR="00D61BA5" w:rsidRDefault="00D61B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AD"/>
    <w:rsid w:val="00000F62"/>
    <w:rsid w:val="0002214D"/>
    <w:rsid w:val="00032623"/>
    <w:rsid w:val="00032BF4"/>
    <w:rsid w:val="00042204"/>
    <w:rsid w:val="00043611"/>
    <w:rsid w:val="000A2E0F"/>
    <w:rsid w:val="000D17FA"/>
    <w:rsid w:val="000D6CC3"/>
    <w:rsid w:val="000E7033"/>
    <w:rsid w:val="001171E1"/>
    <w:rsid w:val="001750E7"/>
    <w:rsid w:val="001975A4"/>
    <w:rsid w:val="001A43E9"/>
    <w:rsid w:val="001D183A"/>
    <w:rsid w:val="002255BD"/>
    <w:rsid w:val="00234AC1"/>
    <w:rsid w:val="00251AAD"/>
    <w:rsid w:val="0026691A"/>
    <w:rsid w:val="002A335A"/>
    <w:rsid w:val="002D6BB4"/>
    <w:rsid w:val="002D6C36"/>
    <w:rsid w:val="0032292D"/>
    <w:rsid w:val="003425AF"/>
    <w:rsid w:val="00357F3B"/>
    <w:rsid w:val="00370C74"/>
    <w:rsid w:val="003766DA"/>
    <w:rsid w:val="00394023"/>
    <w:rsid w:val="003B77A0"/>
    <w:rsid w:val="00433AD7"/>
    <w:rsid w:val="004700D4"/>
    <w:rsid w:val="00472BA6"/>
    <w:rsid w:val="004813AC"/>
    <w:rsid w:val="004F6017"/>
    <w:rsid w:val="00522A92"/>
    <w:rsid w:val="0052798A"/>
    <w:rsid w:val="00533B81"/>
    <w:rsid w:val="0053499B"/>
    <w:rsid w:val="0057021E"/>
    <w:rsid w:val="005804A8"/>
    <w:rsid w:val="005A078F"/>
    <w:rsid w:val="005F2BDF"/>
    <w:rsid w:val="00682E65"/>
    <w:rsid w:val="006977BC"/>
    <w:rsid w:val="006E54F8"/>
    <w:rsid w:val="006F7546"/>
    <w:rsid w:val="006F7F9A"/>
    <w:rsid w:val="007510DA"/>
    <w:rsid w:val="0075774E"/>
    <w:rsid w:val="00787418"/>
    <w:rsid w:val="007A093A"/>
    <w:rsid w:val="007A7628"/>
    <w:rsid w:val="007E6569"/>
    <w:rsid w:val="007F032C"/>
    <w:rsid w:val="007F052B"/>
    <w:rsid w:val="007F171D"/>
    <w:rsid w:val="00840FD2"/>
    <w:rsid w:val="008B4CCE"/>
    <w:rsid w:val="00940C1B"/>
    <w:rsid w:val="009555BA"/>
    <w:rsid w:val="009D14BF"/>
    <w:rsid w:val="009D2BF1"/>
    <w:rsid w:val="009F5D62"/>
    <w:rsid w:val="00A163B0"/>
    <w:rsid w:val="00A27E19"/>
    <w:rsid w:val="00A27EFF"/>
    <w:rsid w:val="00A6204C"/>
    <w:rsid w:val="00A82730"/>
    <w:rsid w:val="00A97FCB"/>
    <w:rsid w:val="00AB0701"/>
    <w:rsid w:val="00B37FBA"/>
    <w:rsid w:val="00B4263E"/>
    <w:rsid w:val="00B438C2"/>
    <w:rsid w:val="00B53EF2"/>
    <w:rsid w:val="00B9032C"/>
    <w:rsid w:val="00B97459"/>
    <w:rsid w:val="00BB7880"/>
    <w:rsid w:val="00C45EB5"/>
    <w:rsid w:val="00C74AE5"/>
    <w:rsid w:val="00C75DB3"/>
    <w:rsid w:val="00C80B80"/>
    <w:rsid w:val="00C92CE5"/>
    <w:rsid w:val="00C97E8E"/>
    <w:rsid w:val="00CA2148"/>
    <w:rsid w:val="00CA4F54"/>
    <w:rsid w:val="00CE02B9"/>
    <w:rsid w:val="00D204BC"/>
    <w:rsid w:val="00D6189A"/>
    <w:rsid w:val="00D61BA5"/>
    <w:rsid w:val="00D72AD6"/>
    <w:rsid w:val="00D83420"/>
    <w:rsid w:val="00DA6AD4"/>
    <w:rsid w:val="00DB69CF"/>
    <w:rsid w:val="00DE02FC"/>
    <w:rsid w:val="00E04695"/>
    <w:rsid w:val="00E14EBE"/>
    <w:rsid w:val="00E22FA2"/>
    <w:rsid w:val="00E8220A"/>
    <w:rsid w:val="00E94208"/>
    <w:rsid w:val="00F1709C"/>
    <w:rsid w:val="00F71878"/>
    <w:rsid w:val="00FA4FBF"/>
    <w:rsid w:val="00FF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B79E2"/>
  <w15:docId w15:val="{1E6D8C32-A349-4A60-AEFD-13441484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AA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51AAD"/>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1AAD"/>
    <w:rPr>
      <w:color w:val="0000FF"/>
      <w:u w:val="single"/>
    </w:rPr>
  </w:style>
  <w:style w:type="character" w:customStyle="1" w:styleId="Heading1Char">
    <w:name w:val="Heading 1 Char"/>
    <w:basedOn w:val="DefaultParagraphFont"/>
    <w:link w:val="Heading1"/>
    <w:rsid w:val="00251AA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51AAD"/>
    <w:pPr>
      <w:tabs>
        <w:tab w:val="center" w:pos="4680"/>
        <w:tab w:val="right" w:pos="9360"/>
      </w:tabs>
    </w:pPr>
  </w:style>
  <w:style w:type="character" w:customStyle="1" w:styleId="HeaderChar">
    <w:name w:val="Header Char"/>
    <w:basedOn w:val="DefaultParagraphFont"/>
    <w:link w:val="Header"/>
    <w:uiPriority w:val="99"/>
    <w:rsid w:val="00251AA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51AAD"/>
    <w:pPr>
      <w:tabs>
        <w:tab w:val="center" w:pos="4680"/>
        <w:tab w:val="right" w:pos="9360"/>
      </w:tabs>
    </w:pPr>
  </w:style>
  <w:style w:type="character" w:customStyle="1" w:styleId="FooterChar">
    <w:name w:val="Footer Char"/>
    <w:basedOn w:val="DefaultParagraphFont"/>
    <w:link w:val="Footer"/>
    <w:uiPriority w:val="99"/>
    <w:rsid w:val="00251A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2148"/>
    <w:rPr>
      <w:rFonts w:ascii="Tahoma" w:hAnsi="Tahoma" w:cs="Tahoma"/>
      <w:sz w:val="16"/>
      <w:szCs w:val="16"/>
    </w:rPr>
  </w:style>
  <w:style w:type="character" w:customStyle="1" w:styleId="BalloonTextChar">
    <w:name w:val="Balloon Text Char"/>
    <w:basedOn w:val="DefaultParagraphFont"/>
    <w:link w:val="BalloonText"/>
    <w:uiPriority w:val="99"/>
    <w:semiHidden/>
    <w:rsid w:val="00CA2148"/>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47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urts.wa.gov/court_rules/?fa=court_rules.display&amp;group=sup&amp;set=CrR&amp;ruleid=supCrR8.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ingcounty.gov/courts/Clerk/Rules/Individuallinks/LCR_7.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urts.wa.gov/court_rules/?fa=court_rules.display&amp;group=sup&amp;set=CR&amp;ruleid=supcr0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urts.wa.gov/court_rules/?fa=court_rules.display&amp;group=sup&amp;set=CrR&amp;ruleid=supCrR8.2"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seacriminalmotions@kingcounty.gov" TargetMode="External"/><Relationship Id="rId14" Type="http://schemas.openxmlformats.org/officeDocument/2006/relationships/hyperlink" Target="http://www.courts.wa.gov/court_rules/?fa=court_rules.display&amp;group=sup&amp;set=CR&amp;ruleid=supcr0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73578588B7046A1271CAE8CBDF117" ma:contentTypeVersion="4" ma:contentTypeDescription="Create a new document." ma:contentTypeScope="" ma:versionID="8057689e638570f26400b46c0885d065">
  <xsd:schema xmlns:xsd="http://www.w3.org/2001/XMLSchema" xmlns:xs="http://www.w3.org/2001/XMLSchema" xmlns:p="http://schemas.microsoft.com/office/2006/metadata/properties" xmlns:ns3="d3cce583-2d86-4cf5-878b-1267fbe0175d" targetNamespace="http://schemas.microsoft.com/office/2006/metadata/properties" ma:root="true" ma:fieldsID="c3b7023c9ac4bb3a7184e8f3388aabbe" ns3:_="">
    <xsd:import namespace="d3cce583-2d86-4cf5-878b-1267fbe017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ce583-2d86-4cf5-878b-1267fbe017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0A717-2C89-448E-A496-A9DEB5EE6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ce583-2d86-4cf5-878b-1267fbe01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EF802-D83A-44F5-9CDA-1963C7F25A42}">
  <ds:schemaRefs>
    <ds:schemaRef ds:uri="http://schemas.microsoft.com/sharepoint/v3/contenttype/forms"/>
  </ds:schemaRefs>
</ds:datastoreItem>
</file>

<file path=customXml/itemProps3.xml><?xml version="1.0" encoding="utf-8"?>
<ds:datastoreItem xmlns:ds="http://schemas.openxmlformats.org/officeDocument/2006/customXml" ds:itemID="{4C075FCA-DA73-4032-8209-B0E7BC11E8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706</Words>
  <Characters>4029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King County Superior Court</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Salamony</dc:creator>
  <cp:lastModifiedBy>Salamony, John</cp:lastModifiedBy>
  <cp:revision>2</cp:revision>
  <cp:lastPrinted>2016-01-05T00:02:00Z</cp:lastPrinted>
  <dcterms:created xsi:type="dcterms:W3CDTF">2022-12-10T23:52:00Z</dcterms:created>
  <dcterms:modified xsi:type="dcterms:W3CDTF">2022-12-10T23:52:00Z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0x01010055F73578588B7046A1271CAE8CBDF117</vt:lpwstr>
  </property>
</Properties>
</file>