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E63D1" w14:textId="33C6D7ED" w:rsidR="00AD743A" w:rsidRPr="00AD743A" w:rsidRDefault="00237CB0" w:rsidP="005F3393">
      <w:pPr>
        <w:spacing w:line="240" w:lineRule="auto"/>
        <w:contextualSpacing/>
        <w:jc w:val="center"/>
        <w:textAlignment w:val="baseline"/>
        <w:rPr>
          <w:rFonts w:eastAsia="Times New Roman" w:cs="Segoe UI"/>
          <w:sz w:val="32"/>
          <w:szCs w:val="32"/>
        </w:rPr>
      </w:pPr>
      <w:r w:rsidRPr="00237CB0">
        <w:rPr>
          <w:rFonts w:eastAsia="Times New Roman" w:cs="Segoe UI"/>
          <w:noProof/>
          <w:sz w:val="32"/>
          <w:szCs w:val="32"/>
        </w:rPr>
        <mc:AlternateContent>
          <mc:Choice Requires="wps">
            <w:drawing>
              <wp:anchor distT="45720" distB="45720" distL="114300" distR="114300" simplePos="0" relativeHeight="251660290" behindDoc="0" locked="0" layoutInCell="1" allowOverlap="1" wp14:anchorId="6E565C16" wp14:editId="34D395ED">
                <wp:simplePos x="0" y="0"/>
                <wp:positionH relativeFrom="column">
                  <wp:posOffset>4905375</wp:posOffset>
                </wp:positionH>
                <wp:positionV relativeFrom="paragraph">
                  <wp:posOffset>0</wp:posOffset>
                </wp:positionV>
                <wp:extent cx="12954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15965CEB" w14:textId="0998BD01" w:rsidR="001D1C68" w:rsidRPr="00237CB0" w:rsidRDefault="001D1C68">
                            <w:r w:rsidRPr="00237CB0">
                              <w:t>Attachment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565C16" id="_x0000_t202" coordsize="21600,21600" o:spt="202" path="m,l,21600r21600,l21600,xe">
                <v:stroke joinstyle="miter"/>
                <v:path gradientshapeok="t" o:connecttype="rect"/>
              </v:shapetype>
              <v:shape id="Text Box 2" o:spid="_x0000_s1026" type="#_x0000_t202" style="position:absolute;left:0;text-align:left;margin-left:386.25pt;margin-top:0;width:102pt;height:110.6pt;z-index:251660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5o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" stroked="f">
                <v:textbox style="mso-fit-shape-to-text:t">
                  <w:txbxContent>
                    <w:p w14:paraId="15965CEB" w14:textId="0998BD01" w:rsidR="001D1C68" w:rsidRPr="00237CB0" w:rsidRDefault="001D1C68">
                      <w:r w:rsidRPr="00237CB0">
                        <w:t>Attachment A</w:t>
                      </w:r>
                    </w:p>
                  </w:txbxContent>
                </v:textbox>
                <w10:wrap type="square"/>
              </v:shape>
            </w:pict>
          </mc:Fallback>
        </mc:AlternateContent>
      </w:r>
      <w:r w:rsidR="00AD743A" w:rsidRPr="00AD743A">
        <w:rPr>
          <w:rFonts w:eastAsia="Times New Roman" w:cs="Segoe UI"/>
          <w:sz w:val="32"/>
          <w:szCs w:val="32"/>
        </w:rPr>
        <w:t> </w:t>
      </w:r>
    </w:p>
    <w:p w14:paraId="4D57F68E"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32"/>
          <w:szCs w:val="32"/>
        </w:rPr>
        <w:t> </w:t>
      </w:r>
    </w:p>
    <w:p w14:paraId="429A972D" w14:textId="77777777" w:rsidR="00D04BA1" w:rsidRDefault="00AD743A" w:rsidP="005F3393">
      <w:pPr>
        <w:spacing w:line="240" w:lineRule="auto"/>
        <w:contextualSpacing/>
        <w:jc w:val="center"/>
        <w:textAlignment w:val="baseline"/>
        <w:rPr>
          <w:rFonts w:eastAsia="Times New Roman" w:cs="Segoe UI"/>
          <w:sz w:val="32"/>
          <w:szCs w:val="32"/>
        </w:rPr>
      </w:pPr>
      <w:r w:rsidRPr="00AD743A">
        <w:rPr>
          <w:rFonts w:eastAsia="Times New Roman" w:cs="Segoe UI"/>
          <w:sz w:val="32"/>
          <w:szCs w:val="32"/>
        </w:rPr>
        <w:t> </w:t>
      </w:r>
    </w:p>
    <w:p w14:paraId="1B7D0413" w14:textId="77777777" w:rsidR="00A02215" w:rsidRPr="00D03F1F" w:rsidRDefault="00A02215" w:rsidP="005F3393">
      <w:pPr>
        <w:spacing w:line="240" w:lineRule="auto"/>
        <w:contextualSpacing/>
        <w:jc w:val="center"/>
        <w:textAlignment w:val="baseline"/>
        <w:rPr>
          <w:rFonts w:eastAsia="Times New Roman" w:cs="Calibri"/>
          <w:sz w:val="18"/>
          <w:szCs w:val="18"/>
        </w:rPr>
      </w:pPr>
    </w:p>
    <w:p w14:paraId="3FA68146"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32"/>
          <w:szCs w:val="32"/>
        </w:rPr>
        <w:t> </w:t>
      </w:r>
    </w:p>
    <w:p w14:paraId="71BA31CB" w14:textId="35538702" w:rsidR="00AD743A" w:rsidRPr="00D03F1F" w:rsidRDefault="00F319DA" w:rsidP="005F3393">
      <w:pPr>
        <w:spacing w:line="240" w:lineRule="auto"/>
        <w:contextualSpacing/>
        <w:jc w:val="center"/>
        <w:textAlignment w:val="baseline"/>
        <w:rPr>
          <w:rFonts w:eastAsia="Times New Roman" w:cs="Calibri"/>
          <w:sz w:val="18"/>
          <w:szCs w:val="18"/>
        </w:rPr>
      </w:pPr>
      <w:bookmarkStart w:id="0" w:name="_Hlk74248031"/>
      <w:r w:rsidRPr="544944A9">
        <w:rPr>
          <w:rFonts w:eastAsia="Times New Roman" w:cs="Segoe UI"/>
          <w:b/>
          <w:color w:val="2F5496" w:themeColor="accent1" w:themeShade="BF"/>
          <w:sz w:val="32"/>
          <w:szCs w:val="32"/>
        </w:rPr>
        <w:t>Best Start</w:t>
      </w:r>
      <w:r w:rsidR="008714EE">
        <w:rPr>
          <w:rFonts w:eastAsia="Times New Roman" w:cs="Segoe UI"/>
          <w:b/>
          <w:color w:val="2F5496" w:themeColor="accent1" w:themeShade="BF"/>
          <w:sz w:val="32"/>
          <w:szCs w:val="32"/>
        </w:rPr>
        <w:t>s</w:t>
      </w:r>
      <w:r w:rsidRPr="544944A9">
        <w:rPr>
          <w:rFonts w:eastAsia="Times New Roman" w:cs="Segoe UI"/>
          <w:b/>
          <w:color w:val="2F5496" w:themeColor="accent1" w:themeShade="BF"/>
          <w:sz w:val="32"/>
          <w:szCs w:val="32"/>
        </w:rPr>
        <w:t xml:space="preserve"> for Kids Implementation Plan</w:t>
      </w:r>
      <w:r w:rsidR="00DF77E4">
        <w:rPr>
          <w:rFonts w:eastAsia="Times New Roman" w:cs="Segoe UI"/>
          <w:b/>
          <w:color w:val="2F5496" w:themeColor="accent1" w:themeShade="BF"/>
          <w:sz w:val="32"/>
          <w:szCs w:val="32"/>
        </w:rPr>
        <w:t>: 2022-2027</w:t>
      </w:r>
    </w:p>
    <w:bookmarkEnd w:id="0"/>
    <w:p w14:paraId="0F153102"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3B05E1BC" w14:textId="2ADF0AAE" w:rsidR="00AD743A" w:rsidRPr="00855304" w:rsidRDefault="00DF194B" w:rsidP="005F3393">
      <w:pPr>
        <w:contextualSpacing/>
        <w:jc w:val="center"/>
      </w:pPr>
      <w:r>
        <w:t>October 13,</w:t>
      </w:r>
      <w:r w:rsidRPr="00855304">
        <w:t xml:space="preserve"> </w:t>
      </w:r>
      <w:r w:rsidR="000161C4" w:rsidRPr="00855304">
        <w:t>2021</w:t>
      </w:r>
    </w:p>
    <w:p w14:paraId="6BB1B22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1B0B64BF"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1F24B54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5E4A252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5D7F2466"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71A44CD8"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4724FAF8"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70BCE9B6"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1A5EE15B"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44F82BD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7FB59689" w14:textId="038BDEDB" w:rsidR="00AD743A" w:rsidRDefault="466DC772" w:rsidP="005F3393">
      <w:pPr>
        <w:spacing w:line="240" w:lineRule="auto"/>
        <w:contextualSpacing/>
        <w:jc w:val="center"/>
        <w:textAlignment w:val="baseline"/>
        <w:rPr>
          <w:rFonts w:eastAsia="Times New Roman" w:cs="Segoe UI"/>
          <w:sz w:val="24"/>
          <w:szCs w:val="24"/>
        </w:rPr>
      </w:pPr>
      <w:r>
        <w:rPr>
          <w:noProof/>
        </w:rPr>
        <w:drawing>
          <wp:inline distT="0" distB="0" distL="0" distR="0" wp14:anchorId="460CFE2D" wp14:editId="15DF23DF">
            <wp:extent cx="2567940" cy="18510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567940" cy="1851025"/>
                    </a:xfrm>
                    <a:prstGeom prst="rect">
                      <a:avLst/>
                    </a:prstGeom>
                  </pic:spPr>
                </pic:pic>
              </a:graphicData>
            </a:graphic>
          </wp:inline>
        </w:drawing>
      </w:r>
      <w:r w:rsidRPr="1C922D62">
        <w:rPr>
          <w:rFonts w:eastAsia="Times New Roman" w:cs="Segoe UI"/>
          <w:sz w:val="24"/>
          <w:szCs w:val="24"/>
        </w:rPr>
        <w:t> </w:t>
      </w:r>
    </w:p>
    <w:p w14:paraId="2C98F8C1" w14:textId="49516726" w:rsidR="00AD743A" w:rsidRDefault="00DE3B81" w:rsidP="005F3393">
      <w:pPr>
        <w:contextualSpacing/>
        <w:rPr>
          <w:rFonts w:eastAsia="Times New Roman" w:cs="Segoe UI"/>
          <w:sz w:val="24"/>
          <w:szCs w:val="24"/>
        </w:rPr>
      </w:pPr>
      <w:r>
        <w:rPr>
          <w:rFonts w:eastAsia="Times New Roman" w:cs="Segoe UI"/>
          <w:sz w:val="24"/>
          <w:szCs w:val="24"/>
        </w:rPr>
        <w:br w:type="page"/>
      </w:r>
    </w:p>
    <w:sdt>
      <w:sdtPr>
        <w:rPr>
          <w:rFonts w:eastAsiaTheme="minorHAnsi" w:cs="Calibri"/>
          <w:color w:val="auto"/>
          <w:sz w:val="22"/>
          <w:szCs w:val="22"/>
        </w:rPr>
        <w:id w:val="948977760"/>
        <w:docPartObj>
          <w:docPartGallery w:val="Table of Contents"/>
          <w:docPartUnique/>
        </w:docPartObj>
      </w:sdtPr>
      <w:sdtEndPr>
        <w:rPr>
          <w:rFonts w:cstheme="minorBidi"/>
          <w:b/>
        </w:rPr>
      </w:sdtEndPr>
      <w:sdtContent>
        <w:p w14:paraId="37478948" w14:textId="10F55860" w:rsidR="00DE3B81" w:rsidRPr="00354EFE" w:rsidRDefault="00DE3B81" w:rsidP="005F3393">
          <w:pPr>
            <w:pStyle w:val="TOCHeading"/>
            <w:spacing w:before="0"/>
            <w:contextualSpacing/>
            <w:rPr>
              <w:rStyle w:val="Heading1Char"/>
            </w:rPr>
          </w:pPr>
          <w:r w:rsidRPr="00354EFE">
            <w:rPr>
              <w:rStyle w:val="Heading1Char"/>
            </w:rPr>
            <w:t>Table of Contents</w:t>
          </w:r>
        </w:p>
        <w:p w14:paraId="4EFDAEC2" w14:textId="7F0CFD90" w:rsidR="00ED33FA" w:rsidRDefault="00DE3B81">
          <w:pPr>
            <w:pStyle w:val="TOC1"/>
            <w:rPr>
              <w:rFonts w:asciiTheme="minorHAnsi" w:eastAsiaTheme="minorEastAsia" w:hAnsiTheme="minorHAnsi"/>
              <w:noProof/>
            </w:rPr>
          </w:pPr>
          <w:r>
            <w:fldChar w:fldCharType="begin"/>
          </w:r>
          <w:r w:rsidRPr="00D03F1F">
            <w:rPr>
              <w:rFonts w:cs="Calibri"/>
            </w:rPr>
            <w:instrText xml:space="preserve"> TOC \o "1-3" \h \z \u </w:instrText>
          </w:r>
          <w:r>
            <w:fldChar w:fldCharType="separate"/>
          </w:r>
          <w:hyperlink w:anchor="_Toc85188532" w:history="1">
            <w:r w:rsidR="00ED33FA" w:rsidRPr="00BC1AF5">
              <w:rPr>
                <w:rStyle w:val="Hyperlink"/>
                <w:b/>
                <w:noProof/>
              </w:rPr>
              <w:t>I.</w:t>
            </w:r>
            <w:r w:rsidR="00ED33FA">
              <w:rPr>
                <w:rFonts w:asciiTheme="minorHAnsi" w:eastAsiaTheme="minorEastAsia" w:hAnsiTheme="minorHAnsi"/>
                <w:noProof/>
              </w:rPr>
              <w:tab/>
            </w:r>
            <w:r w:rsidR="00ED33FA" w:rsidRPr="00BC1AF5">
              <w:rPr>
                <w:rStyle w:val="Hyperlink"/>
                <w:b/>
                <w:noProof/>
              </w:rPr>
              <w:t>Executive Summary</w:t>
            </w:r>
            <w:r w:rsidR="00ED33FA">
              <w:rPr>
                <w:noProof/>
                <w:webHidden/>
              </w:rPr>
              <w:tab/>
            </w:r>
            <w:r w:rsidR="00ED33FA">
              <w:rPr>
                <w:noProof/>
                <w:webHidden/>
              </w:rPr>
              <w:fldChar w:fldCharType="begin"/>
            </w:r>
            <w:r w:rsidR="00ED33FA">
              <w:rPr>
                <w:noProof/>
                <w:webHidden/>
              </w:rPr>
              <w:instrText xml:space="preserve"> PAGEREF _Toc85188532 \h </w:instrText>
            </w:r>
            <w:r w:rsidR="00ED33FA">
              <w:rPr>
                <w:noProof/>
                <w:webHidden/>
              </w:rPr>
            </w:r>
            <w:r w:rsidR="00ED33FA">
              <w:rPr>
                <w:noProof/>
                <w:webHidden/>
              </w:rPr>
              <w:fldChar w:fldCharType="separate"/>
            </w:r>
            <w:r w:rsidR="00ED33FA">
              <w:rPr>
                <w:noProof/>
                <w:webHidden/>
              </w:rPr>
              <w:t>3</w:t>
            </w:r>
            <w:r w:rsidR="00ED33FA">
              <w:rPr>
                <w:noProof/>
                <w:webHidden/>
              </w:rPr>
              <w:fldChar w:fldCharType="end"/>
            </w:r>
          </w:hyperlink>
        </w:p>
        <w:p w14:paraId="7526290E" w14:textId="732504D3" w:rsidR="00ED33FA" w:rsidRDefault="00F1222E">
          <w:pPr>
            <w:pStyle w:val="TOC1"/>
            <w:rPr>
              <w:rFonts w:asciiTheme="minorHAnsi" w:eastAsiaTheme="minorEastAsia" w:hAnsiTheme="minorHAnsi"/>
              <w:noProof/>
            </w:rPr>
          </w:pPr>
          <w:hyperlink w:anchor="_Toc85188533" w:history="1">
            <w:r w:rsidR="00ED33FA" w:rsidRPr="00BC1AF5">
              <w:rPr>
                <w:rStyle w:val="Hyperlink"/>
                <w:b/>
                <w:noProof/>
              </w:rPr>
              <w:t>II.</w:t>
            </w:r>
            <w:r w:rsidR="00ED33FA" w:rsidRPr="00BC1AF5">
              <w:rPr>
                <w:rStyle w:val="Hyperlink"/>
                <w:b/>
                <w:i/>
                <w:noProof/>
              </w:rPr>
              <w:t xml:space="preserve"> </w:t>
            </w:r>
            <w:r w:rsidR="00ED33FA" w:rsidRPr="00BC1AF5">
              <w:rPr>
                <w:rStyle w:val="Hyperlink"/>
                <w:b/>
                <w:noProof/>
              </w:rPr>
              <w:t>Best Starts for Kids Introduction</w:t>
            </w:r>
            <w:r w:rsidR="00ED33FA">
              <w:rPr>
                <w:noProof/>
                <w:webHidden/>
              </w:rPr>
              <w:tab/>
            </w:r>
            <w:r w:rsidR="00ED33FA">
              <w:rPr>
                <w:noProof/>
                <w:webHidden/>
              </w:rPr>
              <w:fldChar w:fldCharType="begin"/>
            </w:r>
            <w:r w:rsidR="00ED33FA">
              <w:rPr>
                <w:noProof/>
                <w:webHidden/>
              </w:rPr>
              <w:instrText xml:space="preserve"> PAGEREF _Toc85188533 \h </w:instrText>
            </w:r>
            <w:r w:rsidR="00ED33FA">
              <w:rPr>
                <w:noProof/>
                <w:webHidden/>
              </w:rPr>
            </w:r>
            <w:r w:rsidR="00ED33FA">
              <w:rPr>
                <w:noProof/>
                <w:webHidden/>
              </w:rPr>
              <w:fldChar w:fldCharType="separate"/>
            </w:r>
            <w:r w:rsidR="00ED33FA">
              <w:rPr>
                <w:noProof/>
                <w:webHidden/>
              </w:rPr>
              <w:t>14</w:t>
            </w:r>
            <w:r w:rsidR="00ED33FA">
              <w:rPr>
                <w:noProof/>
                <w:webHidden/>
              </w:rPr>
              <w:fldChar w:fldCharType="end"/>
            </w:r>
          </w:hyperlink>
        </w:p>
        <w:p w14:paraId="54020375" w14:textId="242B6F3A" w:rsidR="00ED33FA" w:rsidRDefault="00F1222E">
          <w:pPr>
            <w:pStyle w:val="TOC1"/>
            <w:rPr>
              <w:rFonts w:asciiTheme="minorHAnsi" w:eastAsiaTheme="minorEastAsia" w:hAnsiTheme="minorHAnsi"/>
              <w:noProof/>
            </w:rPr>
          </w:pPr>
          <w:hyperlink w:anchor="_Toc85188534" w:history="1">
            <w:r w:rsidR="00ED33FA" w:rsidRPr="00BC1AF5">
              <w:rPr>
                <w:rStyle w:val="Hyperlink"/>
                <w:b/>
                <w:noProof/>
              </w:rPr>
              <w:t>III. Implementation Plan Background and Methodology</w:t>
            </w:r>
            <w:r w:rsidR="00ED33FA">
              <w:rPr>
                <w:noProof/>
                <w:webHidden/>
              </w:rPr>
              <w:tab/>
            </w:r>
            <w:r w:rsidR="00ED33FA">
              <w:rPr>
                <w:noProof/>
                <w:webHidden/>
              </w:rPr>
              <w:fldChar w:fldCharType="begin"/>
            </w:r>
            <w:r w:rsidR="00ED33FA">
              <w:rPr>
                <w:noProof/>
                <w:webHidden/>
              </w:rPr>
              <w:instrText xml:space="preserve"> PAGEREF _Toc85188534 \h </w:instrText>
            </w:r>
            <w:r w:rsidR="00ED33FA">
              <w:rPr>
                <w:noProof/>
                <w:webHidden/>
              </w:rPr>
            </w:r>
            <w:r w:rsidR="00ED33FA">
              <w:rPr>
                <w:noProof/>
                <w:webHidden/>
              </w:rPr>
              <w:fldChar w:fldCharType="separate"/>
            </w:r>
            <w:r w:rsidR="00ED33FA">
              <w:rPr>
                <w:noProof/>
                <w:webHidden/>
              </w:rPr>
              <w:t>19</w:t>
            </w:r>
            <w:r w:rsidR="00ED33FA">
              <w:rPr>
                <w:noProof/>
                <w:webHidden/>
              </w:rPr>
              <w:fldChar w:fldCharType="end"/>
            </w:r>
          </w:hyperlink>
        </w:p>
        <w:p w14:paraId="6C4B85A1" w14:textId="673DFCA6" w:rsidR="00ED33FA" w:rsidRDefault="00F1222E">
          <w:pPr>
            <w:pStyle w:val="TOC2"/>
            <w:rPr>
              <w:rFonts w:asciiTheme="minorHAnsi" w:eastAsiaTheme="minorEastAsia" w:hAnsiTheme="minorHAnsi"/>
              <w:noProof/>
            </w:rPr>
          </w:pPr>
          <w:hyperlink w:anchor="_Toc85188535" w:history="1">
            <w:r w:rsidR="00ED33FA" w:rsidRPr="00BC1AF5">
              <w:rPr>
                <w:rStyle w:val="Hyperlink"/>
                <w:noProof/>
              </w:rPr>
              <w:t>A.</w:t>
            </w:r>
            <w:r w:rsidR="00ED33FA">
              <w:rPr>
                <w:rFonts w:asciiTheme="minorHAnsi" w:eastAsiaTheme="minorEastAsia" w:hAnsiTheme="minorHAnsi"/>
                <w:noProof/>
              </w:rPr>
              <w:tab/>
            </w:r>
            <w:r w:rsidR="00ED33FA" w:rsidRPr="00BC1AF5">
              <w:rPr>
                <w:rStyle w:val="Hyperlink"/>
                <w:noProof/>
              </w:rPr>
              <w:t>Department Overview</w:t>
            </w:r>
            <w:r w:rsidR="00ED33FA">
              <w:rPr>
                <w:noProof/>
                <w:webHidden/>
              </w:rPr>
              <w:tab/>
            </w:r>
            <w:r w:rsidR="00ED33FA">
              <w:rPr>
                <w:noProof/>
                <w:webHidden/>
              </w:rPr>
              <w:fldChar w:fldCharType="begin"/>
            </w:r>
            <w:r w:rsidR="00ED33FA">
              <w:rPr>
                <w:noProof/>
                <w:webHidden/>
              </w:rPr>
              <w:instrText xml:space="preserve"> PAGEREF _Toc85188535 \h </w:instrText>
            </w:r>
            <w:r w:rsidR="00ED33FA">
              <w:rPr>
                <w:noProof/>
                <w:webHidden/>
              </w:rPr>
            </w:r>
            <w:r w:rsidR="00ED33FA">
              <w:rPr>
                <w:noProof/>
                <w:webHidden/>
              </w:rPr>
              <w:fldChar w:fldCharType="separate"/>
            </w:r>
            <w:r w:rsidR="00ED33FA">
              <w:rPr>
                <w:noProof/>
                <w:webHidden/>
              </w:rPr>
              <w:t>19</w:t>
            </w:r>
            <w:r w:rsidR="00ED33FA">
              <w:rPr>
                <w:noProof/>
                <w:webHidden/>
              </w:rPr>
              <w:fldChar w:fldCharType="end"/>
            </w:r>
          </w:hyperlink>
        </w:p>
        <w:p w14:paraId="2852616F" w14:textId="7EEA3AAA" w:rsidR="00ED33FA" w:rsidRDefault="00F1222E">
          <w:pPr>
            <w:pStyle w:val="TOC2"/>
            <w:rPr>
              <w:rFonts w:asciiTheme="minorHAnsi" w:eastAsiaTheme="minorEastAsia" w:hAnsiTheme="minorHAnsi"/>
              <w:noProof/>
            </w:rPr>
          </w:pPr>
          <w:hyperlink w:anchor="_Toc85188536" w:history="1">
            <w:r w:rsidR="00ED33FA" w:rsidRPr="00BC1AF5">
              <w:rPr>
                <w:rStyle w:val="Hyperlink"/>
                <w:noProof/>
              </w:rPr>
              <w:t>B.</w:t>
            </w:r>
            <w:r w:rsidR="00ED33FA">
              <w:rPr>
                <w:rFonts w:asciiTheme="minorHAnsi" w:eastAsiaTheme="minorEastAsia" w:hAnsiTheme="minorHAnsi"/>
                <w:noProof/>
              </w:rPr>
              <w:tab/>
            </w:r>
            <w:r w:rsidR="00ED33FA" w:rsidRPr="00BC1AF5">
              <w:rPr>
                <w:rStyle w:val="Hyperlink"/>
                <w:noProof/>
              </w:rPr>
              <w:t>Foundational Policies and Plans</w:t>
            </w:r>
            <w:r w:rsidR="00ED33FA">
              <w:rPr>
                <w:noProof/>
                <w:webHidden/>
              </w:rPr>
              <w:tab/>
            </w:r>
            <w:r w:rsidR="00ED33FA">
              <w:rPr>
                <w:noProof/>
                <w:webHidden/>
              </w:rPr>
              <w:fldChar w:fldCharType="begin"/>
            </w:r>
            <w:r w:rsidR="00ED33FA">
              <w:rPr>
                <w:noProof/>
                <w:webHidden/>
              </w:rPr>
              <w:instrText xml:space="preserve"> PAGEREF _Toc85188536 \h </w:instrText>
            </w:r>
            <w:r w:rsidR="00ED33FA">
              <w:rPr>
                <w:noProof/>
                <w:webHidden/>
              </w:rPr>
            </w:r>
            <w:r w:rsidR="00ED33FA">
              <w:rPr>
                <w:noProof/>
                <w:webHidden/>
              </w:rPr>
              <w:fldChar w:fldCharType="separate"/>
            </w:r>
            <w:r w:rsidR="00ED33FA">
              <w:rPr>
                <w:noProof/>
                <w:webHidden/>
              </w:rPr>
              <w:t>20</w:t>
            </w:r>
            <w:r w:rsidR="00ED33FA">
              <w:rPr>
                <w:noProof/>
                <w:webHidden/>
              </w:rPr>
              <w:fldChar w:fldCharType="end"/>
            </w:r>
          </w:hyperlink>
        </w:p>
        <w:p w14:paraId="7B70A12F" w14:textId="4FD8CB2F" w:rsidR="00ED33FA" w:rsidRDefault="00F1222E">
          <w:pPr>
            <w:pStyle w:val="TOC2"/>
            <w:rPr>
              <w:rFonts w:asciiTheme="minorHAnsi" w:eastAsiaTheme="minorEastAsia" w:hAnsiTheme="minorHAnsi"/>
              <w:noProof/>
            </w:rPr>
          </w:pPr>
          <w:hyperlink w:anchor="_Toc85188537" w:history="1">
            <w:r w:rsidR="00ED33FA" w:rsidRPr="00BC1AF5">
              <w:rPr>
                <w:rStyle w:val="Hyperlink"/>
                <w:noProof/>
              </w:rPr>
              <w:t>C.</w:t>
            </w:r>
            <w:r w:rsidR="00ED33FA">
              <w:rPr>
                <w:rFonts w:asciiTheme="minorHAnsi" w:eastAsiaTheme="minorEastAsia" w:hAnsiTheme="minorHAnsi"/>
                <w:noProof/>
              </w:rPr>
              <w:tab/>
            </w:r>
            <w:r w:rsidR="00ED33FA" w:rsidRPr="00BC1AF5">
              <w:rPr>
                <w:rStyle w:val="Hyperlink"/>
                <w:noProof/>
              </w:rPr>
              <w:t>Ordinance Requirements and Requested Elements</w:t>
            </w:r>
            <w:r w:rsidR="00ED33FA">
              <w:rPr>
                <w:noProof/>
                <w:webHidden/>
              </w:rPr>
              <w:tab/>
            </w:r>
            <w:r w:rsidR="00ED33FA">
              <w:rPr>
                <w:noProof/>
                <w:webHidden/>
              </w:rPr>
              <w:fldChar w:fldCharType="begin"/>
            </w:r>
            <w:r w:rsidR="00ED33FA">
              <w:rPr>
                <w:noProof/>
                <w:webHidden/>
              </w:rPr>
              <w:instrText xml:space="preserve"> PAGEREF _Toc85188537 \h </w:instrText>
            </w:r>
            <w:r w:rsidR="00ED33FA">
              <w:rPr>
                <w:noProof/>
                <w:webHidden/>
              </w:rPr>
            </w:r>
            <w:r w:rsidR="00ED33FA">
              <w:rPr>
                <w:noProof/>
                <w:webHidden/>
              </w:rPr>
              <w:fldChar w:fldCharType="separate"/>
            </w:r>
            <w:r w:rsidR="00ED33FA">
              <w:rPr>
                <w:noProof/>
                <w:webHidden/>
              </w:rPr>
              <w:t>24</w:t>
            </w:r>
            <w:r w:rsidR="00ED33FA">
              <w:rPr>
                <w:noProof/>
                <w:webHidden/>
              </w:rPr>
              <w:fldChar w:fldCharType="end"/>
            </w:r>
          </w:hyperlink>
        </w:p>
        <w:p w14:paraId="2AE47B51" w14:textId="134BD512" w:rsidR="00ED33FA" w:rsidRDefault="00F1222E">
          <w:pPr>
            <w:pStyle w:val="TOC2"/>
            <w:rPr>
              <w:rFonts w:asciiTheme="minorHAnsi" w:eastAsiaTheme="minorEastAsia" w:hAnsiTheme="minorHAnsi"/>
              <w:noProof/>
            </w:rPr>
          </w:pPr>
          <w:hyperlink w:anchor="_Toc85188538" w:history="1">
            <w:r w:rsidR="00ED33FA" w:rsidRPr="00BC1AF5">
              <w:rPr>
                <w:rStyle w:val="Hyperlink"/>
                <w:noProof/>
              </w:rPr>
              <w:t xml:space="preserve">D. </w:t>
            </w:r>
            <w:r w:rsidR="00ED33FA">
              <w:rPr>
                <w:rFonts w:asciiTheme="minorHAnsi" w:eastAsiaTheme="minorEastAsia" w:hAnsiTheme="minorHAnsi"/>
                <w:noProof/>
              </w:rPr>
              <w:tab/>
            </w:r>
            <w:r w:rsidR="00ED33FA" w:rsidRPr="00BC1AF5">
              <w:rPr>
                <w:rStyle w:val="Hyperlink"/>
                <w:noProof/>
              </w:rPr>
              <w:t>Report Methodology</w:t>
            </w:r>
            <w:r w:rsidR="00ED33FA">
              <w:rPr>
                <w:noProof/>
                <w:webHidden/>
              </w:rPr>
              <w:tab/>
            </w:r>
            <w:r w:rsidR="00ED33FA">
              <w:rPr>
                <w:noProof/>
                <w:webHidden/>
              </w:rPr>
              <w:fldChar w:fldCharType="begin"/>
            </w:r>
            <w:r w:rsidR="00ED33FA">
              <w:rPr>
                <w:noProof/>
                <w:webHidden/>
              </w:rPr>
              <w:instrText xml:space="preserve"> PAGEREF _Toc85188538 \h </w:instrText>
            </w:r>
            <w:r w:rsidR="00ED33FA">
              <w:rPr>
                <w:noProof/>
                <w:webHidden/>
              </w:rPr>
            </w:r>
            <w:r w:rsidR="00ED33FA">
              <w:rPr>
                <w:noProof/>
                <w:webHidden/>
              </w:rPr>
              <w:fldChar w:fldCharType="separate"/>
            </w:r>
            <w:r w:rsidR="00ED33FA">
              <w:rPr>
                <w:noProof/>
                <w:webHidden/>
              </w:rPr>
              <w:t>24</w:t>
            </w:r>
            <w:r w:rsidR="00ED33FA">
              <w:rPr>
                <w:noProof/>
                <w:webHidden/>
              </w:rPr>
              <w:fldChar w:fldCharType="end"/>
            </w:r>
          </w:hyperlink>
        </w:p>
        <w:p w14:paraId="1A5B93FE" w14:textId="52F4AB3F" w:rsidR="00ED33FA" w:rsidRDefault="00F1222E">
          <w:pPr>
            <w:pStyle w:val="TOC2"/>
            <w:rPr>
              <w:rFonts w:asciiTheme="minorHAnsi" w:eastAsiaTheme="minorEastAsia" w:hAnsiTheme="minorHAnsi"/>
              <w:noProof/>
            </w:rPr>
          </w:pPr>
          <w:hyperlink w:anchor="_Toc85188539" w:history="1">
            <w:r w:rsidR="00ED33FA" w:rsidRPr="00BC1AF5">
              <w:rPr>
                <w:rStyle w:val="Hyperlink"/>
                <w:noProof/>
              </w:rPr>
              <w:t xml:space="preserve">E. </w:t>
            </w:r>
            <w:r w:rsidR="00ED33FA">
              <w:rPr>
                <w:rFonts w:asciiTheme="minorHAnsi" w:eastAsiaTheme="minorEastAsia" w:hAnsiTheme="minorHAnsi"/>
                <w:noProof/>
              </w:rPr>
              <w:tab/>
            </w:r>
            <w:r w:rsidR="00ED33FA" w:rsidRPr="00BC1AF5">
              <w:rPr>
                <w:rStyle w:val="Hyperlink"/>
                <w:noProof/>
              </w:rPr>
              <w:t>Community Engagement Summary</w:t>
            </w:r>
            <w:r w:rsidR="00ED33FA">
              <w:rPr>
                <w:noProof/>
                <w:webHidden/>
              </w:rPr>
              <w:tab/>
            </w:r>
            <w:r w:rsidR="00ED33FA">
              <w:rPr>
                <w:noProof/>
                <w:webHidden/>
              </w:rPr>
              <w:fldChar w:fldCharType="begin"/>
            </w:r>
            <w:r w:rsidR="00ED33FA">
              <w:rPr>
                <w:noProof/>
                <w:webHidden/>
              </w:rPr>
              <w:instrText xml:space="preserve"> PAGEREF _Toc85188539 \h </w:instrText>
            </w:r>
            <w:r w:rsidR="00ED33FA">
              <w:rPr>
                <w:noProof/>
                <w:webHidden/>
              </w:rPr>
            </w:r>
            <w:r w:rsidR="00ED33FA">
              <w:rPr>
                <w:noProof/>
                <w:webHidden/>
              </w:rPr>
              <w:fldChar w:fldCharType="separate"/>
            </w:r>
            <w:r w:rsidR="00ED33FA">
              <w:rPr>
                <w:noProof/>
                <w:webHidden/>
              </w:rPr>
              <w:t>25</w:t>
            </w:r>
            <w:r w:rsidR="00ED33FA">
              <w:rPr>
                <w:noProof/>
                <w:webHidden/>
              </w:rPr>
              <w:fldChar w:fldCharType="end"/>
            </w:r>
          </w:hyperlink>
        </w:p>
        <w:p w14:paraId="46492847" w14:textId="24C545D5" w:rsidR="00ED33FA" w:rsidRDefault="00F1222E">
          <w:pPr>
            <w:pStyle w:val="TOC2"/>
            <w:rPr>
              <w:rFonts w:asciiTheme="minorHAnsi" w:eastAsiaTheme="minorEastAsia" w:hAnsiTheme="minorHAnsi"/>
              <w:noProof/>
            </w:rPr>
          </w:pPr>
          <w:hyperlink w:anchor="_Toc85188540" w:history="1">
            <w:r w:rsidR="00ED33FA" w:rsidRPr="00BC1AF5">
              <w:rPr>
                <w:rStyle w:val="Hyperlink"/>
                <w:noProof/>
              </w:rPr>
              <w:t xml:space="preserve">F. </w:t>
            </w:r>
            <w:r w:rsidR="00ED33FA">
              <w:rPr>
                <w:rFonts w:asciiTheme="minorHAnsi" w:eastAsiaTheme="minorEastAsia" w:hAnsiTheme="minorHAnsi"/>
                <w:noProof/>
              </w:rPr>
              <w:tab/>
            </w:r>
            <w:r w:rsidR="00ED33FA" w:rsidRPr="00BC1AF5">
              <w:rPr>
                <w:rStyle w:val="Hyperlink"/>
                <w:noProof/>
              </w:rPr>
              <w:t>Governing Board Guidance</w:t>
            </w:r>
            <w:r w:rsidR="00ED33FA">
              <w:rPr>
                <w:noProof/>
                <w:webHidden/>
              </w:rPr>
              <w:tab/>
            </w:r>
            <w:r w:rsidR="00ED33FA">
              <w:rPr>
                <w:noProof/>
                <w:webHidden/>
              </w:rPr>
              <w:fldChar w:fldCharType="begin"/>
            </w:r>
            <w:r w:rsidR="00ED33FA">
              <w:rPr>
                <w:noProof/>
                <w:webHidden/>
              </w:rPr>
              <w:instrText xml:space="preserve"> PAGEREF _Toc85188540 \h </w:instrText>
            </w:r>
            <w:r w:rsidR="00ED33FA">
              <w:rPr>
                <w:noProof/>
                <w:webHidden/>
              </w:rPr>
            </w:r>
            <w:r w:rsidR="00ED33FA">
              <w:rPr>
                <w:noProof/>
                <w:webHidden/>
              </w:rPr>
              <w:fldChar w:fldCharType="separate"/>
            </w:r>
            <w:r w:rsidR="00ED33FA">
              <w:rPr>
                <w:noProof/>
                <w:webHidden/>
              </w:rPr>
              <w:t>27</w:t>
            </w:r>
            <w:r w:rsidR="00ED33FA">
              <w:rPr>
                <w:noProof/>
                <w:webHidden/>
              </w:rPr>
              <w:fldChar w:fldCharType="end"/>
            </w:r>
          </w:hyperlink>
        </w:p>
        <w:p w14:paraId="7F9AFDB0" w14:textId="1E5222A1" w:rsidR="00ED33FA" w:rsidRDefault="00F1222E">
          <w:pPr>
            <w:pStyle w:val="TOC1"/>
            <w:rPr>
              <w:rFonts w:asciiTheme="minorHAnsi" w:eastAsiaTheme="minorEastAsia" w:hAnsiTheme="minorHAnsi"/>
              <w:noProof/>
            </w:rPr>
          </w:pPr>
          <w:hyperlink w:anchor="_Toc85188541" w:history="1">
            <w:r w:rsidR="00ED33FA" w:rsidRPr="00BC1AF5">
              <w:rPr>
                <w:rStyle w:val="Hyperlink"/>
                <w:b/>
                <w:noProof/>
              </w:rPr>
              <w:t>IV. Best Starts Plan for 2022-2027</w:t>
            </w:r>
            <w:r w:rsidR="00ED33FA">
              <w:rPr>
                <w:noProof/>
                <w:webHidden/>
              </w:rPr>
              <w:tab/>
            </w:r>
            <w:r w:rsidR="00ED33FA">
              <w:rPr>
                <w:noProof/>
                <w:webHidden/>
              </w:rPr>
              <w:fldChar w:fldCharType="begin"/>
            </w:r>
            <w:r w:rsidR="00ED33FA">
              <w:rPr>
                <w:noProof/>
                <w:webHidden/>
              </w:rPr>
              <w:instrText xml:space="preserve"> PAGEREF _Toc85188541 \h </w:instrText>
            </w:r>
            <w:r w:rsidR="00ED33FA">
              <w:rPr>
                <w:noProof/>
                <w:webHidden/>
              </w:rPr>
            </w:r>
            <w:r w:rsidR="00ED33FA">
              <w:rPr>
                <w:noProof/>
                <w:webHidden/>
              </w:rPr>
              <w:fldChar w:fldCharType="separate"/>
            </w:r>
            <w:r w:rsidR="00ED33FA">
              <w:rPr>
                <w:noProof/>
                <w:webHidden/>
              </w:rPr>
              <w:t>29</w:t>
            </w:r>
            <w:r w:rsidR="00ED33FA">
              <w:rPr>
                <w:noProof/>
                <w:webHidden/>
              </w:rPr>
              <w:fldChar w:fldCharType="end"/>
            </w:r>
          </w:hyperlink>
        </w:p>
        <w:p w14:paraId="7803373B" w14:textId="24EE3F12" w:rsidR="00ED33FA" w:rsidRDefault="00F1222E">
          <w:pPr>
            <w:pStyle w:val="TOC2"/>
            <w:rPr>
              <w:rFonts w:asciiTheme="minorHAnsi" w:eastAsiaTheme="minorEastAsia" w:hAnsiTheme="minorHAnsi"/>
              <w:noProof/>
            </w:rPr>
          </w:pPr>
          <w:hyperlink w:anchor="_Toc85188542" w:history="1">
            <w:r w:rsidR="00ED33FA" w:rsidRPr="00BC1AF5">
              <w:rPr>
                <w:rStyle w:val="Hyperlink"/>
                <w:noProof/>
              </w:rPr>
              <w:t>A.</w:t>
            </w:r>
            <w:r w:rsidR="00ED33FA">
              <w:rPr>
                <w:rFonts w:asciiTheme="minorHAnsi" w:eastAsiaTheme="minorEastAsia" w:hAnsiTheme="minorHAnsi"/>
                <w:noProof/>
              </w:rPr>
              <w:tab/>
            </w:r>
            <w:r w:rsidR="00ED33FA" w:rsidRPr="00BC1AF5">
              <w:rPr>
                <w:rStyle w:val="Hyperlink"/>
                <w:noProof/>
              </w:rPr>
              <w:t>Framework and Results</w:t>
            </w:r>
            <w:r w:rsidR="00ED33FA">
              <w:rPr>
                <w:noProof/>
                <w:webHidden/>
              </w:rPr>
              <w:tab/>
            </w:r>
            <w:r w:rsidR="00ED33FA">
              <w:rPr>
                <w:noProof/>
                <w:webHidden/>
              </w:rPr>
              <w:fldChar w:fldCharType="begin"/>
            </w:r>
            <w:r w:rsidR="00ED33FA">
              <w:rPr>
                <w:noProof/>
                <w:webHidden/>
              </w:rPr>
              <w:instrText xml:space="preserve"> PAGEREF _Toc85188542 \h </w:instrText>
            </w:r>
            <w:r w:rsidR="00ED33FA">
              <w:rPr>
                <w:noProof/>
                <w:webHidden/>
              </w:rPr>
            </w:r>
            <w:r w:rsidR="00ED33FA">
              <w:rPr>
                <w:noProof/>
                <w:webHidden/>
              </w:rPr>
              <w:fldChar w:fldCharType="separate"/>
            </w:r>
            <w:r w:rsidR="00ED33FA">
              <w:rPr>
                <w:noProof/>
                <w:webHidden/>
              </w:rPr>
              <w:t>29</w:t>
            </w:r>
            <w:r w:rsidR="00ED33FA">
              <w:rPr>
                <w:noProof/>
                <w:webHidden/>
              </w:rPr>
              <w:fldChar w:fldCharType="end"/>
            </w:r>
          </w:hyperlink>
        </w:p>
        <w:p w14:paraId="2E6ABAA9" w14:textId="2AAEB8CF" w:rsidR="00ED33FA" w:rsidRDefault="00F1222E">
          <w:pPr>
            <w:pStyle w:val="TOC2"/>
            <w:rPr>
              <w:rFonts w:asciiTheme="minorHAnsi" w:eastAsiaTheme="minorEastAsia" w:hAnsiTheme="minorHAnsi"/>
              <w:noProof/>
            </w:rPr>
          </w:pPr>
          <w:hyperlink w:anchor="_Toc85188543" w:history="1">
            <w:r w:rsidR="00ED33FA" w:rsidRPr="00BC1AF5">
              <w:rPr>
                <w:rStyle w:val="Hyperlink"/>
                <w:noProof/>
              </w:rPr>
              <w:t>B.</w:t>
            </w:r>
            <w:r w:rsidR="00ED33FA">
              <w:rPr>
                <w:rFonts w:asciiTheme="minorHAnsi" w:eastAsiaTheme="minorEastAsia" w:hAnsiTheme="minorHAnsi"/>
                <w:noProof/>
              </w:rPr>
              <w:tab/>
            </w:r>
            <w:r w:rsidR="00ED33FA" w:rsidRPr="00BC1AF5">
              <w:rPr>
                <w:rStyle w:val="Hyperlink"/>
                <w:noProof/>
              </w:rPr>
              <w:t>Fiscal Overview</w:t>
            </w:r>
            <w:r w:rsidR="00ED33FA">
              <w:rPr>
                <w:noProof/>
                <w:webHidden/>
              </w:rPr>
              <w:tab/>
            </w:r>
            <w:r w:rsidR="00ED33FA">
              <w:rPr>
                <w:noProof/>
                <w:webHidden/>
              </w:rPr>
              <w:fldChar w:fldCharType="begin"/>
            </w:r>
            <w:r w:rsidR="00ED33FA">
              <w:rPr>
                <w:noProof/>
                <w:webHidden/>
              </w:rPr>
              <w:instrText xml:space="preserve"> PAGEREF _Toc85188543 \h </w:instrText>
            </w:r>
            <w:r w:rsidR="00ED33FA">
              <w:rPr>
                <w:noProof/>
                <w:webHidden/>
              </w:rPr>
            </w:r>
            <w:r w:rsidR="00ED33FA">
              <w:rPr>
                <w:noProof/>
                <w:webHidden/>
              </w:rPr>
              <w:fldChar w:fldCharType="separate"/>
            </w:r>
            <w:r w:rsidR="00ED33FA">
              <w:rPr>
                <w:noProof/>
                <w:webHidden/>
              </w:rPr>
              <w:t>32</w:t>
            </w:r>
            <w:r w:rsidR="00ED33FA">
              <w:rPr>
                <w:noProof/>
                <w:webHidden/>
              </w:rPr>
              <w:fldChar w:fldCharType="end"/>
            </w:r>
          </w:hyperlink>
        </w:p>
        <w:p w14:paraId="4F87B258" w14:textId="2EDECED8" w:rsidR="00ED33FA" w:rsidRDefault="00F1222E">
          <w:pPr>
            <w:pStyle w:val="TOC2"/>
            <w:rPr>
              <w:rFonts w:asciiTheme="minorHAnsi" w:eastAsiaTheme="minorEastAsia" w:hAnsiTheme="minorHAnsi"/>
              <w:noProof/>
            </w:rPr>
          </w:pPr>
          <w:hyperlink w:anchor="_Toc85188544" w:history="1">
            <w:r w:rsidR="00ED33FA" w:rsidRPr="00BC1AF5">
              <w:rPr>
                <w:rStyle w:val="Hyperlink"/>
                <w:noProof/>
              </w:rPr>
              <w:t>C.</w:t>
            </w:r>
            <w:r w:rsidR="00ED33FA">
              <w:rPr>
                <w:rFonts w:asciiTheme="minorHAnsi" w:eastAsiaTheme="minorEastAsia" w:hAnsiTheme="minorHAnsi"/>
                <w:noProof/>
              </w:rPr>
              <w:tab/>
            </w:r>
            <w:r w:rsidR="00ED33FA" w:rsidRPr="00BC1AF5">
              <w:rPr>
                <w:rStyle w:val="Hyperlink"/>
                <w:noProof/>
              </w:rPr>
              <w:t>Investment Area and Strategy Summary</w:t>
            </w:r>
            <w:r w:rsidR="00ED33FA">
              <w:rPr>
                <w:noProof/>
                <w:webHidden/>
              </w:rPr>
              <w:tab/>
            </w:r>
            <w:r w:rsidR="00ED33FA">
              <w:rPr>
                <w:noProof/>
                <w:webHidden/>
              </w:rPr>
              <w:fldChar w:fldCharType="begin"/>
            </w:r>
            <w:r w:rsidR="00ED33FA">
              <w:rPr>
                <w:noProof/>
                <w:webHidden/>
              </w:rPr>
              <w:instrText xml:space="preserve"> PAGEREF _Toc85188544 \h </w:instrText>
            </w:r>
            <w:r w:rsidR="00ED33FA">
              <w:rPr>
                <w:noProof/>
                <w:webHidden/>
              </w:rPr>
            </w:r>
            <w:r w:rsidR="00ED33FA">
              <w:rPr>
                <w:noProof/>
                <w:webHidden/>
              </w:rPr>
              <w:fldChar w:fldCharType="separate"/>
            </w:r>
            <w:r w:rsidR="00ED33FA">
              <w:rPr>
                <w:noProof/>
                <w:webHidden/>
              </w:rPr>
              <w:t>37</w:t>
            </w:r>
            <w:r w:rsidR="00ED33FA">
              <w:rPr>
                <w:noProof/>
                <w:webHidden/>
              </w:rPr>
              <w:fldChar w:fldCharType="end"/>
            </w:r>
          </w:hyperlink>
        </w:p>
        <w:p w14:paraId="23D1C8B7" w14:textId="67E9D5A8" w:rsidR="00ED33FA" w:rsidRDefault="00F1222E">
          <w:pPr>
            <w:pStyle w:val="TOC2"/>
            <w:rPr>
              <w:rFonts w:asciiTheme="minorHAnsi" w:eastAsiaTheme="minorEastAsia" w:hAnsiTheme="minorHAnsi"/>
              <w:noProof/>
            </w:rPr>
          </w:pPr>
          <w:hyperlink w:anchor="_Toc85188545" w:history="1">
            <w:r w:rsidR="00ED33FA" w:rsidRPr="00BC1AF5">
              <w:rPr>
                <w:rStyle w:val="Hyperlink"/>
                <w:noProof/>
              </w:rPr>
              <w:t>D.</w:t>
            </w:r>
            <w:r w:rsidR="00ED33FA">
              <w:rPr>
                <w:rFonts w:asciiTheme="minorHAnsi" w:eastAsiaTheme="minorEastAsia" w:hAnsiTheme="minorHAnsi"/>
                <w:noProof/>
              </w:rPr>
              <w:tab/>
            </w:r>
            <w:r w:rsidR="00ED33FA" w:rsidRPr="00BC1AF5">
              <w:rPr>
                <w:rStyle w:val="Hyperlink"/>
                <w:noProof/>
              </w:rPr>
              <w:t>Child Care</w:t>
            </w:r>
            <w:r w:rsidR="00ED33FA">
              <w:rPr>
                <w:noProof/>
                <w:webHidden/>
              </w:rPr>
              <w:tab/>
            </w:r>
            <w:r w:rsidR="00ED33FA">
              <w:rPr>
                <w:noProof/>
                <w:webHidden/>
              </w:rPr>
              <w:fldChar w:fldCharType="begin"/>
            </w:r>
            <w:r w:rsidR="00ED33FA">
              <w:rPr>
                <w:noProof/>
                <w:webHidden/>
              </w:rPr>
              <w:instrText xml:space="preserve"> PAGEREF _Toc85188545 \h </w:instrText>
            </w:r>
            <w:r w:rsidR="00ED33FA">
              <w:rPr>
                <w:noProof/>
                <w:webHidden/>
              </w:rPr>
            </w:r>
            <w:r w:rsidR="00ED33FA">
              <w:rPr>
                <w:noProof/>
                <w:webHidden/>
              </w:rPr>
              <w:fldChar w:fldCharType="separate"/>
            </w:r>
            <w:r w:rsidR="00ED33FA">
              <w:rPr>
                <w:noProof/>
                <w:webHidden/>
              </w:rPr>
              <w:t>38</w:t>
            </w:r>
            <w:r w:rsidR="00ED33FA">
              <w:rPr>
                <w:noProof/>
                <w:webHidden/>
              </w:rPr>
              <w:fldChar w:fldCharType="end"/>
            </w:r>
          </w:hyperlink>
        </w:p>
        <w:p w14:paraId="420DD9CA" w14:textId="45C3E138" w:rsidR="00ED33FA" w:rsidRDefault="00F1222E">
          <w:pPr>
            <w:pStyle w:val="TOC2"/>
            <w:rPr>
              <w:rFonts w:asciiTheme="minorHAnsi" w:eastAsiaTheme="minorEastAsia" w:hAnsiTheme="minorHAnsi"/>
              <w:noProof/>
            </w:rPr>
          </w:pPr>
          <w:hyperlink w:anchor="_Toc85188546" w:history="1">
            <w:r w:rsidR="00ED33FA" w:rsidRPr="00BC1AF5">
              <w:rPr>
                <w:rStyle w:val="Hyperlink"/>
                <w:noProof/>
              </w:rPr>
              <w:t>E.</w:t>
            </w:r>
            <w:r w:rsidR="00ED33FA">
              <w:rPr>
                <w:rFonts w:asciiTheme="minorHAnsi" w:eastAsiaTheme="minorEastAsia" w:hAnsiTheme="minorHAnsi"/>
                <w:noProof/>
              </w:rPr>
              <w:tab/>
            </w:r>
            <w:r w:rsidR="00ED33FA" w:rsidRPr="00BC1AF5">
              <w:rPr>
                <w:rStyle w:val="Hyperlink"/>
                <w:noProof/>
              </w:rPr>
              <w:t>Investing Early (Prenatal to Five)</w:t>
            </w:r>
            <w:r w:rsidR="00ED33FA">
              <w:rPr>
                <w:noProof/>
                <w:webHidden/>
              </w:rPr>
              <w:tab/>
            </w:r>
            <w:r w:rsidR="00ED33FA">
              <w:rPr>
                <w:noProof/>
                <w:webHidden/>
              </w:rPr>
              <w:fldChar w:fldCharType="begin"/>
            </w:r>
            <w:r w:rsidR="00ED33FA">
              <w:rPr>
                <w:noProof/>
                <w:webHidden/>
              </w:rPr>
              <w:instrText xml:space="preserve"> PAGEREF _Toc85188546 \h </w:instrText>
            </w:r>
            <w:r w:rsidR="00ED33FA">
              <w:rPr>
                <w:noProof/>
                <w:webHidden/>
              </w:rPr>
            </w:r>
            <w:r w:rsidR="00ED33FA">
              <w:rPr>
                <w:noProof/>
                <w:webHidden/>
              </w:rPr>
              <w:fldChar w:fldCharType="separate"/>
            </w:r>
            <w:r w:rsidR="00ED33FA">
              <w:rPr>
                <w:noProof/>
                <w:webHidden/>
              </w:rPr>
              <w:t>44</w:t>
            </w:r>
            <w:r w:rsidR="00ED33FA">
              <w:rPr>
                <w:noProof/>
                <w:webHidden/>
              </w:rPr>
              <w:fldChar w:fldCharType="end"/>
            </w:r>
          </w:hyperlink>
        </w:p>
        <w:p w14:paraId="2868F4E6" w14:textId="53EE915D" w:rsidR="00ED33FA" w:rsidRDefault="00F1222E">
          <w:pPr>
            <w:pStyle w:val="TOC2"/>
            <w:rPr>
              <w:rFonts w:asciiTheme="minorHAnsi" w:eastAsiaTheme="minorEastAsia" w:hAnsiTheme="minorHAnsi"/>
              <w:noProof/>
            </w:rPr>
          </w:pPr>
          <w:hyperlink w:anchor="_Toc85188547" w:history="1">
            <w:r w:rsidR="00ED33FA" w:rsidRPr="00BC1AF5">
              <w:rPr>
                <w:rStyle w:val="Hyperlink"/>
                <w:noProof/>
              </w:rPr>
              <w:t>F.</w:t>
            </w:r>
            <w:r w:rsidR="00ED33FA">
              <w:rPr>
                <w:rFonts w:asciiTheme="minorHAnsi" w:eastAsiaTheme="minorEastAsia" w:hAnsiTheme="minorHAnsi"/>
                <w:noProof/>
              </w:rPr>
              <w:tab/>
            </w:r>
            <w:r w:rsidR="00ED33FA" w:rsidRPr="00BC1AF5">
              <w:rPr>
                <w:rStyle w:val="Hyperlink"/>
                <w:noProof/>
              </w:rPr>
              <w:t>Sustain the Gain (Five to 24)</w:t>
            </w:r>
            <w:r w:rsidR="00ED33FA">
              <w:rPr>
                <w:noProof/>
                <w:webHidden/>
              </w:rPr>
              <w:tab/>
            </w:r>
            <w:r w:rsidR="00ED33FA">
              <w:rPr>
                <w:noProof/>
                <w:webHidden/>
              </w:rPr>
              <w:fldChar w:fldCharType="begin"/>
            </w:r>
            <w:r w:rsidR="00ED33FA">
              <w:rPr>
                <w:noProof/>
                <w:webHidden/>
              </w:rPr>
              <w:instrText xml:space="preserve"> PAGEREF _Toc85188547 \h </w:instrText>
            </w:r>
            <w:r w:rsidR="00ED33FA">
              <w:rPr>
                <w:noProof/>
                <w:webHidden/>
              </w:rPr>
            </w:r>
            <w:r w:rsidR="00ED33FA">
              <w:rPr>
                <w:noProof/>
                <w:webHidden/>
              </w:rPr>
              <w:fldChar w:fldCharType="separate"/>
            </w:r>
            <w:r w:rsidR="00ED33FA">
              <w:rPr>
                <w:noProof/>
                <w:webHidden/>
              </w:rPr>
              <w:t>57</w:t>
            </w:r>
            <w:r w:rsidR="00ED33FA">
              <w:rPr>
                <w:noProof/>
                <w:webHidden/>
              </w:rPr>
              <w:fldChar w:fldCharType="end"/>
            </w:r>
          </w:hyperlink>
        </w:p>
        <w:p w14:paraId="5D87DF37" w14:textId="3096D43C" w:rsidR="00ED33FA" w:rsidRDefault="00F1222E">
          <w:pPr>
            <w:pStyle w:val="TOC2"/>
            <w:rPr>
              <w:rFonts w:asciiTheme="minorHAnsi" w:eastAsiaTheme="minorEastAsia" w:hAnsiTheme="minorHAnsi"/>
              <w:noProof/>
            </w:rPr>
          </w:pPr>
          <w:hyperlink w:anchor="_Toc85188548" w:history="1">
            <w:r w:rsidR="00ED33FA" w:rsidRPr="00BC1AF5">
              <w:rPr>
                <w:rStyle w:val="Hyperlink"/>
                <w:noProof/>
              </w:rPr>
              <w:t>G.</w:t>
            </w:r>
            <w:r w:rsidR="00ED33FA">
              <w:rPr>
                <w:rFonts w:asciiTheme="minorHAnsi" w:eastAsiaTheme="minorEastAsia" w:hAnsiTheme="minorHAnsi"/>
                <w:noProof/>
              </w:rPr>
              <w:tab/>
            </w:r>
            <w:r w:rsidR="00ED33FA" w:rsidRPr="00BC1AF5">
              <w:rPr>
                <w:rStyle w:val="Hyperlink"/>
                <w:noProof/>
              </w:rPr>
              <w:t>Youth and Family Homelessness Prevention (YFHPI)</w:t>
            </w:r>
            <w:r w:rsidR="00ED33FA">
              <w:rPr>
                <w:noProof/>
                <w:webHidden/>
              </w:rPr>
              <w:tab/>
            </w:r>
            <w:r w:rsidR="00ED33FA">
              <w:rPr>
                <w:noProof/>
                <w:webHidden/>
              </w:rPr>
              <w:fldChar w:fldCharType="begin"/>
            </w:r>
            <w:r w:rsidR="00ED33FA">
              <w:rPr>
                <w:noProof/>
                <w:webHidden/>
              </w:rPr>
              <w:instrText xml:space="preserve"> PAGEREF _Toc85188548 \h </w:instrText>
            </w:r>
            <w:r w:rsidR="00ED33FA">
              <w:rPr>
                <w:noProof/>
                <w:webHidden/>
              </w:rPr>
            </w:r>
            <w:r w:rsidR="00ED33FA">
              <w:rPr>
                <w:noProof/>
                <w:webHidden/>
              </w:rPr>
              <w:fldChar w:fldCharType="separate"/>
            </w:r>
            <w:r w:rsidR="00ED33FA">
              <w:rPr>
                <w:noProof/>
                <w:webHidden/>
              </w:rPr>
              <w:t>70</w:t>
            </w:r>
            <w:r w:rsidR="00ED33FA">
              <w:rPr>
                <w:noProof/>
                <w:webHidden/>
              </w:rPr>
              <w:fldChar w:fldCharType="end"/>
            </w:r>
          </w:hyperlink>
        </w:p>
        <w:p w14:paraId="408B1BA5" w14:textId="596A1AD9" w:rsidR="00ED33FA" w:rsidRDefault="00F1222E">
          <w:pPr>
            <w:pStyle w:val="TOC2"/>
            <w:rPr>
              <w:rFonts w:asciiTheme="minorHAnsi" w:eastAsiaTheme="minorEastAsia" w:hAnsiTheme="minorHAnsi"/>
              <w:noProof/>
            </w:rPr>
          </w:pPr>
          <w:hyperlink w:anchor="_Toc85188549" w:history="1">
            <w:r w:rsidR="00ED33FA" w:rsidRPr="00BC1AF5">
              <w:rPr>
                <w:rStyle w:val="Hyperlink"/>
                <w:noProof/>
              </w:rPr>
              <w:t>H.</w:t>
            </w:r>
            <w:r w:rsidR="00ED33FA">
              <w:rPr>
                <w:rFonts w:asciiTheme="minorHAnsi" w:eastAsiaTheme="minorEastAsia" w:hAnsiTheme="minorHAnsi"/>
                <w:noProof/>
              </w:rPr>
              <w:tab/>
            </w:r>
            <w:r w:rsidR="00ED33FA" w:rsidRPr="00BC1AF5">
              <w:rPr>
                <w:rStyle w:val="Hyperlink"/>
                <w:noProof/>
              </w:rPr>
              <w:t>Communities of Opportunity</w:t>
            </w:r>
            <w:r w:rsidR="00ED33FA">
              <w:rPr>
                <w:noProof/>
                <w:webHidden/>
              </w:rPr>
              <w:tab/>
            </w:r>
            <w:r w:rsidR="00ED33FA">
              <w:rPr>
                <w:noProof/>
                <w:webHidden/>
              </w:rPr>
              <w:fldChar w:fldCharType="begin"/>
            </w:r>
            <w:r w:rsidR="00ED33FA">
              <w:rPr>
                <w:noProof/>
                <w:webHidden/>
              </w:rPr>
              <w:instrText xml:space="preserve"> PAGEREF _Toc85188549 \h </w:instrText>
            </w:r>
            <w:r w:rsidR="00ED33FA">
              <w:rPr>
                <w:noProof/>
                <w:webHidden/>
              </w:rPr>
            </w:r>
            <w:r w:rsidR="00ED33FA">
              <w:rPr>
                <w:noProof/>
                <w:webHidden/>
              </w:rPr>
              <w:fldChar w:fldCharType="separate"/>
            </w:r>
            <w:r w:rsidR="00ED33FA">
              <w:rPr>
                <w:noProof/>
                <w:webHidden/>
              </w:rPr>
              <w:t>71</w:t>
            </w:r>
            <w:r w:rsidR="00ED33FA">
              <w:rPr>
                <w:noProof/>
                <w:webHidden/>
              </w:rPr>
              <w:fldChar w:fldCharType="end"/>
            </w:r>
          </w:hyperlink>
        </w:p>
        <w:p w14:paraId="33B05A8A" w14:textId="4DAF21A9" w:rsidR="00ED33FA" w:rsidRDefault="00F1222E">
          <w:pPr>
            <w:pStyle w:val="TOC2"/>
            <w:rPr>
              <w:rFonts w:asciiTheme="minorHAnsi" w:eastAsiaTheme="minorEastAsia" w:hAnsiTheme="minorHAnsi"/>
              <w:noProof/>
            </w:rPr>
          </w:pPr>
          <w:hyperlink w:anchor="_Toc85188550" w:history="1">
            <w:r w:rsidR="00ED33FA" w:rsidRPr="00BC1AF5">
              <w:rPr>
                <w:rStyle w:val="Hyperlink"/>
                <w:noProof/>
              </w:rPr>
              <w:t>I.</w:t>
            </w:r>
            <w:r w:rsidR="00ED33FA">
              <w:rPr>
                <w:rFonts w:asciiTheme="minorHAnsi" w:eastAsiaTheme="minorEastAsia" w:hAnsiTheme="minorHAnsi"/>
                <w:noProof/>
              </w:rPr>
              <w:tab/>
            </w:r>
            <w:r w:rsidR="00ED33FA" w:rsidRPr="00BC1AF5">
              <w:rPr>
                <w:rStyle w:val="Hyperlink"/>
                <w:noProof/>
              </w:rPr>
              <w:t>Capital Program</w:t>
            </w:r>
            <w:r w:rsidR="00ED33FA">
              <w:rPr>
                <w:noProof/>
                <w:webHidden/>
              </w:rPr>
              <w:tab/>
            </w:r>
            <w:r w:rsidR="00ED33FA">
              <w:rPr>
                <w:noProof/>
                <w:webHidden/>
              </w:rPr>
              <w:fldChar w:fldCharType="begin"/>
            </w:r>
            <w:r w:rsidR="00ED33FA">
              <w:rPr>
                <w:noProof/>
                <w:webHidden/>
              </w:rPr>
              <w:instrText xml:space="preserve"> PAGEREF _Toc85188550 \h </w:instrText>
            </w:r>
            <w:r w:rsidR="00ED33FA">
              <w:rPr>
                <w:noProof/>
                <w:webHidden/>
              </w:rPr>
            </w:r>
            <w:r w:rsidR="00ED33FA">
              <w:rPr>
                <w:noProof/>
                <w:webHidden/>
              </w:rPr>
              <w:fldChar w:fldCharType="separate"/>
            </w:r>
            <w:r w:rsidR="00ED33FA">
              <w:rPr>
                <w:noProof/>
                <w:webHidden/>
              </w:rPr>
              <w:t>74</w:t>
            </w:r>
            <w:r w:rsidR="00ED33FA">
              <w:rPr>
                <w:noProof/>
                <w:webHidden/>
              </w:rPr>
              <w:fldChar w:fldCharType="end"/>
            </w:r>
          </w:hyperlink>
        </w:p>
        <w:p w14:paraId="0F8E328F" w14:textId="12100D99" w:rsidR="00ED33FA" w:rsidRDefault="00F1222E">
          <w:pPr>
            <w:pStyle w:val="TOC2"/>
            <w:rPr>
              <w:rFonts w:asciiTheme="minorHAnsi" w:eastAsiaTheme="minorEastAsia" w:hAnsiTheme="minorHAnsi"/>
              <w:noProof/>
            </w:rPr>
          </w:pPr>
          <w:hyperlink w:anchor="_Toc85188551" w:history="1">
            <w:r w:rsidR="00ED33FA" w:rsidRPr="00BC1AF5">
              <w:rPr>
                <w:rStyle w:val="Hyperlink"/>
                <w:noProof/>
              </w:rPr>
              <w:t>J.</w:t>
            </w:r>
            <w:r w:rsidR="00ED33FA">
              <w:rPr>
                <w:rFonts w:asciiTheme="minorHAnsi" w:eastAsiaTheme="minorEastAsia" w:hAnsiTheme="minorHAnsi"/>
                <w:noProof/>
              </w:rPr>
              <w:tab/>
            </w:r>
            <w:r w:rsidR="00ED33FA" w:rsidRPr="00BC1AF5">
              <w:rPr>
                <w:rStyle w:val="Hyperlink"/>
                <w:noProof/>
              </w:rPr>
              <w:t>Technical Assistance and Capacity Building</w:t>
            </w:r>
            <w:r w:rsidR="00ED33FA">
              <w:rPr>
                <w:noProof/>
                <w:webHidden/>
              </w:rPr>
              <w:tab/>
            </w:r>
            <w:r w:rsidR="00ED33FA">
              <w:rPr>
                <w:noProof/>
                <w:webHidden/>
              </w:rPr>
              <w:fldChar w:fldCharType="begin"/>
            </w:r>
            <w:r w:rsidR="00ED33FA">
              <w:rPr>
                <w:noProof/>
                <w:webHidden/>
              </w:rPr>
              <w:instrText xml:space="preserve"> PAGEREF _Toc85188551 \h </w:instrText>
            </w:r>
            <w:r w:rsidR="00ED33FA">
              <w:rPr>
                <w:noProof/>
                <w:webHidden/>
              </w:rPr>
            </w:r>
            <w:r w:rsidR="00ED33FA">
              <w:rPr>
                <w:noProof/>
                <w:webHidden/>
              </w:rPr>
              <w:fldChar w:fldCharType="separate"/>
            </w:r>
            <w:r w:rsidR="00ED33FA">
              <w:rPr>
                <w:noProof/>
                <w:webHidden/>
              </w:rPr>
              <w:t>78</w:t>
            </w:r>
            <w:r w:rsidR="00ED33FA">
              <w:rPr>
                <w:noProof/>
                <w:webHidden/>
              </w:rPr>
              <w:fldChar w:fldCharType="end"/>
            </w:r>
          </w:hyperlink>
        </w:p>
        <w:p w14:paraId="5D3643EE" w14:textId="3BD82BB6" w:rsidR="00ED33FA" w:rsidRDefault="00F1222E">
          <w:pPr>
            <w:pStyle w:val="TOC2"/>
            <w:rPr>
              <w:rFonts w:asciiTheme="minorHAnsi" w:eastAsiaTheme="minorEastAsia" w:hAnsiTheme="minorHAnsi"/>
              <w:noProof/>
            </w:rPr>
          </w:pPr>
          <w:hyperlink w:anchor="_Toc85188552" w:history="1">
            <w:r w:rsidR="00ED33FA" w:rsidRPr="00BC1AF5">
              <w:rPr>
                <w:rStyle w:val="Hyperlink"/>
                <w:noProof/>
              </w:rPr>
              <w:t>K.</w:t>
            </w:r>
            <w:r w:rsidR="00ED33FA">
              <w:rPr>
                <w:rFonts w:asciiTheme="minorHAnsi" w:eastAsiaTheme="minorEastAsia" w:hAnsiTheme="minorHAnsi"/>
                <w:noProof/>
              </w:rPr>
              <w:tab/>
            </w:r>
            <w:r w:rsidR="00ED33FA" w:rsidRPr="00BC1AF5">
              <w:rPr>
                <w:rStyle w:val="Hyperlink"/>
                <w:noProof/>
              </w:rPr>
              <w:t>Data and Evaluation</w:t>
            </w:r>
            <w:r w:rsidR="00ED33FA">
              <w:rPr>
                <w:noProof/>
                <w:webHidden/>
              </w:rPr>
              <w:tab/>
            </w:r>
            <w:r w:rsidR="00ED33FA">
              <w:rPr>
                <w:noProof/>
                <w:webHidden/>
              </w:rPr>
              <w:fldChar w:fldCharType="begin"/>
            </w:r>
            <w:r w:rsidR="00ED33FA">
              <w:rPr>
                <w:noProof/>
                <w:webHidden/>
              </w:rPr>
              <w:instrText xml:space="preserve"> PAGEREF _Toc85188552 \h </w:instrText>
            </w:r>
            <w:r w:rsidR="00ED33FA">
              <w:rPr>
                <w:noProof/>
                <w:webHidden/>
              </w:rPr>
            </w:r>
            <w:r w:rsidR="00ED33FA">
              <w:rPr>
                <w:noProof/>
                <w:webHidden/>
              </w:rPr>
              <w:fldChar w:fldCharType="separate"/>
            </w:r>
            <w:r w:rsidR="00ED33FA">
              <w:rPr>
                <w:noProof/>
                <w:webHidden/>
              </w:rPr>
              <w:t>80</w:t>
            </w:r>
            <w:r w:rsidR="00ED33FA">
              <w:rPr>
                <w:noProof/>
                <w:webHidden/>
              </w:rPr>
              <w:fldChar w:fldCharType="end"/>
            </w:r>
          </w:hyperlink>
        </w:p>
        <w:p w14:paraId="05D8F335" w14:textId="08BD6DFD" w:rsidR="00ED33FA" w:rsidRDefault="00F1222E">
          <w:pPr>
            <w:pStyle w:val="TOC2"/>
            <w:rPr>
              <w:rFonts w:asciiTheme="minorHAnsi" w:eastAsiaTheme="minorEastAsia" w:hAnsiTheme="minorHAnsi"/>
              <w:noProof/>
            </w:rPr>
          </w:pPr>
          <w:hyperlink w:anchor="_Toc85188553" w:history="1">
            <w:r w:rsidR="00ED33FA" w:rsidRPr="00BC1AF5">
              <w:rPr>
                <w:rStyle w:val="Hyperlink"/>
                <w:noProof/>
              </w:rPr>
              <w:t>L.</w:t>
            </w:r>
            <w:r w:rsidR="00ED33FA">
              <w:rPr>
                <w:rFonts w:asciiTheme="minorHAnsi" w:eastAsiaTheme="minorEastAsia" w:hAnsiTheme="minorHAnsi"/>
                <w:noProof/>
              </w:rPr>
              <w:tab/>
            </w:r>
            <w:r w:rsidR="00ED33FA" w:rsidRPr="00BC1AF5">
              <w:rPr>
                <w:rStyle w:val="Hyperlink"/>
                <w:noProof/>
              </w:rPr>
              <w:t>Procurement, Equity and Partnership Work</w:t>
            </w:r>
            <w:r w:rsidR="00ED33FA">
              <w:rPr>
                <w:noProof/>
                <w:webHidden/>
              </w:rPr>
              <w:tab/>
            </w:r>
            <w:r w:rsidR="00ED33FA">
              <w:rPr>
                <w:noProof/>
                <w:webHidden/>
              </w:rPr>
              <w:fldChar w:fldCharType="begin"/>
            </w:r>
            <w:r w:rsidR="00ED33FA">
              <w:rPr>
                <w:noProof/>
                <w:webHidden/>
              </w:rPr>
              <w:instrText xml:space="preserve"> PAGEREF _Toc85188553 \h </w:instrText>
            </w:r>
            <w:r w:rsidR="00ED33FA">
              <w:rPr>
                <w:noProof/>
                <w:webHidden/>
              </w:rPr>
            </w:r>
            <w:r w:rsidR="00ED33FA">
              <w:rPr>
                <w:noProof/>
                <w:webHidden/>
              </w:rPr>
              <w:fldChar w:fldCharType="separate"/>
            </w:r>
            <w:r w:rsidR="00ED33FA">
              <w:rPr>
                <w:noProof/>
                <w:webHidden/>
              </w:rPr>
              <w:t>88</w:t>
            </w:r>
            <w:r w:rsidR="00ED33FA">
              <w:rPr>
                <w:noProof/>
                <w:webHidden/>
              </w:rPr>
              <w:fldChar w:fldCharType="end"/>
            </w:r>
          </w:hyperlink>
        </w:p>
        <w:p w14:paraId="6EF6E163" w14:textId="609A597E" w:rsidR="00ED33FA" w:rsidRDefault="00F1222E">
          <w:pPr>
            <w:pStyle w:val="TOC2"/>
            <w:rPr>
              <w:rFonts w:asciiTheme="minorHAnsi" w:eastAsiaTheme="minorEastAsia" w:hAnsiTheme="minorHAnsi"/>
              <w:noProof/>
            </w:rPr>
          </w:pPr>
          <w:hyperlink w:anchor="_Toc85188554" w:history="1">
            <w:r w:rsidR="00ED33FA" w:rsidRPr="00BC1AF5">
              <w:rPr>
                <w:rStyle w:val="Hyperlink"/>
                <w:noProof/>
              </w:rPr>
              <w:t xml:space="preserve">M. </w:t>
            </w:r>
            <w:r w:rsidR="00ED33FA">
              <w:rPr>
                <w:rFonts w:asciiTheme="minorHAnsi" w:eastAsiaTheme="minorEastAsia" w:hAnsiTheme="minorHAnsi"/>
                <w:noProof/>
              </w:rPr>
              <w:tab/>
            </w:r>
            <w:r w:rsidR="00ED33FA" w:rsidRPr="00BC1AF5">
              <w:rPr>
                <w:rStyle w:val="Hyperlink"/>
                <w:noProof/>
              </w:rPr>
              <w:t>Mitigation of Prorationing</w:t>
            </w:r>
            <w:r w:rsidR="00ED33FA">
              <w:rPr>
                <w:noProof/>
                <w:webHidden/>
              </w:rPr>
              <w:tab/>
            </w:r>
            <w:r w:rsidR="00ED33FA">
              <w:rPr>
                <w:noProof/>
                <w:webHidden/>
              </w:rPr>
              <w:fldChar w:fldCharType="begin"/>
            </w:r>
            <w:r w:rsidR="00ED33FA">
              <w:rPr>
                <w:noProof/>
                <w:webHidden/>
              </w:rPr>
              <w:instrText xml:space="preserve"> PAGEREF _Toc85188554 \h </w:instrText>
            </w:r>
            <w:r w:rsidR="00ED33FA">
              <w:rPr>
                <w:noProof/>
                <w:webHidden/>
              </w:rPr>
            </w:r>
            <w:r w:rsidR="00ED33FA">
              <w:rPr>
                <w:noProof/>
                <w:webHidden/>
              </w:rPr>
              <w:fldChar w:fldCharType="separate"/>
            </w:r>
            <w:r w:rsidR="00ED33FA">
              <w:rPr>
                <w:noProof/>
                <w:webHidden/>
              </w:rPr>
              <w:t>90</w:t>
            </w:r>
            <w:r w:rsidR="00ED33FA">
              <w:rPr>
                <w:noProof/>
                <w:webHidden/>
              </w:rPr>
              <w:fldChar w:fldCharType="end"/>
            </w:r>
          </w:hyperlink>
        </w:p>
        <w:p w14:paraId="10318875" w14:textId="10A570A4" w:rsidR="00ED33FA" w:rsidRDefault="00F1222E">
          <w:pPr>
            <w:pStyle w:val="TOC1"/>
            <w:rPr>
              <w:rFonts w:asciiTheme="minorHAnsi" w:eastAsiaTheme="minorEastAsia" w:hAnsiTheme="minorHAnsi"/>
              <w:noProof/>
            </w:rPr>
          </w:pPr>
          <w:hyperlink w:anchor="_Toc85188555" w:history="1">
            <w:r w:rsidR="00ED33FA" w:rsidRPr="00BC1AF5">
              <w:rPr>
                <w:rStyle w:val="Hyperlink"/>
                <w:b/>
                <w:noProof/>
              </w:rPr>
              <w:t>V.</w:t>
            </w:r>
            <w:r w:rsidR="00ED33FA">
              <w:rPr>
                <w:rFonts w:asciiTheme="minorHAnsi" w:eastAsiaTheme="minorEastAsia" w:hAnsiTheme="minorHAnsi"/>
                <w:noProof/>
              </w:rPr>
              <w:tab/>
            </w:r>
            <w:r w:rsidR="00ED33FA" w:rsidRPr="00BC1AF5">
              <w:rPr>
                <w:rStyle w:val="Hyperlink"/>
                <w:b/>
                <w:noProof/>
              </w:rPr>
              <w:t>Conclusion &amp; Next Steps</w:t>
            </w:r>
            <w:r w:rsidR="00ED33FA">
              <w:rPr>
                <w:noProof/>
                <w:webHidden/>
              </w:rPr>
              <w:tab/>
            </w:r>
            <w:r w:rsidR="00ED33FA">
              <w:rPr>
                <w:noProof/>
                <w:webHidden/>
              </w:rPr>
              <w:fldChar w:fldCharType="begin"/>
            </w:r>
            <w:r w:rsidR="00ED33FA">
              <w:rPr>
                <w:noProof/>
                <w:webHidden/>
              </w:rPr>
              <w:instrText xml:space="preserve"> PAGEREF _Toc85188555 \h </w:instrText>
            </w:r>
            <w:r w:rsidR="00ED33FA">
              <w:rPr>
                <w:noProof/>
                <w:webHidden/>
              </w:rPr>
            </w:r>
            <w:r w:rsidR="00ED33FA">
              <w:rPr>
                <w:noProof/>
                <w:webHidden/>
              </w:rPr>
              <w:fldChar w:fldCharType="separate"/>
            </w:r>
            <w:r w:rsidR="00ED33FA">
              <w:rPr>
                <w:noProof/>
                <w:webHidden/>
              </w:rPr>
              <w:t>92</w:t>
            </w:r>
            <w:r w:rsidR="00ED33FA">
              <w:rPr>
                <w:noProof/>
                <w:webHidden/>
              </w:rPr>
              <w:fldChar w:fldCharType="end"/>
            </w:r>
          </w:hyperlink>
        </w:p>
        <w:p w14:paraId="574C9CC9" w14:textId="1CF45DD6" w:rsidR="00ED33FA" w:rsidRDefault="00F1222E">
          <w:pPr>
            <w:pStyle w:val="TOC1"/>
            <w:rPr>
              <w:rFonts w:asciiTheme="minorHAnsi" w:eastAsiaTheme="minorEastAsia" w:hAnsiTheme="minorHAnsi"/>
              <w:noProof/>
            </w:rPr>
          </w:pPr>
          <w:hyperlink w:anchor="_Toc85188556" w:history="1">
            <w:r w:rsidR="00ED33FA" w:rsidRPr="00BC1AF5">
              <w:rPr>
                <w:rStyle w:val="Hyperlink"/>
                <w:b/>
                <w:noProof/>
              </w:rPr>
              <w:t>VI.</w:t>
            </w:r>
            <w:r w:rsidR="00ED33FA">
              <w:rPr>
                <w:rFonts w:asciiTheme="minorHAnsi" w:eastAsiaTheme="minorEastAsia" w:hAnsiTheme="minorHAnsi"/>
                <w:noProof/>
              </w:rPr>
              <w:tab/>
            </w:r>
            <w:r w:rsidR="00ED33FA" w:rsidRPr="00BC1AF5">
              <w:rPr>
                <w:rStyle w:val="Hyperlink"/>
                <w:b/>
                <w:noProof/>
              </w:rPr>
              <w:t>Appendices</w:t>
            </w:r>
            <w:r w:rsidR="00ED33FA">
              <w:rPr>
                <w:noProof/>
                <w:webHidden/>
              </w:rPr>
              <w:tab/>
            </w:r>
            <w:r w:rsidR="00ED33FA">
              <w:rPr>
                <w:noProof/>
                <w:webHidden/>
              </w:rPr>
              <w:fldChar w:fldCharType="begin"/>
            </w:r>
            <w:r w:rsidR="00ED33FA">
              <w:rPr>
                <w:noProof/>
                <w:webHidden/>
              </w:rPr>
              <w:instrText xml:space="preserve"> PAGEREF _Toc85188556 \h </w:instrText>
            </w:r>
            <w:r w:rsidR="00ED33FA">
              <w:rPr>
                <w:noProof/>
                <w:webHidden/>
              </w:rPr>
            </w:r>
            <w:r w:rsidR="00ED33FA">
              <w:rPr>
                <w:noProof/>
                <w:webHidden/>
              </w:rPr>
              <w:fldChar w:fldCharType="separate"/>
            </w:r>
            <w:r w:rsidR="00ED33FA">
              <w:rPr>
                <w:noProof/>
                <w:webHidden/>
              </w:rPr>
              <w:t>93</w:t>
            </w:r>
            <w:r w:rsidR="00ED33FA">
              <w:rPr>
                <w:noProof/>
                <w:webHidden/>
              </w:rPr>
              <w:fldChar w:fldCharType="end"/>
            </w:r>
          </w:hyperlink>
        </w:p>
        <w:p w14:paraId="3127B246" w14:textId="308E585E" w:rsidR="00ED33FA" w:rsidRDefault="00F1222E">
          <w:pPr>
            <w:pStyle w:val="TOC2"/>
            <w:rPr>
              <w:rFonts w:asciiTheme="minorHAnsi" w:eastAsiaTheme="minorEastAsia" w:hAnsiTheme="minorHAnsi"/>
              <w:noProof/>
            </w:rPr>
          </w:pPr>
          <w:hyperlink w:anchor="_Toc85188557" w:history="1">
            <w:r w:rsidR="00ED33FA" w:rsidRPr="00BC1AF5">
              <w:rPr>
                <w:rStyle w:val="Hyperlink"/>
                <w:iCs/>
                <w:noProof/>
              </w:rPr>
              <w:t>A.</w:t>
            </w:r>
            <w:r w:rsidR="00ED33FA">
              <w:rPr>
                <w:rFonts w:asciiTheme="minorHAnsi" w:eastAsiaTheme="minorEastAsia" w:hAnsiTheme="minorHAnsi"/>
                <w:noProof/>
              </w:rPr>
              <w:tab/>
            </w:r>
            <w:r w:rsidR="00ED33FA" w:rsidRPr="00BC1AF5">
              <w:rPr>
                <w:rStyle w:val="Hyperlink"/>
                <w:noProof/>
              </w:rPr>
              <w:t>Ordinance 19267</w:t>
            </w:r>
            <w:r w:rsidR="00ED33FA">
              <w:rPr>
                <w:noProof/>
                <w:webHidden/>
              </w:rPr>
              <w:tab/>
            </w:r>
            <w:r w:rsidR="00ED33FA">
              <w:rPr>
                <w:noProof/>
                <w:webHidden/>
              </w:rPr>
              <w:fldChar w:fldCharType="begin"/>
            </w:r>
            <w:r w:rsidR="00ED33FA">
              <w:rPr>
                <w:noProof/>
                <w:webHidden/>
              </w:rPr>
              <w:instrText xml:space="preserve"> PAGEREF _Toc85188557 \h </w:instrText>
            </w:r>
            <w:r w:rsidR="00ED33FA">
              <w:rPr>
                <w:noProof/>
                <w:webHidden/>
              </w:rPr>
            </w:r>
            <w:r w:rsidR="00ED33FA">
              <w:rPr>
                <w:noProof/>
                <w:webHidden/>
              </w:rPr>
              <w:fldChar w:fldCharType="separate"/>
            </w:r>
            <w:r w:rsidR="00ED33FA">
              <w:rPr>
                <w:noProof/>
                <w:webHidden/>
              </w:rPr>
              <w:t>93</w:t>
            </w:r>
            <w:r w:rsidR="00ED33FA">
              <w:rPr>
                <w:noProof/>
                <w:webHidden/>
              </w:rPr>
              <w:fldChar w:fldCharType="end"/>
            </w:r>
          </w:hyperlink>
        </w:p>
        <w:p w14:paraId="5AEEE671" w14:textId="52FA81C2" w:rsidR="00ED33FA" w:rsidRDefault="00F1222E">
          <w:pPr>
            <w:pStyle w:val="TOC2"/>
            <w:rPr>
              <w:rFonts w:asciiTheme="minorHAnsi" w:eastAsiaTheme="minorEastAsia" w:hAnsiTheme="minorHAnsi"/>
              <w:noProof/>
            </w:rPr>
          </w:pPr>
          <w:hyperlink w:anchor="_Toc85188558" w:history="1">
            <w:r w:rsidR="00ED33FA" w:rsidRPr="00BC1AF5">
              <w:rPr>
                <w:rStyle w:val="Hyperlink"/>
                <w:iCs/>
                <w:noProof/>
              </w:rPr>
              <w:t>B.</w:t>
            </w:r>
            <w:r w:rsidR="00ED33FA">
              <w:rPr>
                <w:rFonts w:asciiTheme="minorHAnsi" w:eastAsiaTheme="minorEastAsia" w:hAnsiTheme="minorHAnsi"/>
                <w:noProof/>
              </w:rPr>
              <w:tab/>
            </w:r>
            <w:r w:rsidR="00ED33FA" w:rsidRPr="00BC1AF5">
              <w:rPr>
                <w:rStyle w:val="Hyperlink"/>
                <w:noProof/>
              </w:rPr>
              <w:t>Motion 15888</w:t>
            </w:r>
            <w:r w:rsidR="00ED33FA">
              <w:rPr>
                <w:noProof/>
                <w:webHidden/>
              </w:rPr>
              <w:tab/>
            </w:r>
            <w:r w:rsidR="00ED33FA">
              <w:rPr>
                <w:noProof/>
                <w:webHidden/>
              </w:rPr>
              <w:fldChar w:fldCharType="begin"/>
            </w:r>
            <w:r w:rsidR="00ED33FA">
              <w:rPr>
                <w:noProof/>
                <w:webHidden/>
              </w:rPr>
              <w:instrText xml:space="preserve"> PAGEREF _Toc85188558 \h </w:instrText>
            </w:r>
            <w:r w:rsidR="00ED33FA">
              <w:rPr>
                <w:noProof/>
                <w:webHidden/>
              </w:rPr>
            </w:r>
            <w:r w:rsidR="00ED33FA">
              <w:rPr>
                <w:noProof/>
                <w:webHidden/>
              </w:rPr>
              <w:fldChar w:fldCharType="separate"/>
            </w:r>
            <w:r w:rsidR="00ED33FA">
              <w:rPr>
                <w:noProof/>
                <w:webHidden/>
              </w:rPr>
              <w:t>101</w:t>
            </w:r>
            <w:r w:rsidR="00ED33FA">
              <w:rPr>
                <w:noProof/>
                <w:webHidden/>
              </w:rPr>
              <w:fldChar w:fldCharType="end"/>
            </w:r>
          </w:hyperlink>
        </w:p>
        <w:p w14:paraId="1A0B740A" w14:textId="3770BA79" w:rsidR="00ED33FA" w:rsidRDefault="00F1222E">
          <w:pPr>
            <w:pStyle w:val="TOC2"/>
            <w:rPr>
              <w:rFonts w:asciiTheme="minorHAnsi" w:eastAsiaTheme="minorEastAsia" w:hAnsiTheme="minorHAnsi"/>
              <w:noProof/>
            </w:rPr>
          </w:pPr>
          <w:hyperlink w:anchor="_Toc85188559" w:history="1">
            <w:r w:rsidR="00ED33FA" w:rsidRPr="00BC1AF5">
              <w:rPr>
                <w:rStyle w:val="Hyperlink"/>
                <w:iCs/>
                <w:noProof/>
              </w:rPr>
              <w:t>C.</w:t>
            </w:r>
            <w:r w:rsidR="00ED33FA">
              <w:rPr>
                <w:rFonts w:asciiTheme="minorHAnsi" w:eastAsiaTheme="minorEastAsia" w:hAnsiTheme="minorHAnsi"/>
                <w:noProof/>
              </w:rPr>
              <w:tab/>
            </w:r>
            <w:r w:rsidR="00ED33FA" w:rsidRPr="00BC1AF5">
              <w:rPr>
                <w:rStyle w:val="Hyperlink"/>
                <w:noProof/>
              </w:rPr>
              <w:t>Ordinance Requirements and Requested Elements</w:t>
            </w:r>
            <w:r w:rsidR="00ED33FA">
              <w:rPr>
                <w:noProof/>
                <w:webHidden/>
              </w:rPr>
              <w:tab/>
            </w:r>
            <w:r w:rsidR="00ED33FA">
              <w:rPr>
                <w:noProof/>
                <w:webHidden/>
              </w:rPr>
              <w:fldChar w:fldCharType="begin"/>
            </w:r>
            <w:r w:rsidR="00ED33FA">
              <w:rPr>
                <w:noProof/>
                <w:webHidden/>
              </w:rPr>
              <w:instrText xml:space="preserve"> PAGEREF _Toc85188559 \h </w:instrText>
            </w:r>
            <w:r w:rsidR="00ED33FA">
              <w:rPr>
                <w:noProof/>
                <w:webHidden/>
              </w:rPr>
            </w:r>
            <w:r w:rsidR="00ED33FA">
              <w:rPr>
                <w:noProof/>
                <w:webHidden/>
              </w:rPr>
              <w:fldChar w:fldCharType="separate"/>
            </w:r>
            <w:r w:rsidR="00ED33FA">
              <w:rPr>
                <w:noProof/>
                <w:webHidden/>
              </w:rPr>
              <w:t>103</w:t>
            </w:r>
            <w:r w:rsidR="00ED33FA">
              <w:rPr>
                <w:noProof/>
                <w:webHidden/>
              </w:rPr>
              <w:fldChar w:fldCharType="end"/>
            </w:r>
          </w:hyperlink>
        </w:p>
        <w:p w14:paraId="446F6831" w14:textId="552B92AC" w:rsidR="00ED33FA" w:rsidRDefault="00F1222E">
          <w:pPr>
            <w:pStyle w:val="TOC2"/>
            <w:rPr>
              <w:rFonts w:asciiTheme="minorHAnsi" w:eastAsiaTheme="minorEastAsia" w:hAnsiTheme="minorHAnsi"/>
              <w:noProof/>
            </w:rPr>
          </w:pPr>
          <w:hyperlink w:anchor="_Toc85188560" w:history="1">
            <w:r w:rsidR="00ED33FA" w:rsidRPr="00BC1AF5">
              <w:rPr>
                <w:rStyle w:val="Hyperlink"/>
                <w:iCs/>
                <w:noProof/>
              </w:rPr>
              <w:t>D.</w:t>
            </w:r>
            <w:r w:rsidR="00ED33FA">
              <w:rPr>
                <w:rFonts w:asciiTheme="minorHAnsi" w:eastAsiaTheme="minorEastAsia" w:hAnsiTheme="minorHAnsi"/>
                <w:noProof/>
              </w:rPr>
              <w:tab/>
            </w:r>
            <w:r w:rsidR="00ED33FA" w:rsidRPr="00BC1AF5">
              <w:rPr>
                <w:rStyle w:val="Hyperlink"/>
                <w:iCs/>
                <w:noProof/>
              </w:rPr>
              <w:t>Best Starts</w:t>
            </w:r>
            <w:r w:rsidR="00ED33FA" w:rsidRPr="00BC1AF5">
              <w:rPr>
                <w:rStyle w:val="Hyperlink"/>
                <w:noProof/>
              </w:rPr>
              <w:t xml:space="preserve"> 2016-2021 Outcomes</w:t>
            </w:r>
            <w:r w:rsidR="00ED33FA">
              <w:rPr>
                <w:noProof/>
                <w:webHidden/>
              </w:rPr>
              <w:tab/>
            </w:r>
            <w:r w:rsidR="00ED33FA">
              <w:rPr>
                <w:noProof/>
                <w:webHidden/>
              </w:rPr>
              <w:fldChar w:fldCharType="begin"/>
            </w:r>
            <w:r w:rsidR="00ED33FA">
              <w:rPr>
                <w:noProof/>
                <w:webHidden/>
              </w:rPr>
              <w:instrText xml:space="preserve"> PAGEREF _Toc85188560 \h </w:instrText>
            </w:r>
            <w:r w:rsidR="00ED33FA">
              <w:rPr>
                <w:noProof/>
                <w:webHidden/>
              </w:rPr>
            </w:r>
            <w:r w:rsidR="00ED33FA">
              <w:rPr>
                <w:noProof/>
                <w:webHidden/>
              </w:rPr>
              <w:fldChar w:fldCharType="separate"/>
            </w:r>
            <w:r w:rsidR="00ED33FA">
              <w:rPr>
                <w:noProof/>
                <w:webHidden/>
              </w:rPr>
              <w:t>111</w:t>
            </w:r>
            <w:r w:rsidR="00ED33FA">
              <w:rPr>
                <w:noProof/>
                <w:webHidden/>
              </w:rPr>
              <w:fldChar w:fldCharType="end"/>
            </w:r>
          </w:hyperlink>
        </w:p>
        <w:p w14:paraId="00FD015D" w14:textId="74ADA8C8" w:rsidR="00ED33FA" w:rsidRDefault="00F1222E">
          <w:pPr>
            <w:pStyle w:val="TOC2"/>
            <w:rPr>
              <w:rFonts w:asciiTheme="minorHAnsi" w:eastAsiaTheme="minorEastAsia" w:hAnsiTheme="minorHAnsi"/>
              <w:noProof/>
            </w:rPr>
          </w:pPr>
          <w:hyperlink w:anchor="_Toc85188561" w:history="1">
            <w:r w:rsidR="00ED33FA" w:rsidRPr="00BC1AF5">
              <w:rPr>
                <w:rStyle w:val="Hyperlink"/>
                <w:iCs/>
                <w:noProof/>
              </w:rPr>
              <w:t>E.</w:t>
            </w:r>
            <w:r w:rsidR="00ED33FA">
              <w:rPr>
                <w:rFonts w:asciiTheme="minorHAnsi" w:eastAsiaTheme="minorEastAsia" w:hAnsiTheme="minorHAnsi"/>
                <w:noProof/>
              </w:rPr>
              <w:tab/>
            </w:r>
            <w:r w:rsidR="00ED33FA" w:rsidRPr="00BC1AF5">
              <w:rPr>
                <w:rStyle w:val="Hyperlink"/>
                <w:noProof/>
              </w:rPr>
              <w:t>Headline &amp; Secondary Indicators</w:t>
            </w:r>
            <w:r w:rsidR="00ED33FA">
              <w:rPr>
                <w:noProof/>
                <w:webHidden/>
              </w:rPr>
              <w:tab/>
            </w:r>
            <w:r w:rsidR="00ED33FA">
              <w:rPr>
                <w:noProof/>
                <w:webHidden/>
              </w:rPr>
              <w:fldChar w:fldCharType="begin"/>
            </w:r>
            <w:r w:rsidR="00ED33FA">
              <w:rPr>
                <w:noProof/>
                <w:webHidden/>
              </w:rPr>
              <w:instrText xml:space="preserve"> PAGEREF _Toc85188561 \h </w:instrText>
            </w:r>
            <w:r w:rsidR="00ED33FA">
              <w:rPr>
                <w:noProof/>
                <w:webHidden/>
              </w:rPr>
            </w:r>
            <w:r w:rsidR="00ED33FA">
              <w:rPr>
                <w:noProof/>
                <w:webHidden/>
              </w:rPr>
              <w:fldChar w:fldCharType="separate"/>
            </w:r>
            <w:r w:rsidR="00ED33FA">
              <w:rPr>
                <w:noProof/>
                <w:webHidden/>
              </w:rPr>
              <w:t>113</w:t>
            </w:r>
            <w:r w:rsidR="00ED33FA">
              <w:rPr>
                <w:noProof/>
                <w:webHidden/>
              </w:rPr>
              <w:fldChar w:fldCharType="end"/>
            </w:r>
          </w:hyperlink>
        </w:p>
        <w:p w14:paraId="0529ECEF" w14:textId="78592FBF" w:rsidR="00ED33FA" w:rsidRDefault="00F1222E">
          <w:pPr>
            <w:pStyle w:val="TOC2"/>
            <w:rPr>
              <w:rFonts w:asciiTheme="minorHAnsi" w:eastAsiaTheme="minorEastAsia" w:hAnsiTheme="minorHAnsi"/>
              <w:noProof/>
            </w:rPr>
          </w:pPr>
          <w:hyperlink w:anchor="_Toc85188562" w:history="1">
            <w:r w:rsidR="00ED33FA" w:rsidRPr="00BC1AF5">
              <w:rPr>
                <w:rStyle w:val="Hyperlink"/>
                <w:iCs/>
                <w:noProof/>
              </w:rPr>
              <w:t>F.</w:t>
            </w:r>
            <w:r w:rsidR="00ED33FA">
              <w:rPr>
                <w:rFonts w:asciiTheme="minorHAnsi" w:eastAsiaTheme="minorEastAsia" w:hAnsiTheme="minorHAnsi"/>
                <w:noProof/>
              </w:rPr>
              <w:tab/>
            </w:r>
            <w:r w:rsidR="00ED33FA" w:rsidRPr="00BC1AF5">
              <w:rPr>
                <w:rStyle w:val="Hyperlink"/>
                <w:noProof/>
              </w:rPr>
              <w:t>CYAB Governance Board Roster</w:t>
            </w:r>
            <w:r w:rsidR="00ED33FA">
              <w:rPr>
                <w:noProof/>
                <w:webHidden/>
              </w:rPr>
              <w:tab/>
            </w:r>
            <w:r w:rsidR="00ED33FA">
              <w:rPr>
                <w:noProof/>
                <w:webHidden/>
              </w:rPr>
              <w:fldChar w:fldCharType="begin"/>
            </w:r>
            <w:r w:rsidR="00ED33FA">
              <w:rPr>
                <w:noProof/>
                <w:webHidden/>
              </w:rPr>
              <w:instrText xml:space="preserve"> PAGEREF _Toc85188562 \h </w:instrText>
            </w:r>
            <w:r w:rsidR="00ED33FA">
              <w:rPr>
                <w:noProof/>
                <w:webHidden/>
              </w:rPr>
            </w:r>
            <w:r w:rsidR="00ED33FA">
              <w:rPr>
                <w:noProof/>
                <w:webHidden/>
              </w:rPr>
              <w:fldChar w:fldCharType="separate"/>
            </w:r>
            <w:r w:rsidR="00ED33FA">
              <w:rPr>
                <w:noProof/>
                <w:webHidden/>
              </w:rPr>
              <w:t>115</w:t>
            </w:r>
            <w:r w:rsidR="00ED33FA">
              <w:rPr>
                <w:noProof/>
                <w:webHidden/>
              </w:rPr>
              <w:fldChar w:fldCharType="end"/>
            </w:r>
          </w:hyperlink>
        </w:p>
        <w:p w14:paraId="34733D61" w14:textId="3B53A315" w:rsidR="00ED33FA" w:rsidRDefault="00F1222E">
          <w:pPr>
            <w:pStyle w:val="TOC2"/>
            <w:rPr>
              <w:rFonts w:asciiTheme="minorHAnsi" w:eastAsiaTheme="minorEastAsia" w:hAnsiTheme="minorHAnsi"/>
              <w:noProof/>
            </w:rPr>
          </w:pPr>
          <w:hyperlink w:anchor="_Toc85188563" w:history="1">
            <w:r w:rsidR="00ED33FA" w:rsidRPr="00BC1AF5">
              <w:rPr>
                <w:rStyle w:val="Hyperlink"/>
                <w:iCs/>
                <w:noProof/>
              </w:rPr>
              <w:t>G.</w:t>
            </w:r>
            <w:r w:rsidR="00ED33FA">
              <w:rPr>
                <w:rFonts w:asciiTheme="minorHAnsi" w:eastAsiaTheme="minorEastAsia" w:hAnsiTheme="minorHAnsi"/>
                <w:noProof/>
              </w:rPr>
              <w:tab/>
            </w:r>
            <w:r w:rsidR="00ED33FA" w:rsidRPr="00BC1AF5">
              <w:rPr>
                <w:rStyle w:val="Hyperlink"/>
                <w:noProof/>
              </w:rPr>
              <w:t>COO Governance Group Roster</w:t>
            </w:r>
            <w:r w:rsidR="00ED33FA">
              <w:rPr>
                <w:noProof/>
                <w:webHidden/>
              </w:rPr>
              <w:tab/>
            </w:r>
            <w:r w:rsidR="00ED33FA">
              <w:rPr>
                <w:noProof/>
                <w:webHidden/>
              </w:rPr>
              <w:fldChar w:fldCharType="begin"/>
            </w:r>
            <w:r w:rsidR="00ED33FA">
              <w:rPr>
                <w:noProof/>
                <w:webHidden/>
              </w:rPr>
              <w:instrText xml:space="preserve"> PAGEREF _Toc85188563 \h </w:instrText>
            </w:r>
            <w:r w:rsidR="00ED33FA">
              <w:rPr>
                <w:noProof/>
                <w:webHidden/>
              </w:rPr>
            </w:r>
            <w:r w:rsidR="00ED33FA">
              <w:rPr>
                <w:noProof/>
                <w:webHidden/>
              </w:rPr>
              <w:fldChar w:fldCharType="separate"/>
            </w:r>
            <w:r w:rsidR="00ED33FA">
              <w:rPr>
                <w:noProof/>
                <w:webHidden/>
              </w:rPr>
              <w:t>117</w:t>
            </w:r>
            <w:r w:rsidR="00ED33FA">
              <w:rPr>
                <w:noProof/>
                <w:webHidden/>
              </w:rPr>
              <w:fldChar w:fldCharType="end"/>
            </w:r>
          </w:hyperlink>
        </w:p>
        <w:p w14:paraId="44068C2F" w14:textId="163ADDD0" w:rsidR="00ED33FA" w:rsidRDefault="00F1222E">
          <w:pPr>
            <w:pStyle w:val="TOC2"/>
            <w:rPr>
              <w:rFonts w:asciiTheme="minorHAnsi" w:eastAsiaTheme="minorEastAsia" w:hAnsiTheme="minorHAnsi"/>
              <w:noProof/>
            </w:rPr>
          </w:pPr>
          <w:hyperlink w:anchor="_Toc85188564" w:history="1">
            <w:r w:rsidR="00ED33FA" w:rsidRPr="00BC1AF5">
              <w:rPr>
                <w:rStyle w:val="Hyperlink"/>
                <w:iCs/>
                <w:noProof/>
              </w:rPr>
              <w:t>H.</w:t>
            </w:r>
            <w:r w:rsidR="00ED33FA">
              <w:rPr>
                <w:rFonts w:asciiTheme="minorHAnsi" w:eastAsiaTheme="minorEastAsia" w:hAnsiTheme="minorHAnsi"/>
                <w:noProof/>
              </w:rPr>
              <w:tab/>
            </w:r>
            <w:r w:rsidR="00ED33FA" w:rsidRPr="00BC1AF5">
              <w:rPr>
                <w:rStyle w:val="Hyperlink"/>
                <w:noProof/>
              </w:rPr>
              <w:t>Fiscal Detail on Operating Investments</w:t>
            </w:r>
            <w:r w:rsidR="00ED33FA">
              <w:rPr>
                <w:noProof/>
                <w:webHidden/>
              </w:rPr>
              <w:tab/>
            </w:r>
            <w:r w:rsidR="00ED33FA">
              <w:rPr>
                <w:noProof/>
                <w:webHidden/>
              </w:rPr>
              <w:fldChar w:fldCharType="begin"/>
            </w:r>
            <w:r w:rsidR="00ED33FA">
              <w:rPr>
                <w:noProof/>
                <w:webHidden/>
              </w:rPr>
              <w:instrText xml:space="preserve"> PAGEREF _Toc85188564 \h </w:instrText>
            </w:r>
            <w:r w:rsidR="00ED33FA">
              <w:rPr>
                <w:noProof/>
                <w:webHidden/>
              </w:rPr>
            </w:r>
            <w:r w:rsidR="00ED33FA">
              <w:rPr>
                <w:noProof/>
                <w:webHidden/>
              </w:rPr>
              <w:fldChar w:fldCharType="separate"/>
            </w:r>
            <w:r w:rsidR="00ED33FA">
              <w:rPr>
                <w:noProof/>
                <w:webHidden/>
              </w:rPr>
              <w:t>118</w:t>
            </w:r>
            <w:r w:rsidR="00ED33FA">
              <w:rPr>
                <w:noProof/>
                <w:webHidden/>
              </w:rPr>
              <w:fldChar w:fldCharType="end"/>
            </w:r>
          </w:hyperlink>
        </w:p>
        <w:p w14:paraId="4A3CCEBD" w14:textId="43776BC0" w:rsidR="00ED33FA" w:rsidRDefault="00F1222E">
          <w:pPr>
            <w:pStyle w:val="TOC2"/>
            <w:rPr>
              <w:rFonts w:asciiTheme="minorHAnsi" w:eastAsiaTheme="minorEastAsia" w:hAnsiTheme="minorHAnsi"/>
              <w:noProof/>
            </w:rPr>
          </w:pPr>
          <w:hyperlink w:anchor="_Toc85188565" w:history="1">
            <w:r w:rsidR="00ED33FA" w:rsidRPr="00BC1AF5">
              <w:rPr>
                <w:rStyle w:val="Hyperlink"/>
                <w:iCs/>
                <w:noProof/>
              </w:rPr>
              <w:t>I.</w:t>
            </w:r>
            <w:r w:rsidR="00ED33FA">
              <w:rPr>
                <w:rFonts w:asciiTheme="minorHAnsi" w:eastAsiaTheme="minorEastAsia" w:hAnsiTheme="minorHAnsi"/>
                <w:noProof/>
              </w:rPr>
              <w:tab/>
            </w:r>
            <w:r w:rsidR="00ED33FA" w:rsidRPr="00BC1AF5">
              <w:rPr>
                <w:rStyle w:val="Hyperlink"/>
                <w:noProof/>
              </w:rPr>
              <w:t>Procurement and Financial Policies</w:t>
            </w:r>
            <w:r w:rsidR="00ED33FA">
              <w:rPr>
                <w:noProof/>
                <w:webHidden/>
              </w:rPr>
              <w:tab/>
            </w:r>
            <w:r w:rsidR="00ED33FA">
              <w:rPr>
                <w:noProof/>
                <w:webHidden/>
              </w:rPr>
              <w:fldChar w:fldCharType="begin"/>
            </w:r>
            <w:r w:rsidR="00ED33FA">
              <w:rPr>
                <w:noProof/>
                <w:webHidden/>
              </w:rPr>
              <w:instrText xml:space="preserve"> PAGEREF _Toc85188565 \h </w:instrText>
            </w:r>
            <w:r w:rsidR="00ED33FA">
              <w:rPr>
                <w:noProof/>
                <w:webHidden/>
              </w:rPr>
            </w:r>
            <w:r w:rsidR="00ED33FA">
              <w:rPr>
                <w:noProof/>
                <w:webHidden/>
              </w:rPr>
              <w:fldChar w:fldCharType="separate"/>
            </w:r>
            <w:r w:rsidR="00ED33FA">
              <w:rPr>
                <w:noProof/>
                <w:webHidden/>
              </w:rPr>
              <w:t>119</w:t>
            </w:r>
            <w:r w:rsidR="00ED33FA">
              <w:rPr>
                <w:noProof/>
                <w:webHidden/>
              </w:rPr>
              <w:fldChar w:fldCharType="end"/>
            </w:r>
          </w:hyperlink>
        </w:p>
        <w:p w14:paraId="19D3FAC9" w14:textId="0C8EF365" w:rsidR="00ED33FA" w:rsidRDefault="00F1222E">
          <w:pPr>
            <w:pStyle w:val="TOC2"/>
            <w:rPr>
              <w:rFonts w:asciiTheme="minorHAnsi" w:eastAsiaTheme="minorEastAsia" w:hAnsiTheme="minorHAnsi"/>
              <w:noProof/>
            </w:rPr>
          </w:pPr>
          <w:hyperlink w:anchor="_Toc85188566" w:history="1">
            <w:r w:rsidR="00ED33FA" w:rsidRPr="00BC1AF5">
              <w:rPr>
                <w:rStyle w:val="Hyperlink"/>
                <w:iCs/>
                <w:noProof/>
              </w:rPr>
              <w:t>J.</w:t>
            </w:r>
            <w:r w:rsidR="00ED33FA">
              <w:rPr>
                <w:rFonts w:asciiTheme="minorHAnsi" w:eastAsiaTheme="minorEastAsia" w:hAnsiTheme="minorHAnsi"/>
                <w:noProof/>
              </w:rPr>
              <w:tab/>
            </w:r>
            <w:r w:rsidR="00ED33FA" w:rsidRPr="00BC1AF5">
              <w:rPr>
                <w:rStyle w:val="Hyperlink"/>
                <w:noProof/>
              </w:rPr>
              <w:t>Community Engagement Stakeholders</w:t>
            </w:r>
            <w:r w:rsidR="00ED33FA">
              <w:rPr>
                <w:noProof/>
                <w:webHidden/>
              </w:rPr>
              <w:tab/>
            </w:r>
            <w:r w:rsidR="00ED33FA">
              <w:rPr>
                <w:noProof/>
                <w:webHidden/>
              </w:rPr>
              <w:fldChar w:fldCharType="begin"/>
            </w:r>
            <w:r w:rsidR="00ED33FA">
              <w:rPr>
                <w:noProof/>
                <w:webHidden/>
              </w:rPr>
              <w:instrText xml:space="preserve"> PAGEREF _Toc85188566 \h </w:instrText>
            </w:r>
            <w:r w:rsidR="00ED33FA">
              <w:rPr>
                <w:noProof/>
                <w:webHidden/>
              </w:rPr>
            </w:r>
            <w:r w:rsidR="00ED33FA">
              <w:rPr>
                <w:noProof/>
                <w:webHidden/>
              </w:rPr>
              <w:fldChar w:fldCharType="separate"/>
            </w:r>
            <w:r w:rsidR="00ED33FA">
              <w:rPr>
                <w:noProof/>
                <w:webHidden/>
              </w:rPr>
              <w:t>121</w:t>
            </w:r>
            <w:r w:rsidR="00ED33FA">
              <w:rPr>
                <w:noProof/>
                <w:webHidden/>
              </w:rPr>
              <w:fldChar w:fldCharType="end"/>
            </w:r>
          </w:hyperlink>
        </w:p>
        <w:p w14:paraId="7448A77D" w14:textId="403C99A8" w:rsidR="00ED33FA" w:rsidRDefault="00F1222E">
          <w:pPr>
            <w:pStyle w:val="TOC2"/>
            <w:rPr>
              <w:rFonts w:asciiTheme="minorHAnsi" w:eastAsiaTheme="minorEastAsia" w:hAnsiTheme="minorHAnsi"/>
              <w:noProof/>
            </w:rPr>
          </w:pPr>
          <w:hyperlink w:anchor="_Toc85188567" w:history="1">
            <w:r w:rsidR="00ED33FA" w:rsidRPr="00BC1AF5">
              <w:rPr>
                <w:rStyle w:val="Hyperlink"/>
                <w:iCs/>
                <w:noProof/>
              </w:rPr>
              <w:t>K.</w:t>
            </w:r>
            <w:r w:rsidR="00ED33FA">
              <w:rPr>
                <w:rFonts w:asciiTheme="minorHAnsi" w:eastAsiaTheme="minorEastAsia" w:hAnsiTheme="minorHAnsi"/>
                <w:noProof/>
              </w:rPr>
              <w:tab/>
            </w:r>
            <w:r w:rsidR="00ED33FA" w:rsidRPr="00BC1AF5">
              <w:rPr>
                <w:rStyle w:val="Hyperlink"/>
                <w:noProof/>
              </w:rPr>
              <w:t>Evaluation Plan Example</w:t>
            </w:r>
            <w:r w:rsidR="00ED33FA">
              <w:rPr>
                <w:noProof/>
                <w:webHidden/>
              </w:rPr>
              <w:tab/>
            </w:r>
            <w:r w:rsidR="00ED33FA">
              <w:rPr>
                <w:noProof/>
                <w:webHidden/>
              </w:rPr>
              <w:fldChar w:fldCharType="begin"/>
            </w:r>
            <w:r w:rsidR="00ED33FA">
              <w:rPr>
                <w:noProof/>
                <w:webHidden/>
              </w:rPr>
              <w:instrText xml:space="preserve"> PAGEREF _Toc85188567 \h </w:instrText>
            </w:r>
            <w:r w:rsidR="00ED33FA">
              <w:rPr>
                <w:noProof/>
                <w:webHidden/>
              </w:rPr>
            </w:r>
            <w:r w:rsidR="00ED33FA">
              <w:rPr>
                <w:noProof/>
                <w:webHidden/>
              </w:rPr>
              <w:fldChar w:fldCharType="separate"/>
            </w:r>
            <w:r w:rsidR="00ED33FA">
              <w:rPr>
                <w:noProof/>
                <w:webHidden/>
              </w:rPr>
              <w:t>122</w:t>
            </w:r>
            <w:r w:rsidR="00ED33FA">
              <w:rPr>
                <w:noProof/>
                <w:webHidden/>
              </w:rPr>
              <w:fldChar w:fldCharType="end"/>
            </w:r>
          </w:hyperlink>
        </w:p>
        <w:p w14:paraId="2C69FDE5" w14:textId="224E68A3" w:rsidR="77DF92BE" w:rsidRPr="00080B19" w:rsidRDefault="00DE3B81" w:rsidP="005F3393">
          <w:pPr>
            <w:contextualSpacing/>
          </w:pPr>
          <w:r>
            <w:rPr>
              <w:b/>
            </w:rPr>
            <w:fldChar w:fldCharType="end"/>
          </w:r>
        </w:p>
      </w:sdtContent>
    </w:sdt>
    <w:p w14:paraId="7D21C991" w14:textId="2E5B16C3" w:rsidR="005A25A5" w:rsidRDefault="005A25A5">
      <w:pPr>
        <w:spacing w:line="240" w:lineRule="auto"/>
        <w:rPr>
          <w:rFonts w:eastAsiaTheme="majorEastAsia" w:cstheme="majorBidi"/>
          <w:color w:val="2F5496" w:themeColor="accent1" w:themeShade="BF"/>
          <w:sz w:val="28"/>
          <w:szCs w:val="28"/>
        </w:rPr>
      </w:pPr>
      <w:r>
        <w:br w:type="page"/>
      </w:r>
    </w:p>
    <w:p w14:paraId="494D5D32" w14:textId="10F55860" w:rsidR="00B77A32" w:rsidRDefault="00B77A32" w:rsidP="00025030">
      <w:pPr>
        <w:pStyle w:val="Heading1"/>
        <w:numPr>
          <w:ilvl w:val="0"/>
          <w:numId w:val="64"/>
        </w:numPr>
        <w:rPr>
          <w:b/>
        </w:rPr>
      </w:pPr>
      <w:bookmarkStart w:id="1" w:name="_Toc75185738"/>
      <w:bookmarkStart w:id="2" w:name="_Toc75185773"/>
      <w:bookmarkStart w:id="3" w:name="_Toc75185808"/>
      <w:bookmarkStart w:id="4" w:name="_Toc75185843"/>
      <w:bookmarkStart w:id="5" w:name="_Toc85188532"/>
      <w:bookmarkEnd w:id="1"/>
      <w:bookmarkEnd w:id="2"/>
      <w:bookmarkEnd w:id="3"/>
      <w:bookmarkEnd w:id="4"/>
      <w:r w:rsidRPr="00B40FD9">
        <w:rPr>
          <w:b/>
        </w:rPr>
        <w:lastRenderedPageBreak/>
        <w:t>Executive Summary</w:t>
      </w:r>
      <w:bookmarkEnd w:id="5"/>
    </w:p>
    <w:p w14:paraId="1204AD35" w14:textId="77777777" w:rsidR="000561D9" w:rsidRPr="00B374F2" w:rsidRDefault="000561D9" w:rsidP="000561D9"/>
    <w:p w14:paraId="49ECA4E8" w14:textId="1D5F6F71" w:rsidR="003778FB" w:rsidRPr="00B374F2" w:rsidRDefault="003778FB" w:rsidP="00B374F2">
      <w:pPr>
        <w:rPr>
          <w:rFonts w:asciiTheme="minorHAnsi" w:hAnsiTheme="minorHAnsi" w:cs="Calibri"/>
        </w:rPr>
      </w:pPr>
      <w:bookmarkStart w:id="6" w:name="_Hlk77873368"/>
      <w:r w:rsidRPr="00B374F2">
        <w:t xml:space="preserve">This Best Starts for Kids Implementation Plan is provided pursuant to Ordinance </w:t>
      </w:r>
      <w:r w:rsidRPr="00B374F2">
        <w:rPr>
          <w:rFonts w:eastAsiaTheme="majorEastAsia" w:cs="Calibri"/>
        </w:rPr>
        <w:t>19267 and Motion 15888.</w:t>
      </w:r>
      <w:r w:rsidR="00B374F2" w:rsidRPr="00B374F2">
        <w:rPr>
          <w:rStyle w:val="FootnoteReference"/>
        </w:rPr>
        <w:t xml:space="preserve"> </w:t>
      </w:r>
      <w:r w:rsidR="00B374F2" w:rsidRPr="00B374F2">
        <w:rPr>
          <w:rStyle w:val="FootnoteReference"/>
        </w:rPr>
        <w:footnoteReference w:id="2"/>
      </w:r>
      <w:r w:rsidR="00B374F2" w:rsidRPr="00B374F2">
        <w:rPr>
          <w:vertAlign w:val="superscript"/>
        </w:rPr>
        <w:t>,</w:t>
      </w:r>
      <w:r w:rsidR="00B374F2" w:rsidRPr="00B374F2">
        <w:rPr>
          <w:rStyle w:val="FootnoteReference"/>
        </w:rPr>
        <w:footnoteReference w:id="3"/>
      </w:r>
      <w:r w:rsidRPr="00B374F2">
        <w:rPr>
          <w:rFonts w:eastAsiaTheme="majorEastAsia" w:cs="Calibri"/>
        </w:rPr>
        <w:t xml:space="preserve"> It</w:t>
      </w:r>
      <w:r w:rsidRPr="00B374F2">
        <w:rPr>
          <w:rFonts w:cs="Calibri"/>
        </w:rPr>
        <w:t xml:space="preserve"> provides a history of the 2016-2021 Best Starts for Kids levy and describes the proposed 2022-2027 Best Starts for Kids levy. This plan outlines Best Starts’ impacts, framework, and results. It identifies Best Starts investment areas and strategies and serves as the Implementation Plan for the renewal and expansion of Best Starts</w:t>
      </w:r>
      <w:r w:rsidR="00D74523">
        <w:rPr>
          <w:rFonts w:cs="Calibri"/>
        </w:rPr>
        <w:t xml:space="preserve"> for the 2022-2027 levy period.</w:t>
      </w:r>
      <w:r w:rsidRPr="00B374F2">
        <w:rPr>
          <w:rStyle w:val="FootnoteReference"/>
        </w:rPr>
        <w:t xml:space="preserve"> </w:t>
      </w:r>
    </w:p>
    <w:bookmarkEnd w:id="6"/>
    <w:p w14:paraId="1C684115" w14:textId="5911BC32" w:rsidR="00936C3C" w:rsidRDefault="00936C3C" w:rsidP="005F3393">
      <w:pPr>
        <w:rPr>
          <w:highlight w:val="yellow"/>
        </w:rPr>
      </w:pPr>
    </w:p>
    <w:p w14:paraId="6B2105AF" w14:textId="77777777" w:rsidR="00E214EE" w:rsidRDefault="005E1E94" w:rsidP="005F3393">
      <w:pPr>
        <w:contextualSpacing/>
        <w:rPr>
          <w:b/>
          <w:bCs/>
          <w:u w:val="single"/>
        </w:rPr>
      </w:pPr>
      <w:r w:rsidRPr="00190499">
        <w:rPr>
          <w:b/>
          <w:i/>
          <w:u w:val="single"/>
        </w:rPr>
        <w:t>Best Starts</w:t>
      </w:r>
      <w:r w:rsidRPr="00190499">
        <w:rPr>
          <w:b/>
          <w:bCs/>
          <w:u w:val="single"/>
        </w:rPr>
        <w:t xml:space="preserve"> Introduction</w:t>
      </w:r>
    </w:p>
    <w:p w14:paraId="0350481D" w14:textId="77777777" w:rsidR="00E214EE" w:rsidRDefault="00E214EE" w:rsidP="005F3393">
      <w:pPr>
        <w:contextualSpacing/>
        <w:rPr>
          <w:b/>
          <w:bCs/>
          <w:u w:val="single"/>
        </w:rPr>
      </w:pPr>
    </w:p>
    <w:p w14:paraId="4185C3BB" w14:textId="0AE9E65D" w:rsidR="00E214EE" w:rsidRPr="00E214EE" w:rsidRDefault="00281B0A" w:rsidP="005F3393">
      <w:pPr>
        <w:contextualSpacing/>
        <w:rPr>
          <w:rFonts w:eastAsia="Calibri" w:cs="Calibri"/>
          <w:i/>
        </w:rPr>
      </w:pPr>
      <w:r w:rsidRPr="00E214EE">
        <w:rPr>
          <w:b/>
        </w:rPr>
        <w:t>History, Values and Frameworks</w:t>
      </w:r>
    </w:p>
    <w:p w14:paraId="6455CAB0" w14:textId="493CC8C1" w:rsidR="002E73AC" w:rsidRDefault="00936C3C" w:rsidP="005F3393">
      <w:pPr>
        <w:contextualSpacing/>
      </w:pPr>
      <w:r w:rsidRPr="00D03F1F">
        <w:rPr>
          <w:rFonts w:eastAsia="Calibri" w:cs="Calibri"/>
          <w:i/>
        </w:rPr>
        <w:t>Best Starts for Kids</w:t>
      </w:r>
      <w:r w:rsidRPr="00D03F1F">
        <w:rPr>
          <w:rFonts w:eastAsia="Calibri" w:cs="Calibri"/>
        </w:rPr>
        <w:t xml:space="preserve"> </w:t>
      </w:r>
      <w:r>
        <w:rPr>
          <w:rFonts w:eastAsia="Calibri" w:cs="Calibri"/>
        </w:rPr>
        <w:t>(</w:t>
      </w:r>
      <w:r w:rsidRPr="00D1133C">
        <w:rPr>
          <w:rFonts w:eastAsia="Calibri" w:cs="Calibri"/>
          <w:i/>
          <w:iCs/>
        </w:rPr>
        <w:t>Best Starts</w:t>
      </w:r>
      <w:r>
        <w:rPr>
          <w:rFonts w:eastAsia="Calibri" w:cs="Calibri"/>
        </w:rPr>
        <w:t xml:space="preserve">) </w:t>
      </w:r>
      <w:r w:rsidRPr="00D03F1F">
        <w:rPr>
          <w:rFonts w:eastAsia="Calibri" w:cs="Calibri"/>
        </w:rPr>
        <w:t xml:space="preserve">is King County’s community-driven initiative to support every baby born </w:t>
      </w:r>
      <w:r>
        <w:rPr>
          <w:rFonts w:eastAsia="Calibri" w:cs="Calibri"/>
        </w:rPr>
        <w:t>and</w:t>
      </w:r>
      <w:r w:rsidRPr="00D03F1F">
        <w:rPr>
          <w:rFonts w:eastAsia="Calibri" w:cs="Calibri"/>
        </w:rPr>
        <w:t xml:space="preserve"> child raised in King County to </w:t>
      </w:r>
      <w:r>
        <w:rPr>
          <w:rFonts w:eastAsia="Calibri" w:cs="Calibri"/>
        </w:rPr>
        <w:t>be</w:t>
      </w:r>
      <w:r w:rsidRPr="00D03F1F">
        <w:rPr>
          <w:rFonts w:eastAsia="Calibri" w:cs="Calibri"/>
        </w:rPr>
        <w:t xml:space="preserve"> happy, healthy, safe, and thriving</w:t>
      </w:r>
      <w:r w:rsidRPr="6F1CBA8E">
        <w:t>.</w:t>
      </w:r>
      <w:r>
        <w:t xml:space="preserve"> </w:t>
      </w:r>
      <w:r w:rsidR="00B15AD5">
        <w:t>Initially approved by voters in 2015 and i</w:t>
      </w:r>
      <w:r>
        <w:t>n place since 201</w:t>
      </w:r>
      <w:r w:rsidR="00205CF1">
        <w:t>6</w:t>
      </w:r>
      <w:r>
        <w:t xml:space="preserve">, </w:t>
      </w:r>
      <w:r w:rsidRPr="00DE7C36">
        <w:rPr>
          <w:i/>
          <w:iCs/>
        </w:rPr>
        <w:t>Best Starts</w:t>
      </w:r>
      <w:r>
        <w:t xml:space="preserve"> invests in comprehensive supports for children, youth, young adults, and families and caregivers, catalyzing strong starts in early childhood, and sustaining those gains as children progress to adulthood. </w:t>
      </w:r>
    </w:p>
    <w:p w14:paraId="15338E2E" w14:textId="77777777" w:rsidR="00883350" w:rsidRDefault="00883350" w:rsidP="005F3393">
      <w:pPr>
        <w:contextualSpacing/>
      </w:pPr>
    </w:p>
    <w:p w14:paraId="6A6B6DB3" w14:textId="77777777" w:rsidR="00883350" w:rsidRPr="0064402B" w:rsidRDefault="00883350" w:rsidP="00883350">
      <w:pPr>
        <w:contextualSpacing/>
      </w:pPr>
      <w:r>
        <w:t>By promoting positive outcomes for children, intervening early when kids and families need support, and building on family and community strengths,</w:t>
      </w:r>
      <w:r w:rsidRPr="000E1176">
        <w:rPr>
          <w:i/>
          <w:iCs/>
        </w:rPr>
        <w:t xml:space="preserve"> </w:t>
      </w:r>
      <w:r>
        <w:rPr>
          <w:i/>
        </w:rPr>
        <w:t xml:space="preserve">Best Starts </w:t>
      </w:r>
      <w:r>
        <w:t>launches</w:t>
      </w:r>
      <w:r w:rsidRPr="26C1364F">
        <w:t xml:space="preserve"> King County’s young </w:t>
      </w:r>
      <w:r>
        <w:t>people on a path to lifelong health</w:t>
      </w:r>
      <w:r w:rsidRPr="26C1364F">
        <w:t xml:space="preserve"> and </w:t>
      </w:r>
      <w:r>
        <w:t xml:space="preserve">well-being. </w:t>
      </w:r>
      <w:r w:rsidRPr="26C1364F">
        <w:t xml:space="preserve">Since 2016, </w:t>
      </w:r>
      <w:r w:rsidRPr="00B604B5">
        <w:rPr>
          <w:rFonts w:cs="Calibri"/>
          <w:iCs/>
        </w:rPr>
        <w:t>the initiative</w:t>
      </w:r>
      <w:r w:rsidRPr="26C1364F">
        <w:t xml:space="preserve"> has pursu</w:t>
      </w:r>
      <w:r>
        <w:t>ed</w:t>
      </w:r>
      <w:r w:rsidRPr="26C1364F">
        <w:t xml:space="preserve"> three </w:t>
      </w:r>
      <w:r>
        <w:t>overarching r</w:t>
      </w:r>
      <w:r w:rsidRPr="26C1364F">
        <w:t>esults:</w:t>
      </w:r>
    </w:p>
    <w:p w14:paraId="365C5D05" w14:textId="77777777" w:rsidR="00883350" w:rsidRPr="00900E2A" w:rsidRDefault="00883350" w:rsidP="00883350">
      <w:pPr>
        <w:contextualSpacing/>
        <w:rPr>
          <w:rFonts w:eastAsiaTheme="majorEastAsia"/>
        </w:rPr>
      </w:pPr>
    </w:p>
    <w:tbl>
      <w:tblPr>
        <w:tblStyle w:val="TableGrid"/>
        <w:tblW w:w="0" w:type="auto"/>
        <w:jc w:val="center"/>
        <w:tblLook w:val="04A0" w:firstRow="1" w:lastRow="0" w:firstColumn="1" w:lastColumn="0" w:noHBand="0" w:noVBand="1"/>
      </w:tblPr>
      <w:tblGrid>
        <w:gridCol w:w="8430"/>
      </w:tblGrid>
      <w:tr w:rsidR="00883350" w14:paraId="326A6D9F" w14:textId="77777777" w:rsidTr="00B960AC">
        <w:trPr>
          <w:jc w:val="center"/>
        </w:trPr>
        <w:tc>
          <w:tcPr>
            <w:tcW w:w="843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FFFFFF" w:themeFill="background1"/>
          </w:tcPr>
          <w:p w14:paraId="10695F5D" w14:textId="77777777" w:rsidR="00883350" w:rsidRPr="00703373" w:rsidRDefault="00883350" w:rsidP="00B960AC">
            <w:pPr>
              <w:contextualSpacing/>
              <w:rPr>
                <w:rFonts w:cs="Calibri"/>
                <w:b/>
                <w:i/>
                <w:color w:val="4472C4" w:themeColor="accent1"/>
              </w:rPr>
            </w:pPr>
            <w:r w:rsidRPr="00493AC0">
              <w:rPr>
                <w:rFonts w:cs="Calibri"/>
                <w:b/>
                <w:i/>
                <w:color w:val="0070C0"/>
                <w:sz w:val="28"/>
                <w:szCs w:val="28"/>
              </w:rPr>
              <w:t>Best Starts for Kids</w:t>
            </w:r>
            <w:r w:rsidRPr="00493AC0">
              <w:rPr>
                <w:rFonts w:cs="Calibri"/>
                <w:b/>
                <w:color w:val="0070C0"/>
                <w:sz w:val="28"/>
                <w:szCs w:val="28"/>
              </w:rPr>
              <w:t xml:space="preserve">’ </w:t>
            </w:r>
            <w:r w:rsidRPr="00703373">
              <w:rPr>
                <w:rFonts w:cs="Calibri"/>
                <w:b/>
                <w:bCs/>
                <w:color w:val="4472C4" w:themeColor="accent1"/>
                <w:sz w:val="28"/>
                <w:szCs w:val="28"/>
              </w:rPr>
              <w:t>Results</w:t>
            </w:r>
          </w:p>
          <w:p w14:paraId="357C1E65" w14:textId="77777777" w:rsidR="00883350" w:rsidRPr="00BC0A29" w:rsidRDefault="00883350" w:rsidP="009230D5">
            <w:pPr>
              <w:pStyle w:val="ListParagraph"/>
              <w:numPr>
                <w:ilvl w:val="0"/>
                <w:numId w:val="7"/>
              </w:numPr>
              <w:rPr>
                <w:rFonts w:eastAsiaTheme="majorEastAsia" w:cs="Calibri"/>
                <w:b/>
                <w:bCs/>
                <w:color w:val="4472C4" w:themeColor="accent1"/>
              </w:rPr>
            </w:pPr>
            <w:r w:rsidRPr="00BC0A29">
              <w:rPr>
                <w:rFonts w:eastAsiaTheme="majorEastAsia" w:cs="Calibri"/>
                <w:b/>
                <w:bCs/>
                <w:color w:val="4472C4" w:themeColor="accent1"/>
              </w:rPr>
              <w:t>Babies are born healthy and given a foundation for a happy, healthy life</w:t>
            </w:r>
          </w:p>
          <w:p w14:paraId="75A6D797" w14:textId="77777777" w:rsidR="00883350" w:rsidRDefault="00883350" w:rsidP="009230D5">
            <w:pPr>
              <w:pStyle w:val="ListParagraph"/>
              <w:numPr>
                <w:ilvl w:val="0"/>
                <w:numId w:val="7"/>
              </w:numPr>
              <w:rPr>
                <w:rFonts w:eastAsiaTheme="majorEastAsia" w:cs="Calibri"/>
                <w:b/>
                <w:bCs/>
                <w:color w:val="4472C4" w:themeColor="accent1"/>
              </w:rPr>
            </w:pPr>
            <w:r w:rsidRPr="00BC0A29">
              <w:rPr>
                <w:rFonts w:eastAsiaTheme="majorEastAsia" w:cs="Calibri"/>
                <w:b/>
                <w:bCs/>
                <w:color w:val="4472C4" w:themeColor="accent1"/>
              </w:rPr>
              <w:t>Young people have equitable opportunities to be safe, healthy, and thriving</w:t>
            </w:r>
          </w:p>
          <w:p w14:paraId="1CA99FF6" w14:textId="77777777" w:rsidR="00883350" w:rsidRPr="00BC0A29" w:rsidRDefault="00883350" w:rsidP="009230D5">
            <w:pPr>
              <w:pStyle w:val="ListParagraph"/>
              <w:numPr>
                <w:ilvl w:val="0"/>
                <w:numId w:val="7"/>
              </w:numPr>
              <w:rPr>
                <w:rFonts w:eastAsiaTheme="majorEastAsia" w:cs="Calibri"/>
                <w:b/>
                <w:bCs/>
                <w:color w:val="4472C4" w:themeColor="accent1"/>
              </w:rPr>
            </w:pPr>
            <w:r w:rsidRPr="00BC0A29">
              <w:rPr>
                <w:rFonts w:eastAsiaTheme="majorEastAsia" w:cs="Calibri"/>
                <w:b/>
                <w:bCs/>
                <w:color w:val="4472C4" w:themeColor="accent1"/>
              </w:rPr>
              <w:t>Communities offer safe, welcoming environments for their kids</w:t>
            </w:r>
            <w:r>
              <w:rPr>
                <w:rFonts w:eastAsiaTheme="majorEastAsia" w:cs="Calibri"/>
                <w:b/>
                <w:bCs/>
                <w:color w:val="4472C4" w:themeColor="accent1"/>
              </w:rPr>
              <w:t xml:space="preserve">                  </w:t>
            </w:r>
          </w:p>
        </w:tc>
      </w:tr>
    </w:tbl>
    <w:p w14:paraId="03D0198F" w14:textId="77777777" w:rsidR="00883350" w:rsidRDefault="00883350" w:rsidP="005F3393">
      <w:pPr>
        <w:contextualSpacing/>
      </w:pPr>
    </w:p>
    <w:p w14:paraId="0A5D3FF4" w14:textId="4EF68FBE" w:rsidR="00223AA3" w:rsidRPr="0074341C" w:rsidRDefault="003D5838" w:rsidP="003420B4">
      <w:pPr>
        <w:textAlignment w:val="baseline"/>
        <w:rPr>
          <w:rFonts w:cs="Calibri"/>
        </w:rPr>
      </w:pPr>
      <w:r w:rsidRPr="00321800">
        <w:rPr>
          <w:rFonts w:cs="Calibri"/>
        </w:rPr>
        <w:t>Anticipating the f</w:t>
      </w:r>
      <w:r w:rsidRPr="00D03F1F">
        <w:rPr>
          <w:rFonts w:cs="Calibri"/>
        </w:rPr>
        <w:t>irst</w:t>
      </w:r>
      <w:r w:rsidRPr="00321800">
        <w:rPr>
          <w:rFonts w:cs="Calibri"/>
        </w:rPr>
        <w:t xml:space="preserve"> </w:t>
      </w:r>
      <w:r w:rsidRPr="00321800">
        <w:rPr>
          <w:rFonts w:cs="Calibri"/>
          <w:i/>
        </w:rPr>
        <w:t>Best Starts</w:t>
      </w:r>
      <w:r w:rsidRPr="00321800">
        <w:rPr>
          <w:rFonts w:cs="Calibri"/>
        </w:rPr>
        <w:t xml:space="preserve"> </w:t>
      </w:r>
      <w:r>
        <w:rPr>
          <w:rFonts w:cs="Calibri"/>
        </w:rPr>
        <w:t>l</w:t>
      </w:r>
      <w:r w:rsidRPr="00321800">
        <w:rPr>
          <w:rFonts w:cs="Calibri"/>
        </w:rPr>
        <w:t>evy expiration</w:t>
      </w:r>
      <w:r w:rsidR="00152874">
        <w:rPr>
          <w:rFonts w:cs="Calibri"/>
        </w:rPr>
        <w:t xml:space="preserve">, </w:t>
      </w:r>
      <w:r w:rsidR="002E73AC" w:rsidRPr="00321800">
        <w:rPr>
          <w:rFonts w:cs="Calibri"/>
        </w:rPr>
        <w:t xml:space="preserve">the Executive transmitted a proposed </w:t>
      </w:r>
      <w:r w:rsidR="00976402">
        <w:rPr>
          <w:rFonts w:cs="Calibri"/>
        </w:rPr>
        <w:t>b</w:t>
      </w:r>
      <w:r w:rsidR="002E73AC" w:rsidRPr="00321800">
        <w:rPr>
          <w:rFonts w:cs="Calibri"/>
        </w:rPr>
        <w:t xml:space="preserve">allot </w:t>
      </w:r>
      <w:r w:rsidR="00976402">
        <w:rPr>
          <w:rFonts w:cs="Calibri"/>
        </w:rPr>
        <w:t>m</w:t>
      </w:r>
      <w:r w:rsidR="002E73AC" w:rsidRPr="00321800">
        <w:rPr>
          <w:rFonts w:cs="Calibri"/>
        </w:rPr>
        <w:t xml:space="preserve">easure </w:t>
      </w:r>
      <w:r w:rsidR="00D74523">
        <w:rPr>
          <w:rFonts w:cs="Calibri"/>
        </w:rPr>
        <w:t>o</w:t>
      </w:r>
      <w:r w:rsidR="002E73AC" w:rsidRPr="00321800">
        <w:rPr>
          <w:rFonts w:cs="Calibri"/>
        </w:rPr>
        <w:t xml:space="preserve">rdinance </w:t>
      </w:r>
      <w:r w:rsidR="00A7059E">
        <w:rPr>
          <w:rFonts w:cs="Calibri"/>
        </w:rPr>
        <w:t>in January</w:t>
      </w:r>
      <w:r w:rsidR="002E73AC">
        <w:rPr>
          <w:rFonts w:cs="Calibri"/>
        </w:rPr>
        <w:t xml:space="preserve"> 2021</w:t>
      </w:r>
      <w:r w:rsidR="00704D6E">
        <w:rPr>
          <w:rFonts w:cs="Calibri"/>
        </w:rPr>
        <w:t xml:space="preserve"> to the King County Council</w:t>
      </w:r>
      <w:r w:rsidR="00A36570">
        <w:rPr>
          <w:rFonts w:cs="Calibri"/>
        </w:rPr>
        <w:t>,</w:t>
      </w:r>
      <w:r w:rsidR="002E73AC" w:rsidRPr="00321800">
        <w:rPr>
          <w:rFonts w:cs="Calibri"/>
        </w:rPr>
        <w:t xml:space="preserve"> to renew and replace the expiring </w:t>
      </w:r>
      <w:r w:rsidR="002E73AC" w:rsidRPr="00B635FA">
        <w:rPr>
          <w:rFonts w:cs="Calibri"/>
          <w:i/>
          <w:iCs/>
        </w:rPr>
        <w:t>Best Starts</w:t>
      </w:r>
      <w:r w:rsidR="002E73AC" w:rsidRPr="00321800">
        <w:rPr>
          <w:rFonts w:cs="Calibri"/>
        </w:rPr>
        <w:t xml:space="preserve"> levy.</w:t>
      </w:r>
      <w:r w:rsidR="002E73AC">
        <w:rPr>
          <w:rStyle w:val="FootnoteReference"/>
          <w:rFonts w:cs="Calibri"/>
        </w:rPr>
        <w:footnoteReference w:id="4"/>
      </w:r>
      <w:r w:rsidR="002E73AC" w:rsidRPr="00321800">
        <w:rPr>
          <w:rFonts w:cs="Calibri"/>
        </w:rPr>
        <w:t xml:space="preserve">  </w:t>
      </w:r>
      <w:r w:rsidR="002E73AC">
        <w:rPr>
          <w:rFonts w:cs="Calibri"/>
        </w:rPr>
        <w:t xml:space="preserve">To accompany the </w:t>
      </w:r>
      <w:r w:rsidR="00704D6E">
        <w:rPr>
          <w:rFonts w:cs="Calibri"/>
        </w:rPr>
        <w:t>propose</w:t>
      </w:r>
      <w:r w:rsidR="00727505">
        <w:rPr>
          <w:rFonts w:cs="Calibri"/>
        </w:rPr>
        <w:t>d</w:t>
      </w:r>
      <w:r w:rsidR="00704D6E">
        <w:rPr>
          <w:rFonts w:cs="Calibri"/>
        </w:rPr>
        <w:t xml:space="preserve"> </w:t>
      </w:r>
      <w:r w:rsidR="00D74523">
        <w:rPr>
          <w:rFonts w:cs="Calibri"/>
        </w:rPr>
        <w:t>o</w:t>
      </w:r>
      <w:r w:rsidR="002E73AC">
        <w:rPr>
          <w:rFonts w:cs="Calibri"/>
        </w:rPr>
        <w:t>rdinance, t</w:t>
      </w:r>
      <w:r w:rsidR="002E73AC" w:rsidRPr="00321800">
        <w:rPr>
          <w:rFonts w:cs="Calibri"/>
        </w:rPr>
        <w:t>he Executive transmitted a Blue</w:t>
      </w:r>
      <w:r w:rsidR="002E73AC">
        <w:rPr>
          <w:rFonts w:cs="Calibri"/>
        </w:rPr>
        <w:t>p</w:t>
      </w:r>
      <w:r w:rsidR="002E73AC" w:rsidRPr="00321800">
        <w:rPr>
          <w:rFonts w:cs="Calibri"/>
        </w:rPr>
        <w:t xml:space="preserve">rint Report summarizing the key principles of the proposed </w:t>
      </w:r>
      <w:r w:rsidR="00976402">
        <w:rPr>
          <w:rFonts w:cs="Calibri"/>
        </w:rPr>
        <w:t>b</w:t>
      </w:r>
      <w:r w:rsidR="002E73AC" w:rsidRPr="00321800">
        <w:rPr>
          <w:rFonts w:cs="Calibri"/>
        </w:rPr>
        <w:t xml:space="preserve">allot </w:t>
      </w:r>
      <w:r w:rsidR="00976402">
        <w:rPr>
          <w:rFonts w:cs="Calibri"/>
        </w:rPr>
        <w:t>m</w:t>
      </w:r>
      <w:r w:rsidR="002E73AC" w:rsidRPr="00321800">
        <w:rPr>
          <w:rFonts w:cs="Calibri"/>
        </w:rPr>
        <w:t xml:space="preserve">easure </w:t>
      </w:r>
      <w:r w:rsidR="00D74523">
        <w:rPr>
          <w:rFonts w:cs="Calibri"/>
        </w:rPr>
        <w:t>o</w:t>
      </w:r>
      <w:r w:rsidR="002E73AC" w:rsidRPr="00321800">
        <w:rPr>
          <w:rFonts w:cs="Calibri"/>
        </w:rPr>
        <w:t>rdinance.</w:t>
      </w:r>
      <w:r w:rsidR="00132E8A">
        <w:rPr>
          <w:rStyle w:val="FootnoteReference"/>
          <w:rFonts w:cs="Calibri"/>
        </w:rPr>
        <w:footnoteReference w:id="5"/>
      </w:r>
      <w:r w:rsidR="004B1E8D">
        <w:rPr>
          <w:rFonts w:cs="Calibri"/>
        </w:rPr>
        <w:t xml:space="preserve"> </w:t>
      </w:r>
      <w:r w:rsidR="00A7059E">
        <w:rPr>
          <w:rFonts w:cs="Calibri"/>
        </w:rPr>
        <w:t>Ordinance 19267</w:t>
      </w:r>
      <w:r w:rsidR="00704D6E">
        <w:rPr>
          <w:rFonts w:cs="Calibri"/>
        </w:rPr>
        <w:t xml:space="preserve"> in April 2021 authoriz</w:t>
      </w:r>
      <w:r w:rsidR="00727505">
        <w:rPr>
          <w:rFonts w:cs="Calibri"/>
        </w:rPr>
        <w:t>ed</w:t>
      </w:r>
      <w:r w:rsidR="00704D6E">
        <w:rPr>
          <w:rFonts w:cs="Calibri"/>
        </w:rPr>
        <w:t xml:space="preserve"> the placement of the measure on the ballot</w:t>
      </w:r>
      <w:r w:rsidR="00A7059E">
        <w:rPr>
          <w:rFonts w:cs="Calibri"/>
        </w:rPr>
        <w:t>.</w:t>
      </w:r>
    </w:p>
    <w:p w14:paraId="257260BC" w14:textId="06E86825" w:rsidR="6720D6A6" w:rsidRDefault="6720D6A6" w:rsidP="003420B4">
      <w:pPr>
        <w:textAlignment w:val="baseline"/>
        <w:rPr>
          <w:rFonts w:cs="Calibri"/>
          <w:color w:val="000000"/>
          <w:shd w:val="clear" w:color="auto" w:fill="FFFFFF"/>
        </w:rPr>
      </w:pPr>
    </w:p>
    <w:p w14:paraId="366B3282" w14:textId="56BEFBD7" w:rsidR="00F41E1E" w:rsidRDefault="00F41E1E" w:rsidP="003420B4">
      <w:pPr>
        <w:textAlignment w:val="baseline"/>
        <w:rPr>
          <w:rFonts w:eastAsia="Times New Roman" w:cs="Calibri"/>
        </w:rPr>
      </w:pPr>
      <w:r w:rsidRPr="00F26100">
        <w:rPr>
          <w:rFonts w:cs="Calibri"/>
          <w:i/>
          <w:iCs/>
          <w:color w:val="000000"/>
          <w:shd w:val="clear" w:color="auto" w:fill="FFFFFF"/>
        </w:rPr>
        <w:t>Best Starts</w:t>
      </w:r>
      <w:r>
        <w:rPr>
          <w:rFonts w:cs="Calibri"/>
          <w:color w:val="000000"/>
          <w:shd w:val="clear" w:color="auto" w:fill="FFFFFF"/>
        </w:rPr>
        <w:t xml:space="preserve"> is driven by the foundational value that </w:t>
      </w:r>
      <w:r w:rsidRPr="00A80409">
        <w:t>center</w:t>
      </w:r>
      <w:r>
        <w:t>ing</w:t>
      </w:r>
      <w:r w:rsidRPr="00A80409">
        <w:t xml:space="preserve"> the voices and lived experiences of communities across the region most impacted by systemic racism</w:t>
      </w:r>
      <w:r>
        <w:t xml:space="preserve"> is critical</w:t>
      </w:r>
      <w:r w:rsidR="008A7A6A">
        <w:t xml:space="preserve">. </w:t>
      </w:r>
      <w:r>
        <w:rPr>
          <w:rFonts w:cs="Calibri"/>
          <w:color w:val="000000"/>
          <w:shd w:val="clear" w:color="auto" w:fill="FFFFFF"/>
        </w:rPr>
        <w:t>In 2016</w:t>
      </w:r>
      <w:r w:rsidR="002625B4">
        <w:rPr>
          <w:rFonts w:cs="Calibri"/>
          <w:color w:val="000000"/>
          <w:shd w:val="clear" w:color="auto" w:fill="FFFFFF"/>
        </w:rPr>
        <w:t>, the King County Children and Youth Advisory Board (CYAB)</w:t>
      </w:r>
      <w:r>
        <w:rPr>
          <w:rFonts w:cs="Calibri"/>
          <w:color w:val="000000"/>
          <w:shd w:val="clear" w:color="auto" w:fill="FFFFFF"/>
        </w:rPr>
        <w:t xml:space="preserve"> created an equity statement and later a set of equity </w:t>
      </w:r>
      <w:r>
        <w:rPr>
          <w:rFonts w:cs="Calibri"/>
          <w:color w:val="000000"/>
          <w:shd w:val="clear" w:color="auto" w:fill="FFFFFF"/>
        </w:rPr>
        <w:lastRenderedPageBreak/>
        <w:t xml:space="preserve">statement questions that </w:t>
      </w:r>
      <w:r w:rsidRPr="00E568E5">
        <w:rPr>
          <w:rFonts w:eastAsia="Times New Roman" w:cs="Calibri"/>
        </w:rPr>
        <w:t>hold </w:t>
      </w:r>
      <w:r w:rsidRPr="00E568E5">
        <w:rPr>
          <w:rFonts w:eastAsia="Times New Roman" w:cs="Calibri"/>
          <w:i/>
          <w:iCs/>
        </w:rPr>
        <w:t>Best Starts</w:t>
      </w:r>
      <w:r w:rsidRPr="00E568E5">
        <w:rPr>
          <w:rFonts w:eastAsia="Times New Roman" w:cs="Calibri"/>
        </w:rPr>
        <w:t> accountable</w:t>
      </w:r>
      <w:r>
        <w:rPr>
          <w:rFonts w:eastAsia="Times New Roman" w:cs="Calibri"/>
        </w:rPr>
        <w:t xml:space="preserve"> and shape </w:t>
      </w:r>
      <w:r w:rsidR="007032B1">
        <w:rPr>
          <w:rFonts w:eastAsia="Times New Roman" w:cs="Calibri"/>
        </w:rPr>
        <w:t xml:space="preserve">its </w:t>
      </w:r>
      <w:r>
        <w:rPr>
          <w:rFonts w:eastAsia="Times New Roman" w:cs="Calibri"/>
        </w:rPr>
        <w:t>work.</w:t>
      </w:r>
      <w:r w:rsidR="008F61A5">
        <w:rPr>
          <w:rFonts w:eastAsia="Times New Roman" w:cs="Calibri"/>
        </w:rPr>
        <w:t xml:space="preserve">  </w:t>
      </w:r>
      <w:r w:rsidR="00704D6E">
        <w:rPr>
          <w:rFonts w:eastAsia="Times New Roman" w:cs="Calibri"/>
        </w:rPr>
        <w:t>The</w:t>
      </w:r>
      <w:r w:rsidR="00CE5828">
        <w:rPr>
          <w:rFonts w:eastAsia="Times New Roman" w:cs="Calibri"/>
        </w:rPr>
        <w:t xml:space="preserve"> full </w:t>
      </w:r>
      <w:r w:rsidR="00704D6E">
        <w:rPr>
          <w:rFonts w:eastAsia="Times New Roman" w:cs="Calibri"/>
        </w:rPr>
        <w:t xml:space="preserve">equity statement and questions </w:t>
      </w:r>
      <w:r>
        <w:rPr>
          <w:rFonts w:eastAsia="Times New Roman" w:cs="Calibri"/>
        </w:rPr>
        <w:t xml:space="preserve">are outlined in </w:t>
      </w:r>
      <w:r w:rsidRPr="00FC60D3">
        <w:rPr>
          <w:rFonts w:eastAsia="Times New Roman" w:cs="Calibri"/>
        </w:rPr>
        <w:t xml:space="preserve">Table </w:t>
      </w:r>
      <w:r w:rsidR="00FC60D3" w:rsidRPr="00FC60D3">
        <w:rPr>
          <w:rFonts w:eastAsia="Times New Roman" w:cs="Calibri"/>
        </w:rPr>
        <w:t>6</w:t>
      </w:r>
      <w:r w:rsidR="00413892">
        <w:rPr>
          <w:rFonts w:eastAsia="Times New Roman" w:cs="Calibri"/>
        </w:rPr>
        <w:t xml:space="preserve">. </w:t>
      </w:r>
    </w:p>
    <w:p w14:paraId="497D67EA" w14:textId="77777777" w:rsidR="00F41E1E" w:rsidRPr="00E568E5" w:rsidRDefault="00F41E1E" w:rsidP="00F41E1E">
      <w:pPr>
        <w:spacing w:line="240" w:lineRule="auto"/>
        <w:textAlignment w:val="baseline"/>
        <w:rPr>
          <w:rFonts w:eastAsia="Times New Roman" w:cs="Calibri"/>
        </w:rPr>
      </w:pPr>
    </w:p>
    <w:p w14:paraId="58A549F4" w14:textId="77777777" w:rsidR="00F41E1E" w:rsidRPr="00122D84" w:rsidRDefault="00F41E1E" w:rsidP="00B374F2">
      <w:pPr>
        <w:spacing w:line="240" w:lineRule="auto"/>
        <w:rPr>
          <w:rFonts w:cs="Calibri"/>
          <w:b/>
          <w:bCs/>
        </w:rPr>
      </w:pPr>
      <w:r w:rsidRPr="00122D84">
        <w:rPr>
          <w:b/>
          <w:bCs/>
        </w:rPr>
        <w:t>Accomplishments</w:t>
      </w:r>
    </w:p>
    <w:p w14:paraId="5813043C" w14:textId="389F2911" w:rsidR="00F41E1E" w:rsidRDefault="00F41E1E" w:rsidP="00F41E1E">
      <w:pPr>
        <w:contextualSpacing/>
        <w:rPr>
          <w:rFonts w:cs="Calibri"/>
        </w:rPr>
      </w:pPr>
      <w:r>
        <w:rPr>
          <w:rFonts w:cs="Calibri"/>
        </w:rPr>
        <w:t>T</w:t>
      </w:r>
      <w:r w:rsidRPr="00D03F1F">
        <w:rPr>
          <w:rFonts w:cs="Calibri"/>
        </w:rPr>
        <w:t xml:space="preserve">he first </w:t>
      </w:r>
      <w:r w:rsidRPr="00D03F1F">
        <w:rPr>
          <w:rFonts w:cs="Calibri"/>
          <w:i/>
        </w:rPr>
        <w:t>Best Starts for Kids</w:t>
      </w:r>
      <w:r w:rsidRPr="00D03F1F">
        <w:rPr>
          <w:rFonts w:cs="Calibri"/>
        </w:rPr>
        <w:t xml:space="preserve"> levy reached 490,000 of King County’s youngest children and </w:t>
      </w:r>
      <w:r>
        <w:rPr>
          <w:rFonts w:cs="Calibri"/>
        </w:rPr>
        <w:t>new parents/caregivers a</w:t>
      </w:r>
      <w:r w:rsidRPr="00D03F1F">
        <w:rPr>
          <w:rFonts w:cs="Calibri"/>
        </w:rPr>
        <w:t xml:space="preserve">nd 40,000 youth and young adults, catalyzing strong starts in </w:t>
      </w:r>
      <w:r w:rsidRPr="00D03F1F" w:rsidDel="00C85E8C">
        <w:rPr>
          <w:rFonts w:cs="Calibri"/>
        </w:rPr>
        <w:t>a child’s</w:t>
      </w:r>
      <w:r w:rsidRPr="00D03F1F">
        <w:rPr>
          <w:rFonts w:cs="Calibri"/>
        </w:rPr>
        <w:t xml:space="preserve"> earliest years</w:t>
      </w:r>
      <w:r w:rsidR="0B6E15D8" w:rsidRPr="18D29A4B">
        <w:rPr>
          <w:rFonts w:cs="Calibri"/>
        </w:rPr>
        <w:t xml:space="preserve">, </w:t>
      </w:r>
      <w:r w:rsidR="0B6E15D8" w:rsidRPr="14F851A2">
        <w:rPr>
          <w:rFonts w:cs="Calibri"/>
        </w:rPr>
        <w:t>strengthening communities, and helping families remain housed and meet basic needs</w:t>
      </w:r>
      <w:r w:rsidR="00135E79" w:rsidRPr="14F851A2">
        <w:rPr>
          <w:rFonts w:cs="Calibri"/>
        </w:rPr>
        <w:t>.</w:t>
      </w:r>
      <w:r w:rsidR="00135E79">
        <w:rPr>
          <w:rFonts w:cs="Calibri"/>
        </w:rPr>
        <w:t xml:space="preserve"> </w:t>
      </w:r>
      <w:r w:rsidR="006208FF">
        <w:rPr>
          <w:rFonts w:cs="Calibri"/>
        </w:rPr>
        <w:t xml:space="preserve"> </w:t>
      </w:r>
      <w:r>
        <w:rPr>
          <w:rFonts w:eastAsia="Times New Roman" w:cs="Calibri"/>
        </w:rPr>
        <w:t xml:space="preserve">The </w:t>
      </w:r>
      <w:r w:rsidRPr="008210F3">
        <w:rPr>
          <w:rFonts w:eastAsia="Times New Roman" w:cs="Calibri"/>
        </w:rPr>
        <w:t xml:space="preserve">focus on </w:t>
      </w:r>
      <w:r>
        <w:rPr>
          <w:rFonts w:eastAsia="Times New Roman" w:cs="Calibri"/>
        </w:rPr>
        <w:t xml:space="preserve">evaluation and </w:t>
      </w:r>
      <w:r w:rsidRPr="008210F3">
        <w:rPr>
          <w:rFonts w:eastAsia="Times New Roman" w:cs="Calibri"/>
        </w:rPr>
        <w:t>achieving outcomes</w:t>
      </w:r>
      <w:r w:rsidR="00F97A3C">
        <w:rPr>
          <w:rFonts w:eastAsia="Times New Roman" w:cs="Calibri"/>
        </w:rPr>
        <w:t xml:space="preserve"> is important</w:t>
      </w:r>
      <w:r>
        <w:rPr>
          <w:rFonts w:eastAsia="Times New Roman" w:cs="Calibri"/>
        </w:rPr>
        <w:t xml:space="preserve"> </w:t>
      </w:r>
      <w:r w:rsidRPr="008210F3">
        <w:rPr>
          <w:rFonts w:eastAsia="Times New Roman" w:cs="Calibri"/>
        </w:rPr>
        <w:t xml:space="preserve">for </w:t>
      </w:r>
      <w:r w:rsidR="00D85B3A">
        <w:rPr>
          <w:rFonts w:eastAsia="Times New Roman" w:cs="Calibri"/>
        </w:rPr>
        <w:t>programs</w:t>
      </w:r>
      <w:r w:rsidRPr="008210F3">
        <w:rPr>
          <w:rFonts w:eastAsia="Times New Roman" w:cs="Calibri"/>
        </w:rPr>
        <w:t xml:space="preserve"> to track and report on their performance</w:t>
      </w:r>
      <w:r w:rsidR="00D85B3A">
        <w:rPr>
          <w:rFonts w:eastAsia="Times New Roman" w:cs="Calibri"/>
        </w:rPr>
        <w:t>, while demonstrating successful outcomes</w:t>
      </w:r>
      <w:r>
        <w:rPr>
          <w:rFonts w:eastAsia="Times New Roman" w:cs="Calibri"/>
        </w:rPr>
        <w:t>.</w:t>
      </w:r>
      <w:r w:rsidRPr="008210F3">
        <w:rPr>
          <w:rFonts w:eastAsia="Times New Roman" w:cs="Calibri"/>
        </w:rPr>
        <w:t> </w:t>
      </w:r>
      <w:r w:rsidR="00C25015">
        <w:rPr>
          <w:rFonts w:eastAsia="Times New Roman" w:cs="Calibri"/>
        </w:rPr>
        <w:t>S</w:t>
      </w:r>
      <w:r w:rsidR="00DC3F7F">
        <w:rPr>
          <w:rFonts w:eastAsia="Times New Roman" w:cs="Calibri"/>
        </w:rPr>
        <w:t>elect</w:t>
      </w:r>
      <w:r w:rsidR="00B01533">
        <w:rPr>
          <w:rFonts w:eastAsia="Times New Roman" w:cs="Calibri"/>
        </w:rPr>
        <w:t xml:space="preserve"> outcomes can be found in </w:t>
      </w:r>
      <w:r w:rsidR="004F4556" w:rsidRPr="000E1578">
        <w:rPr>
          <w:rFonts w:eastAsia="Times New Roman" w:cs="Calibri"/>
        </w:rPr>
        <w:t>A</w:t>
      </w:r>
      <w:r w:rsidR="00B01533" w:rsidRPr="000E1578">
        <w:rPr>
          <w:rFonts w:eastAsia="Times New Roman" w:cs="Calibri"/>
        </w:rPr>
        <w:t xml:space="preserve">ppendix </w:t>
      </w:r>
      <w:r w:rsidR="00DC3F7F" w:rsidRPr="000E1578">
        <w:rPr>
          <w:rFonts w:eastAsia="Times New Roman" w:cs="Calibri"/>
        </w:rPr>
        <w:t>D</w:t>
      </w:r>
      <w:r w:rsidR="00B01533" w:rsidRPr="000E1578">
        <w:rPr>
          <w:rFonts w:eastAsia="Times New Roman" w:cs="Calibri"/>
        </w:rPr>
        <w:t>.</w:t>
      </w:r>
      <w:r w:rsidR="00B01533">
        <w:rPr>
          <w:rFonts w:eastAsia="Times New Roman" w:cs="Calibri"/>
        </w:rPr>
        <w:t xml:space="preserve"> </w:t>
      </w:r>
    </w:p>
    <w:p w14:paraId="091614AE" w14:textId="77777777" w:rsidR="00883350" w:rsidRDefault="00883350" w:rsidP="00281B0A"/>
    <w:p w14:paraId="2ADF5CA5" w14:textId="70A9E109" w:rsidR="00B77A32" w:rsidRDefault="00F41E1E" w:rsidP="00281B0A">
      <w:r w:rsidRPr="00354EFE">
        <w:rPr>
          <w:i/>
        </w:rPr>
        <w:t>Best Starts</w:t>
      </w:r>
      <w:r w:rsidRPr="00403FBA">
        <w:t xml:space="preserve"> also promote</w:t>
      </w:r>
      <w:r w:rsidR="00727505">
        <w:t>d</w:t>
      </w:r>
      <w:r w:rsidRPr="00403FBA">
        <w:t xml:space="preserve"> changes in policies and systems, </w:t>
      </w:r>
      <w:r w:rsidR="00CE62A4">
        <w:t>including improvements in</w:t>
      </w:r>
      <w:r w:rsidRPr="00403FBA">
        <w:t xml:space="preserve"> </w:t>
      </w:r>
      <w:r w:rsidR="00A95F6A">
        <w:t>C</w:t>
      </w:r>
      <w:r w:rsidRPr="00403FBA">
        <w:t xml:space="preserve">ounty processes, and supporting community ownership of data. These system and policy changes </w:t>
      </w:r>
      <w:r w:rsidR="00DC3F7F">
        <w:t>impact</w:t>
      </w:r>
      <w:r w:rsidR="00727505">
        <w:t>ed</w:t>
      </w:r>
      <w:r w:rsidR="00DC3F7F">
        <w:t xml:space="preserve"> </w:t>
      </w:r>
      <w:r w:rsidRPr="00403FBA">
        <w:t xml:space="preserve">long standing racial inequities in health outcomes, such as inequities in maternal and infant health and lack of quality, affordable childcare for working </w:t>
      </w:r>
      <w:r w:rsidRPr="00D03F1F">
        <w:t>families.</w:t>
      </w:r>
      <w:r w:rsidRPr="00D03F1F">
        <w:rPr>
          <w:rStyle w:val="FootnoteReference"/>
          <w:rFonts w:cs="Calibri"/>
        </w:rPr>
        <w:footnoteReference w:id="6"/>
      </w:r>
      <w:r w:rsidRPr="00D03F1F">
        <w:t xml:space="preserve"> </w:t>
      </w:r>
      <w:r w:rsidR="007F27E0">
        <w:t xml:space="preserve">Communities also </w:t>
      </w:r>
      <w:r w:rsidRPr="00D03F1F">
        <w:t>saw greater efficiencies and ease in their</w:t>
      </w:r>
      <w:r>
        <w:t xml:space="preserve"> </w:t>
      </w:r>
      <w:r w:rsidRPr="00403FBA">
        <w:t xml:space="preserve">experiences with the </w:t>
      </w:r>
      <w:r w:rsidR="00E214EE">
        <w:t>C</w:t>
      </w:r>
      <w:r w:rsidRPr="00403FBA">
        <w:t xml:space="preserve">ounty, though much work remains. </w:t>
      </w:r>
    </w:p>
    <w:p w14:paraId="1086A594" w14:textId="77777777" w:rsidR="00B15096" w:rsidRDefault="00B15096" w:rsidP="005E1E94">
      <w:pPr>
        <w:rPr>
          <w:b/>
          <w:bCs/>
          <w:u w:val="single"/>
        </w:rPr>
      </w:pPr>
    </w:p>
    <w:p w14:paraId="00002F11" w14:textId="66C43734" w:rsidR="005E1E94" w:rsidRPr="00E46C27" w:rsidRDefault="005E1E94" w:rsidP="005E1E94">
      <w:pPr>
        <w:rPr>
          <w:b/>
          <w:bCs/>
          <w:u w:val="single"/>
        </w:rPr>
      </w:pPr>
      <w:r w:rsidRPr="00E46C27">
        <w:rPr>
          <w:b/>
          <w:bCs/>
          <w:u w:val="single"/>
        </w:rPr>
        <w:t>Implementation Plan Background &amp; Methodology</w:t>
      </w:r>
    </w:p>
    <w:p w14:paraId="50B3F5A2" w14:textId="77777777" w:rsidR="00617B88" w:rsidRDefault="00617B88" w:rsidP="00281B0A">
      <w:pPr>
        <w:rPr>
          <w:b/>
          <w:bCs/>
        </w:rPr>
      </w:pPr>
    </w:p>
    <w:p w14:paraId="0F50986D" w14:textId="6135315F" w:rsidR="00F41E1E" w:rsidRPr="002442F0" w:rsidRDefault="00B77A32" w:rsidP="00281B0A">
      <w:pPr>
        <w:rPr>
          <w:b/>
        </w:rPr>
      </w:pPr>
      <w:r w:rsidRPr="00B20C7D">
        <w:rPr>
          <w:b/>
          <w:bCs/>
        </w:rPr>
        <w:t>Department Overview</w:t>
      </w:r>
    </w:p>
    <w:p w14:paraId="215736FE" w14:textId="4EA61D58" w:rsidR="00223AA3" w:rsidRPr="00223AA3" w:rsidRDefault="00F41E1E" w:rsidP="00E81C1E">
      <w:pPr>
        <w:contextualSpacing/>
      </w:pPr>
      <w:r w:rsidRPr="552321F1">
        <w:t>The King County departments of Community and Human Services (DCHS) and Public Health–Seattle and King County (PHSKC) share an important vision</w:t>
      </w:r>
      <w:r w:rsidR="00CC3447">
        <w:t xml:space="preserve"> grounded in the King County Strategic Plan</w:t>
      </w:r>
      <w:r w:rsidRPr="552321F1">
        <w:t>:</w:t>
      </w:r>
      <w:r w:rsidR="00FB4F38" w:rsidRPr="00D03F1F">
        <w:rPr>
          <w:rStyle w:val="FootnoteReference"/>
          <w:rFonts w:eastAsiaTheme="majorEastAsia" w:cs="Calibri"/>
        </w:rPr>
        <w:footnoteReference w:id="7"/>
      </w:r>
      <w:r w:rsidRPr="552321F1">
        <w:t xml:space="preserve"> </w:t>
      </w:r>
      <w:r w:rsidR="00602C01">
        <w:t>that</w:t>
      </w:r>
      <w:r w:rsidR="00945BE8">
        <w:t xml:space="preserve"> all King County residents achieve optimal health and well-being and </w:t>
      </w:r>
      <w:r w:rsidR="004F6F8C">
        <w:t>that</w:t>
      </w:r>
      <w:r w:rsidR="00945BE8">
        <w:t xml:space="preserve"> communities</w:t>
      </w:r>
      <w:r w:rsidR="004F6F8C">
        <w:t xml:space="preserve"> thrive</w:t>
      </w:r>
      <w:r w:rsidR="00945BE8">
        <w:t>.</w:t>
      </w:r>
      <w:r w:rsidR="00EA1BAA">
        <w:t xml:space="preserve"> </w:t>
      </w:r>
      <w:r w:rsidR="00EA1BAA">
        <w:rPr>
          <w:i/>
          <w:iCs/>
        </w:rPr>
        <w:t xml:space="preserve">Best Starts </w:t>
      </w:r>
      <w:r w:rsidR="00EA1BAA" w:rsidRPr="00EA1BAA">
        <w:t xml:space="preserve">supports equitable and comprehensive early development supports and needed supports throughout childhood to assure that all children and families can thrive and prosper. </w:t>
      </w:r>
      <w:r w:rsidRPr="00EA1BAA">
        <w:t>Through</w:t>
      </w:r>
      <w:r w:rsidRPr="552321F1">
        <w:t xml:space="preserve"> </w:t>
      </w:r>
      <w:r w:rsidRPr="00FB155B">
        <w:rPr>
          <w:i/>
        </w:rPr>
        <w:t>Best Starts</w:t>
      </w:r>
      <w:r w:rsidRPr="000F7CBA">
        <w:rPr>
          <w:i/>
        </w:rPr>
        <w:t xml:space="preserve"> for Kids</w:t>
      </w:r>
      <w:r w:rsidRPr="552321F1">
        <w:t xml:space="preserve">, </w:t>
      </w:r>
      <w:r>
        <w:t xml:space="preserve">DCHS and PHSKC jointly administer </w:t>
      </w:r>
      <w:r w:rsidRPr="00354EFE">
        <w:rPr>
          <w:i/>
        </w:rPr>
        <w:t>Best Starts</w:t>
      </w:r>
      <w:r w:rsidRPr="552321F1">
        <w:t xml:space="preserve"> to realize this visio</w:t>
      </w:r>
      <w:r>
        <w:t>n</w:t>
      </w:r>
      <w:r w:rsidRPr="552321F1">
        <w:t>.</w:t>
      </w:r>
    </w:p>
    <w:p w14:paraId="050B880C" w14:textId="77777777" w:rsidR="001E68F1" w:rsidRDefault="001E68F1" w:rsidP="003420B4">
      <w:pPr>
        <w:contextualSpacing/>
        <w:textAlignment w:val="baseline"/>
        <w:rPr>
          <w:rFonts w:cs="Calibri"/>
        </w:rPr>
      </w:pPr>
    </w:p>
    <w:p w14:paraId="130A4A5F" w14:textId="4E1D4B53" w:rsidR="001602AE" w:rsidRPr="009C4F03" w:rsidRDefault="00B20C7D" w:rsidP="005E1E94">
      <w:pPr>
        <w:contextualSpacing/>
        <w:rPr>
          <w:b/>
          <w:bCs/>
        </w:rPr>
      </w:pPr>
      <w:r w:rsidRPr="009C4F03">
        <w:rPr>
          <w:b/>
          <w:bCs/>
        </w:rPr>
        <w:t>Foundational Polic</w:t>
      </w:r>
      <w:r w:rsidR="00584360">
        <w:rPr>
          <w:b/>
          <w:bCs/>
        </w:rPr>
        <w:t>i</w:t>
      </w:r>
      <w:r w:rsidRPr="009C4F03">
        <w:rPr>
          <w:b/>
          <w:bCs/>
        </w:rPr>
        <w:t>es and Plans</w:t>
      </w:r>
    </w:p>
    <w:p w14:paraId="28ACF6DA" w14:textId="47E4A8FE" w:rsidR="00A379B1" w:rsidRDefault="001602AE" w:rsidP="009C4F03">
      <w:pPr>
        <w:rPr>
          <w:vertAlign w:val="superscript"/>
        </w:rPr>
      </w:pPr>
      <w:r w:rsidRPr="00D03F1F">
        <w:rPr>
          <w:rFonts w:cs="Calibri"/>
        </w:rPr>
        <w:t>King County is committed to making a welcoming community where every person, business, and organization can thrive.</w:t>
      </w:r>
      <w:r w:rsidR="00FB4F38">
        <w:rPr>
          <w:rStyle w:val="FootnoteReference"/>
          <w:rFonts w:cs="Calibri"/>
        </w:rPr>
        <w:footnoteReference w:id="8"/>
      </w:r>
      <w:r w:rsidRPr="00D03F1F">
        <w:rPr>
          <w:rFonts w:cs="Calibri"/>
        </w:rPr>
        <w:t xml:space="preserve"> </w:t>
      </w:r>
      <w:r w:rsidRPr="00D03F1F">
        <w:rPr>
          <w:rFonts w:cs="Calibri"/>
          <w:i/>
        </w:rPr>
        <w:t>Best Start</w:t>
      </w:r>
      <w:r w:rsidRPr="00CE781D">
        <w:rPr>
          <w:rFonts w:cs="Calibri"/>
          <w:i/>
        </w:rPr>
        <w:t xml:space="preserve">s for Kids </w:t>
      </w:r>
      <w:r w:rsidRPr="00D03F1F">
        <w:rPr>
          <w:rFonts w:cs="Calibri"/>
        </w:rPr>
        <w:t>emulate</w:t>
      </w:r>
      <w:r w:rsidR="00EA589F">
        <w:rPr>
          <w:rFonts w:cs="Calibri"/>
        </w:rPr>
        <w:t>d</w:t>
      </w:r>
      <w:r w:rsidRPr="00D03F1F">
        <w:rPr>
          <w:rFonts w:cs="Calibri"/>
        </w:rPr>
        <w:t xml:space="preserve"> this commitment by developing its theoretical framework and strategies </w:t>
      </w:r>
      <w:r>
        <w:rPr>
          <w:rFonts w:cs="Calibri"/>
        </w:rPr>
        <w:t xml:space="preserve">based on </w:t>
      </w:r>
      <w:r w:rsidR="00EA589F">
        <w:rPr>
          <w:rFonts w:cs="Calibri"/>
        </w:rPr>
        <w:t xml:space="preserve">key </w:t>
      </w:r>
      <w:r w:rsidRPr="00D03F1F">
        <w:rPr>
          <w:rFonts w:cs="Calibri"/>
        </w:rPr>
        <w:t>King County policies, plans, and initiatives</w:t>
      </w:r>
      <w:r w:rsidR="00EA589F">
        <w:rPr>
          <w:rFonts w:cs="Calibri"/>
        </w:rPr>
        <w:t xml:space="preserve">, including </w:t>
      </w:r>
      <w:r w:rsidRPr="00D03F1F">
        <w:rPr>
          <w:rFonts w:eastAsiaTheme="majorEastAsia" w:cs="Calibri"/>
        </w:rPr>
        <w:t>the King County Strategic Plan, the Health &amp; Human Services Transformation Plan, the Youth Action Plan, and the King County Equity and Social Justice Strategic Plan.</w:t>
      </w:r>
      <w:r w:rsidRPr="00D03F1F">
        <w:rPr>
          <w:rStyle w:val="FootnoteReference"/>
          <w:rFonts w:eastAsiaTheme="majorEastAsia" w:cs="Calibri"/>
        </w:rPr>
        <w:footnoteReference w:id="9"/>
      </w:r>
      <w:r w:rsidRPr="00B635FA">
        <w:rPr>
          <w:vertAlign w:val="superscript"/>
        </w:rPr>
        <w:t>,</w:t>
      </w:r>
      <w:r w:rsidRPr="00D03F1F">
        <w:rPr>
          <w:rStyle w:val="FootnoteReference"/>
          <w:rFonts w:eastAsiaTheme="majorEastAsia" w:cs="Calibri"/>
        </w:rPr>
        <w:footnoteReference w:id="10"/>
      </w:r>
      <w:r>
        <w:rPr>
          <w:vertAlign w:val="superscript"/>
        </w:rPr>
        <w:t>,</w:t>
      </w:r>
      <w:r w:rsidRPr="00D03F1F">
        <w:rPr>
          <w:rStyle w:val="FootnoteReference"/>
          <w:rFonts w:eastAsiaTheme="majorEastAsia" w:cs="Calibri"/>
        </w:rPr>
        <w:footnoteReference w:id="11"/>
      </w:r>
    </w:p>
    <w:p w14:paraId="32E86907" w14:textId="68420A9E" w:rsidR="00763EE9" w:rsidRPr="009C4F03" w:rsidRDefault="00B20C7D" w:rsidP="00B374F2">
      <w:pPr>
        <w:rPr>
          <w:rFonts w:cs="Calibri"/>
          <w:b/>
        </w:rPr>
      </w:pPr>
      <w:r w:rsidRPr="009C4F03">
        <w:rPr>
          <w:rFonts w:cs="Calibri"/>
          <w:b/>
          <w:bCs/>
        </w:rPr>
        <w:lastRenderedPageBreak/>
        <w:t>Ordinance Requirements</w:t>
      </w:r>
      <w:r w:rsidR="2612A64D" w:rsidRPr="700616C1">
        <w:rPr>
          <w:rFonts w:cs="Calibri"/>
          <w:b/>
          <w:bCs/>
        </w:rPr>
        <w:t xml:space="preserve"> and </w:t>
      </w:r>
      <w:r w:rsidR="2612A64D" w:rsidRPr="23D82F95">
        <w:rPr>
          <w:rFonts w:cs="Calibri"/>
          <w:b/>
          <w:bCs/>
        </w:rPr>
        <w:t>Requested Elements</w:t>
      </w:r>
    </w:p>
    <w:p w14:paraId="03006EC0" w14:textId="3B1FB61A" w:rsidR="00A23215" w:rsidRDefault="00763EE9" w:rsidP="003420B4">
      <w:r>
        <w:t xml:space="preserve">The </w:t>
      </w:r>
      <w:r w:rsidRPr="00354EFE">
        <w:rPr>
          <w:i/>
        </w:rPr>
        <w:t>Best Starts</w:t>
      </w:r>
      <w:r>
        <w:t xml:space="preserve"> for Kids Implementation Plan 2022-2027 responds to the requirements outlined in Ordinance </w:t>
      </w:r>
      <w:r w:rsidR="003542F9">
        <w:rPr>
          <w:rFonts w:eastAsiaTheme="majorEastAsia" w:cs="Calibri"/>
        </w:rPr>
        <w:t>19267</w:t>
      </w:r>
      <w:r w:rsidR="00994AC3">
        <w:rPr>
          <w:rFonts w:eastAsiaTheme="majorEastAsia" w:cs="Calibri"/>
        </w:rPr>
        <w:t xml:space="preserve"> and </w:t>
      </w:r>
      <w:r w:rsidR="009C4A74">
        <w:rPr>
          <w:rFonts w:eastAsiaTheme="majorEastAsia" w:cs="Calibri"/>
        </w:rPr>
        <w:t>elements</w:t>
      </w:r>
      <w:r w:rsidR="00994AC3">
        <w:rPr>
          <w:rFonts w:eastAsiaTheme="majorEastAsia" w:cs="Calibri"/>
        </w:rPr>
        <w:t xml:space="preserve"> requested in Motion 15888</w:t>
      </w:r>
      <w:r>
        <w:t>.</w:t>
      </w:r>
      <w:r w:rsidR="00D92E05">
        <w:rPr>
          <w:rStyle w:val="FootnoteReference"/>
        </w:rPr>
        <w:footnoteReference w:id="12"/>
      </w:r>
      <w:r w:rsidR="00D96B17">
        <w:rPr>
          <w:vertAlign w:val="superscript"/>
        </w:rPr>
        <w:t>,</w:t>
      </w:r>
      <w:r w:rsidR="00D96B17">
        <w:rPr>
          <w:rStyle w:val="FootnoteReference"/>
        </w:rPr>
        <w:footnoteReference w:id="13"/>
      </w:r>
      <w:r>
        <w:t xml:space="preserve"> </w:t>
      </w:r>
      <w:r w:rsidR="7C8B6ECE">
        <w:t>K</w:t>
      </w:r>
      <w:r w:rsidR="0A71C860">
        <w:t>ey requirements</w:t>
      </w:r>
      <w:r w:rsidR="2F218F4B">
        <w:t xml:space="preserve"> </w:t>
      </w:r>
      <w:r w:rsidR="4E0D4765">
        <w:t xml:space="preserve">are </w:t>
      </w:r>
      <w:r w:rsidR="2F218F4B">
        <w:t xml:space="preserve">highlighted </w:t>
      </w:r>
      <w:r w:rsidR="00D74523">
        <w:t>in subsection C of this section</w:t>
      </w:r>
      <w:r w:rsidR="08613899">
        <w:t>. A</w:t>
      </w:r>
      <w:r w:rsidR="00A23215">
        <w:t xml:space="preserve"> comprehensive table of all requirements and </w:t>
      </w:r>
      <w:r w:rsidR="6C532F2B">
        <w:t xml:space="preserve">requested elements </w:t>
      </w:r>
      <w:r w:rsidR="4CF017F1">
        <w:t xml:space="preserve">along with </w:t>
      </w:r>
      <w:r w:rsidR="00A23215">
        <w:t xml:space="preserve">how they are addressed within the </w:t>
      </w:r>
      <w:r w:rsidR="00A23215" w:rsidRPr="00354EFE">
        <w:rPr>
          <w:i/>
        </w:rPr>
        <w:t>Best Starts for Kids</w:t>
      </w:r>
      <w:r w:rsidR="00A23215">
        <w:t xml:space="preserve"> Implementation Plan: 2022-2027 can be found in </w:t>
      </w:r>
      <w:r w:rsidR="00E91C91" w:rsidRPr="003420B4">
        <w:t>Appendix C</w:t>
      </w:r>
      <w:r w:rsidR="00A23215" w:rsidRPr="009C0968">
        <w:t>.</w:t>
      </w:r>
    </w:p>
    <w:p w14:paraId="2FB2210F" w14:textId="77777777" w:rsidR="00763EE9" w:rsidRDefault="00763EE9" w:rsidP="003420B4">
      <w:pPr>
        <w:ind w:left="360"/>
      </w:pPr>
    </w:p>
    <w:p w14:paraId="0CE0D866" w14:textId="6164A91E" w:rsidR="00B20C7D" w:rsidRPr="00B20C7D" w:rsidRDefault="00B20C7D" w:rsidP="00763EE9">
      <w:pPr>
        <w:pStyle w:val="ListParagraph"/>
        <w:ind w:left="0"/>
        <w:rPr>
          <w:rFonts w:cs="Calibri"/>
          <w:b/>
          <w:bCs/>
        </w:rPr>
      </w:pPr>
      <w:r w:rsidRPr="00B20C7D">
        <w:rPr>
          <w:rFonts w:cs="Calibri"/>
          <w:b/>
          <w:bCs/>
        </w:rPr>
        <w:t>Govern</w:t>
      </w:r>
      <w:r w:rsidR="00637186">
        <w:rPr>
          <w:rFonts w:cs="Calibri"/>
          <w:b/>
          <w:bCs/>
        </w:rPr>
        <w:t xml:space="preserve">ing Board </w:t>
      </w:r>
      <w:r w:rsidR="00200DE5">
        <w:rPr>
          <w:rFonts w:cs="Calibri"/>
          <w:b/>
          <w:bCs/>
        </w:rPr>
        <w:t>Guid</w:t>
      </w:r>
      <w:r w:rsidRPr="00B20C7D">
        <w:rPr>
          <w:rFonts w:cs="Calibri"/>
          <w:b/>
          <w:bCs/>
        </w:rPr>
        <w:t>ance</w:t>
      </w:r>
    </w:p>
    <w:p w14:paraId="7D0E12BF" w14:textId="71D2AAFC" w:rsidR="00763EE9" w:rsidRPr="00D03F1F" w:rsidRDefault="005F33A9" w:rsidP="00763EE9">
      <w:pPr>
        <w:pStyle w:val="ListParagraph"/>
        <w:ind w:left="0"/>
        <w:rPr>
          <w:rFonts w:cs="Calibri"/>
        </w:rPr>
      </w:pPr>
      <w:r>
        <w:rPr>
          <w:rFonts w:cs="Calibri"/>
        </w:rPr>
        <w:t>I</w:t>
      </w:r>
      <w:r w:rsidR="00C304A4">
        <w:rPr>
          <w:rFonts w:cs="Calibri"/>
        </w:rPr>
        <w:t xml:space="preserve">n developing this plan </w:t>
      </w:r>
      <w:r w:rsidR="00763EE9" w:rsidRPr="00D03F1F">
        <w:rPr>
          <w:rFonts w:cs="Calibri"/>
          <w:i/>
        </w:rPr>
        <w:t xml:space="preserve">Best Starts </w:t>
      </w:r>
      <w:r w:rsidR="00763EE9" w:rsidRPr="00D03F1F">
        <w:rPr>
          <w:rFonts w:cs="Calibri"/>
        </w:rPr>
        <w:t>partnered with the Children and Youth Advisory Board and the Communities of Opportunity Governing Group</w:t>
      </w:r>
      <w:r w:rsidR="00C304A4">
        <w:rPr>
          <w:rFonts w:cs="Calibri"/>
        </w:rPr>
        <w:t>,</w:t>
      </w:r>
      <w:r w:rsidR="00763EE9" w:rsidRPr="00D03F1F">
        <w:rPr>
          <w:rFonts w:cs="Calibri"/>
        </w:rPr>
        <w:t xml:space="preserve"> </w:t>
      </w:r>
      <w:r w:rsidR="00763EE9">
        <w:rPr>
          <w:rFonts w:cs="Calibri"/>
        </w:rPr>
        <w:t xml:space="preserve">who govern </w:t>
      </w:r>
      <w:r w:rsidR="00763EE9" w:rsidRPr="00354EFE">
        <w:rPr>
          <w:rFonts w:cs="Calibri"/>
          <w:i/>
        </w:rPr>
        <w:t xml:space="preserve">Best </w:t>
      </w:r>
      <w:r w:rsidR="00763EE9" w:rsidRPr="00C304A4">
        <w:rPr>
          <w:rFonts w:cs="Calibri"/>
          <w:i/>
        </w:rPr>
        <w:t>Starts</w:t>
      </w:r>
      <w:r w:rsidR="00763EE9" w:rsidRPr="00B7244A">
        <w:rPr>
          <w:rFonts w:cs="Calibri"/>
          <w:i/>
        </w:rPr>
        <w:t xml:space="preserve"> for Kids</w:t>
      </w:r>
      <w:r w:rsidR="00763EE9">
        <w:rPr>
          <w:rFonts w:cs="Calibri"/>
        </w:rPr>
        <w:t xml:space="preserve"> and provide guidance and </w:t>
      </w:r>
      <w:r w:rsidR="00F45800">
        <w:rPr>
          <w:rFonts w:cs="Calibri"/>
        </w:rPr>
        <w:t xml:space="preserve">oversight </w:t>
      </w:r>
      <w:r w:rsidR="00763EE9">
        <w:rPr>
          <w:rFonts w:cs="Calibri"/>
        </w:rPr>
        <w:t>to Communities of Opportunity respectively.</w:t>
      </w:r>
      <w:r w:rsidR="00763EE9" w:rsidRPr="00D03F1F">
        <w:rPr>
          <w:rStyle w:val="FootnoteReference"/>
          <w:rFonts w:cs="Calibri"/>
        </w:rPr>
        <w:footnoteReference w:id="14"/>
      </w:r>
      <w:r w:rsidR="00763EE9" w:rsidRPr="00D03F1F">
        <w:rPr>
          <w:rFonts w:cs="Calibri"/>
        </w:rPr>
        <w:t xml:space="preserve"> Strategy</w:t>
      </w:r>
      <w:r w:rsidR="00763EE9">
        <w:rPr>
          <w:rFonts w:cs="Calibri"/>
        </w:rPr>
        <w:t>-</w:t>
      </w:r>
      <w:r w:rsidR="00763EE9" w:rsidRPr="00D03F1F">
        <w:rPr>
          <w:rFonts w:cs="Calibri"/>
        </w:rPr>
        <w:t xml:space="preserve">specific </w:t>
      </w:r>
      <w:r w:rsidR="00763EE9">
        <w:rPr>
          <w:rFonts w:cs="Calibri"/>
        </w:rPr>
        <w:t xml:space="preserve">board </w:t>
      </w:r>
      <w:r w:rsidR="00763EE9" w:rsidRPr="00D03F1F">
        <w:rPr>
          <w:rFonts w:cs="Calibri"/>
        </w:rPr>
        <w:t>workgroups guided the planning</w:t>
      </w:r>
      <w:r w:rsidR="00763EE9">
        <w:rPr>
          <w:rFonts w:cs="Calibri"/>
        </w:rPr>
        <w:t xml:space="preserve"> in February, March, and April of 2021</w:t>
      </w:r>
      <w:r w:rsidR="00081616">
        <w:rPr>
          <w:rFonts w:cs="Calibri"/>
        </w:rPr>
        <w:t>.</w:t>
      </w:r>
      <w:r w:rsidR="008A7A6A">
        <w:rPr>
          <w:rFonts w:cs="Calibri"/>
        </w:rPr>
        <w:t xml:space="preserve"> </w:t>
      </w:r>
      <w:r w:rsidR="00763EE9" w:rsidRPr="00D03F1F">
        <w:rPr>
          <w:rFonts w:cs="Calibri"/>
        </w:rPr>
        <w:t xml:space="preserve">Both boards hosted workdays in May 2021 to provide input and </w:t>
      </w:r>
      <w:r w:rsidR="00763EE9">
        <w:rPr>
          <w:rFonts w:cs="Calibri"/>
        </w:rPr>
        <w:t xml:space="preserve">voted to </w:t>
      </w:r>
      <w:r w:rsidR="00763EE9" w:rsidRPr="00D03F1F">
        <w:rPr>
          <w:rFonts w:cs="Calibri"/>
        </w:rPr>
        <w:t>endors</w:t>
      </w:r>
      <w:r w:rsidR="00763EE9">
        <w:rPr>
          <w:rFonts w:cs="Calibri"/>
        </w:rPr>
        <w:t>e</w:t>
      </w:r>
      <w:r w:rsidR="00763EE9" w:rsidRPr="00D03F1F">
        <w:rPr>
          <w:rFonts w:cs="Calibri"/>
        </w:rPr>
        <w:t xml:space="preserve"> the </w:t>
      </w:r>
      <w:r w:rsidR="00763EE9" w:rsidRPr="00354EFE">
        <w:rPr>
          <w:rFonts w:cs="Calibri"/>
          <w:i/>
        </w:rPr>
        <w:t>Best Starts</w:t>
      </w:r>
      <w:r w:rsidR="00763EE9">
        <w:rPr>
          <w:rFonts w:cs="Calibri"/>
        </w:rPr>
        <w:t xml:space="preserve"> Implementation Plan 2022-2027 in June </w:t>
      </w:r>
      <w:r w:rsidR="00966BA6">
        <w:rPr>
          <w:rFonts w:cs="Calibri"/>
        </w:rPr>
        <w:t>2021</w:t>
      </w:r>
      <w:r w:rsidR="00763EE9">
        <w:rPr>
          <w:rFonts w:cs="Calibri"/>
        </w:rPr>
        <w:t>.</w:t>
      </w:r>
      <w:r w:rsidR="00763EE9" w:rsidRPr="00D03F1F">
        <w:rPr>
          <w:rFonts w:cs="Calibri"/>
        </w:rPr>
        <w:t xml:space="preserve"> </w:t>
      </w:r>
    </w:p>
    <w:p w14:paraId="1FF22073" w14:textId="77777777" w:rsidR="00763EE9" w:rsidRPr="00D03F1F" w:rsidRDefault="00763EE9" w:rsidP="00763EE9">
      <w:pPr>
        <w:pStyle w:val="ListParagraph"/>
        <w:ind w:left="0"/>
        <w:rPr>
          <w:rFonts w:cs="Calibri"/>
        </w:rPr>
      </w:pPr>
    </w:p>
    <w:p w14:paraId="26D3A762" w14:textId="015E5853" w:rsidR="00763EE9" w:rsidRPr="00B20C7D" w:rsidRDefault="00763EE9" w:rsidP="00B20C7D">
      <w:pPr>
        <w:pStyle w:val="ListParagraph"/>
        <w:ind w:left="0"/>
        <w:rPr>
          <w:rFonts w:cs="Calibri"/>
          <w:b/>
        </w:rPr>
      </w:pPr>
      <w:r w:rsidRPr="00B20C7D">
        <w:rPr>
          <w:rFonts w:cs="Calibri"/>
          <w:b/>
        </w:rPr>
        <w:t xml:space="preserve">Community Engagement Summary </w:t>
      </w:r>
    </w:p>
    <w:p w14:paraId="7507E00A" w14:textId="09E5410D" w:rsidR="009C1B77" w:rsidRDefault="00763EE9" w:rsidP="003420B4">
      <w:pPr>
        <w:tabs>
          <w:tab w:val="left" w:pos="1688"/>
        </w:tabs>
        <w:contextualSpacing/>
        <w:rPr>
          <w:rFonts w:cs="Calibri"/>
        </w:rPr>
      </w:pPr>
      <w:r w:rsidRPr="00D03F1F">
        <w:rPr>
          <w:rFonts w:cs="Calibri"/>
        </w:rPr>
        <w:t>Communities informed planning for the proposed renewal</w:t>
      </w:r>
      <w:r w:rsidR="00376F1B">
        <w:rPr>
          <w:rFonts w:cs="Calibri"/>
        </w:rPr>
        <w:t xml:space="preserve"> and</w:t>
      </w:r>
      <w:r w:rsidRPr="00D03F1F">
        <w:rPr>
          <w:rFonts w:cs="Calibri"/>
        </w:rPr>
        <w:t xml:space="preserve"> expansion</w:t>
      </w:r>
      <w:r>
        <w:rPr>
          <w:rFonts w:cs="Calibri"/>
        </w:rPr>
        <w:t xml:space="preserve">, leading to the </w:t>
      </w:r>
      <w:r w:rsidRPr="00D03F1F">
        <w:rPr>
          <w:rFonts w:cs="Calibri"/>
          <w:i/>
        </w:rPr>
        <w:t>Best Starts for Kids</w:t>
      </w:r>
      <w:r>
        <w:rPr>
          <w:rFonts w:cs="Calibri"/>
        </w:rPr>
        <w:t xml:space="preserve"> </w:t>
      </w:r>
      <w:r w:rsidR="00316075">
        <w:rPr>
          <w:rFonts w:cs="Calibri"/>
        </w:rPr>
        <w:t>2022-2027</w:t>
      </w:r>
      <w:r w:rsidR="00E92269">
        <w:rPr>
          <w:rFonts w:cs="Calibri"/>
        </w:rPr>
        <w:t xml:space="preserve"> </w:t>
      </w:r>
      <w:r w:rsidR="00CF288E">
        <w:rPr>
          <w:rFonts w:cs="Calibri"/>
        </w:rPr>
        <w:t>Implementation Plan</w:t>
      </w:r>
      <w:r w:rsidR="00081616">
        <w:rPr>
          <w:rFonts w:cs="Calibri"/>
        </w:rPr>
        <w:t>.</w:t>
      </w:r>
      <w:r w:rsidR="008A7A6A">
        <w:rPr>
          <w:rFonts w:cs="Calibri"/>
        </w:rPr>
        <w:t xml:space="preserve"> </w:t>
      </w:r>
      <w:r w:rsidRPr="00D03F1F">
        <w:rPr>
          <w:rFonts w:cs="Calibri"/>
          <w:i/>
        </w:rPr>
        <w:t>Best Starts</w:t>
      </w:r>
      <w:r w:rsidRPr="00D03F1F">
        <w:rPr>
          <w:rFonts w:cs="Calibri"/>
        </w:rPr>
        <w:t xml:space="preserve"> partnered with </w:t>
      </w:r>
      <w:r w:rsidR="008714EE">
        <w:rPr>
          <w:rFonts w:cs="Calibri"/>
        </w:rPr>
        <w:t>ten</w:t>
      </w:r>
      <w:r w:rsidR="00E214EE" w:rsidRPr="00D03F1F">
        <w:rPr>
          <w:rFonts w:cs="Calibri"/>
        </w:rPr>
        <w:t xml:space="preserve"> </w:t>
      </w:r>
      <w:r w:rsidRPr="00D03F1F">
        <w:rPr>
          <w:rFonts w:cs="Calibri"/>
        </w:rPr>
        <w:t>regionally based coalitions of community organizations</w:t>
      </w:r>
      <w:r w:rsidRPr="00D03F1F" w:rsidDel="0058228E">
        <w:rPr>
          <w:rFonts w:cs="Calibri"/>
        </w:rPr>
        <w:t xml:space="preserve"> </w:t>
      </w:r>
      <w:r w:rsidRPr="00D03F1F">
        <w:rPr>
          <w:rFonts w:cs="Calibri"/>
        </w:rPr>
        <w:t>and five community stakeholder groups to host</w:t>
      </w:r>
      <w:r w:rsidR="00E214EE">
        <w:rPr>
          <w:rFonts w:cs="Calibri"/>
        </w:rPr>
        <w:t xml:space="preserve"> </w:t>
      </w:r>
      <w:r w:rsidR="008714EE">
        <w:rPr>
          <w:rFonts w:cs="Calibri"/>
        </w:rPr>
        <w:t>fifteen</w:t>
      </w:r>
      <w:r w:rsidR="00E214EE">
        <w:rPr>
          <w:rFonts w:cs="Calibri"/>
        </w:rPr>
        <w:t xml:space="preserve"> </w:t>
      </w:r>
      <w:r w:rsidRPr="00D03F1F">
        <w:rPr>
          <w:rFonts w:cs="Calibri"/>
        </w:rPr>
        <w:t xml:space="preserve">listening sessions, from August through November 2020. </w:t>
      </w:r>
      <w:r w:rsidR="003C02B0">
        <w:rPr>
          <w:rFonts w:cs="Calibri"/>
        </w:rPr>
        <w:t>Input f</w:t>
      </w:r>
      <w:r w:rsidR="002A027B">
        <w:rPr>
          <w:rFonts w:cs="Calibri"/>
        </w:rPr>
        <w:t>rom these sessions and a community survey</w:t>
      </w:r>
      <w:r w:rsidR="001B2183">
        <w:rPr>
          <w:rFonts w:cs="Calibri"/>
        </w:rPr>
        <w:t xml:space="preserve"> informed</w:t>
      </w:r>
      <w:r w:rsidRPr="00D03F1F">
        <w:rPr>
          <w:rFonts w:cs="Calibri"/>
        </w:rPr>
        <w:t xml:space="preserve"> the recommendations for a renewed and expanded </w:t>
      </w:r>
      <w:r w:rsidRPr="00D03F1F">
        <w:rPr>
          <w:rFonts w:cs="Calibri"/>
          <w:i/>
        </w:rPr>
        <w:t>Best Starts</w:t>
      </w:r>
      <w:r w:rsidRPr="00D03F1F">
        <w:rPr>
          <w:rFonts w:cs="Calibri"/>
        </w:rPr>
        <w:t xml:space="preserve"> </w:t>
      </w:r>
      <w:r>
        <w:rPr>
          <w:rFonts w:cs="Calibri"/>
        </w:rPr>
        <w:t>l</w:t>
      </w:r>
      <w:r w:rsidRPr="00D03F1F">
        <w:rPr>
          <w:rFonts w:cs="Calibri"/>
        </w:rPr>
        <w:t xml:space="preserve">evy. </w:t>
      </w:r>
      <w:r>
        <w:rPr>
          <w:rFonts w:cs="Calibri"/>
        </w:rPr>
        <w:t>C</w:t>
      </w:r>
      <w:r w:rsidRPr="00D03F1F">
        <w:rPr>
          <w:rFonts w:cs="Calibri"/>
        </w:rPr>
        <w:t xml:space="preserve">ommunity engagement and feedback throughout a renewed and expanded, </w:t>
      </w:r>
      <w:r w:rsidR="008B24AC" w:rsidRPr="00D03F1F">
        <w:rPr>
          <w:rFonts w:cs="Calibri"/>
        </w:rPr>
        <w:t>voter approved</w:t>
      </w:r>
      <w:r w:rsidRPr="00D03F1F">
        <w:rPr>
          <w:rFonts w:cs="Calibri"/>
        </w:rPr>
        <w:t xml:space="preserve"> </w:t>
      </w:r>
      <w:r w:rsidRPr="00D03F1F">
        <w:rPr>
          <w:rFonts w:cs="Calibri"/>
          <w:i/>
        </w:rPr>
        <w:t>Best Starts</w:t>
      </w:r>
      <w:r w:rsidRPr="00D03F1F">
        <w:rPr>
          <w:rFonts w:cs="Calibri"/>
        </w:rPr>
        <w:t xml:space="preserve"> levy will be crucial in responding to existing and emerging community needs.</w:t>
      </w:r>
      <w:r w:rsidR="00D02FB8">
        <w:rPr>
          <w:rFonts w:cs="Calibri"/>
        </w:rPr>
        <w:t xml:space="preserve"> </w:t>
      </w:r>
      <w:r w:rsidR="009C1B77">
        <w:rPr>
          <w:rFonts w:cs="Calibri"/>
        </w:rPr>
        <w:t xml:space="preserve">A comprehensive list of community stakeholder groups that provided feedback can be found in </w:t>
      </w:r>
      <w:r w:rsidR="00E91C91" w:rsidRPr="003420B4">
        <w:t>Appendix J</w:t>
      </w:r>
      <w:r w:rsidR="0032517D">
        <w:rPr>
          <w:rFonts w:cs="Calibri"/>
        </w:rPr>
        <w:t xml:space="preserve">. </w:t>
      </w:r>
    </w:p>
    <w:p w14:paraId="03B34859" w14:textId="77777777" w:rsidR="00FE3529" w:rsidRDefault="00FE3529" w:rsidP="003420B4">
      <w:pPr>
        <w:rPr>
          <w:rFonts w:cs="Calibri"/>
          <w:b/>
          <w:i/>
          <w:u w:val="single"/>
        </w:rPr>
      </w:pPr>
    </w:p>
    <w:p w14:paraId="0A533367" w14:textId="4E72FD63" w:rsidR="005E1E94" w:rsidRPr="00011A99" w:rsidRDefault="005E1E94" w:rsidP="003420B4">
      <w:pPr>
        <w:rPr>
          <w:rFonts w:cs="Calibri"/>
          <w:b/>
          <w:i/>
          <w:u w:val="single"/>
        </w:rPr>
      </w:pPr>
      <w:r w:rsidRPr="008A7A6A">
        <w:rPr>
          <w:rFonts w:cs="Calibri"/>
          <w:b/>
          <w:i/>
          <w:u w:val="single"/>
        </w:rPr>
        <w:t>Best Starts</w:t>
      </w:r>
      <w:r w:rsidRPr="008A7A6A">
        <w:rPr>
          <w:rFonts w:cs="Calibri"/>
          <w:b/>
          <w:bCs/>
          <w:u w:val="single"/>
        </w:rPr>
        <w:t xml:space="preserve"> </w:t>
      </w:r>
      <w:r w:rsidR="00E214EE" w:rsidRPr="008A7A6A">
        <w:rPr>
          <w:rFonts w:cs="Calibri"/>
          <w:b/>
          <w:bCs/>
          <w:u w:val="single"/>
        </w:rPr>
        <w:t>P</w:t>
      </w:r>
      <w:r w:rsidRPr="008A7A6A">
        <w:rPr>
          <w:rFonts w:cs="Calibri"/>
          <w:b/>
          <w:bCs/>
          <w:u w:val="single"/>
        </w:rPr>
        <w:t>lan for 2022-2027</w:t>
      </w:r>
    </w:p>
    <w:p w14:paraId="2C49CCF8" w14:textId="77777777" w:rsidR="00E214EE" w:rsidRDefault="00E214EE" w:rsidP="003420B4">
      <w:pPr>
        <w:rPr>
          <w:rFonts w:cs="Calibri"/>
          <w:b/>
          <w:bCs/>
        </w:rPr>
      </w:pPr>
    </w:p>
    <w:p w14:paraId="34E7B968" w14:textId="4997AFB3" w:rsidR="005E1E94" w:rsidRPr="00B20C7D" w:rsidRDefault="00231DD7" w:rsidP="003420B4">
      <w:pPr>
        <w:rPr>
          <w:rFonts w:cs="Calibri"/>
          <w:b/>
          <w:bCs/>
        </w:rPr>
      </w:pPr>
      <w:r>
        <w:rPr>
          <w:rFonts w:cs="Calibri"/>
          <w:b/>
          <w:bCs/>
        </w:rPr>
        <w:t xml:space="preserve">Framework and </w:t>
      </w:r>
      <w:r w:rsidR="005D60F5" w:rsidRPr="3D37B842">
        <w:rPr>
          <w:rFonts w:cs="Calibri"/>
          <w:b/>
          <w:bCs/>
        </w:rPr>
        <w:t>Results</w:t>
      </w:r>
    </w:p>
    <w:p w14:paraId="38C08D18" w14:textId="31E10DD3" w:rsidR="005E1E94" w:rsidRDefault="005E1E94" w:rsidP="003420B4">
      <w:r w:rsidRPr="00195A68">
        <w:rPr>
          <w:i/>
          <w:iCs/>
        </w:rPr>
        <w:t>Best Starts’</w:t>
      </w:r>
      <w:r>
        <w:t xml:space="preserve"> work is conceptualized through a </w:t>
      </w:r>
      <w:r w:rsidR="00205C0B">
        <w:t xml:space="preserve">promotive- and </w:t>
      </w:r>
      <w:r>
        <w:t>protective-factors frame</w:t>
      </w:r>
      <w:r w:rsidR="00462A80">
        <w:t>work</w:t>
      </w:r>
      <w:r>
        <w:t>.</w:t>
      </w:r>
      <w:r>
        <w:rPr>
          <w:rStyle w:val="FootnoteReference"/>
        </w:rPr>
        <w:footnoteReference w:id="15"/>
      </w:r>
      <w:r>
        <w:t xml:space="preserve"> The framework is a guidepost for identifying strategies that promote what is needed to protect children, youth and communities working to eliminate the negative risk factors or barriers</w:t>
      </w:r>
      <w:r w:rsidR="00081616">
        <w:t>.</w:t>
      </w:r>
      <w:r w:rsidR="008A7A6A">
        <w:t xml:space="preserve"> </w:t>
      </w:r>
      <w:r w:rsidR="005C2121">
        <w:t xml:space="preserve">The outcomes of doing so include strong child development, thriving families, </w:t>
      </w:r>
      <w:r w:rsidR="00F66C20">
        <w:t xml:space="preserve">supportive networks, healthy youth, and inclusive communities. </w:t>
      </w:r>
      <w:r>
        <w:t xml:space="preserve">Investment areas and strategies are carefully identified to promote </w:t>
      </w:r>
      <w:r w:rsidR="005C2121">
        <w:t xml:space="preserve">these </w:t>
      </w:r>
      <w:r>
        <w:t xml:space="preserve">outcomes for </w:t>
      </w:r>
      <w:r w:rsidR="00205783">
        <w:t>all</w:t>
      </w:r>
      <w:r>
        <w:t xml:space="preserve"> </w:t>
      </w:r>
      <w:r w:rsidR="002F5857">
        <w:t>the</w:t>
      </w:r>
      <w:r>
        <w:t xml:space="preserve"> families, children, youth and communities</w:t>
      </w:r>
      <w:r w:rsidR="00BE081A">
        <w:t>.</w:t>
      </w:r>
      <w:r w:rsidR="0031379B">
        <w:t xml:space="preserve"> Evaluation plans</w:t>
      </w:r>
      <w:r w:rsidR="00C90B7F">
        <w:t xml:space="preserve"> and selected performance measures</w:t>
      </w:r>
      <w:r w:rsidR="0031379B">
        <w:t xml:space="preserve"> </w:t>
      </w:r>
      <w:r w:rsidR="00931635">
        <w:t xml:space="preserve">will be similarly </w:t>
      </w:r>
      <w:r w:rsidR="003E5CF8">
        <w:t xml:space="preserve">grounded in </w:t>
      </w:r>
      <w:r w:rsidR="00E32807">
        <w:t xml:space="preserve">this </w:t>
      </w:r>
      <w:r w:rsidR="003F0F21">
        <w:t>theoretical framework.</w:t>
      </w:r>
      <w:r w:rsidR="003F0F21">
        <w:rPr>
          <w:rStyle w:val="FootnoteReference"/>
        </w:rPr>
        <w:footnoteReference w:id="16"/>
      </w:r>
    </w:p>
    <w:p w14:paraId="137BCC09" w14:textId="3192C7FE" w:rsidR="54528C8E" w:rsidRDefault="54528C8E" w:rsidP="003420B4">
      <w:pPr>
        <w:rPr>
          <w:b/>
          <w:bCs/>
        </w:rPr>
      </w:pPr>
    </w:p>
    <w:p w14:paraId="722D7466" w14:textId="77777777" w:rsidR="00F23E24" w:rsidRDefault="00F23E24">
      <w:pPr>
        <w:spacing w:line="240" w:lineRule="auto"/>
        <w:rPr>
          <w:b/>
          <w:bCs/>
        </w:rPr>
      </w:pPr>
      <w:r>
        <w:rPr>
          <w:b/>
          <w:bCs/>
        </w:rPr>
        <w:br w:type="page"/>
      </w:r>
    </w:p>
    <w:p w14:paraId="44408B3D" w14:textId="7883C51A" w:rsidR="000E6872" w:rsidRPr="00070882" w:rsidRDefault="005E1E94" w:rsidP="003420B4">
      <w:pPr>
        <w:rPr>
          <w:b/>
          <w:bCs/>
        </w:rPr>
      </w:pPr>
      <w:r w:rsidRPr="000F3825">
        <w:rPr>
          <w:b/>
          <w:bCs/>
        </w:rPr>
        <w:lastRenderedPageBreak/>
        <w:t>Fiscal Overview</w:t>
      </w:r>
    </w:p>
    <w:p w14:paraId="4D1F6066" w14:textId="7D9B29A1" w:rsidR="000E6872" w:rsidRDefault="000E6872" w:rsidP="003420B4">
      <w:r>
        <w:t xml:space="preserve">Revenue estimates for </w:t>
      </w:r>
      <w:r w:rsidRPr="00354EFE">
        <w:rPr>
          <w:i/>
        </w:rPr>
        <w:t>Best Starts</w:t>
      </w:r>
      <w:r>
        <w:t xml:space="preserve"> from 2022-2027 are based on an </w:t>
      </w:r>
      <w:r w:rsidRPr="00DA68DA">
        <w:t>increase</w:t>
      </w:r>
      <w:r>
        <w:t xml:space="preserve"> in</w:t>
      </w:r>
      <w:r w:rsidRPr="00DA68DA">
        <w:t xml:space="preserve"> the levy rate from $0.14</w:t>
      </w:r>
      <w:r>
        <w:t xml:space="preserve"> per </w:t>
      </w:r>
      <w:r w:rsidRPr="00DA68DA">
        <w:t>$1,000 of assessed value to $0.19</w:t>
      </w:r>
      <w:r>
        <w:t xml:space="preserve"> per </w:t>
      </w:r>
      <w:r w:rsidRPr="00DA68DA">
        <w:t>$1,000 of assessed value.</w:t>
      </w:r>
      <w:r w:rsidRPr="003E6FCD">
        <w:t xml:space="preserve"> </w:t>
      </w:r>
      <w:r w:rsidRPr="00CC5451">
        <w:t xml:space="preserve">The revenue and expenditure estimates reflect the proposed levy rate, the </w:t>
      </w:r>
      <w:r>
        <w:t>taxable a</w:t>
      </w:r>
      <w:r w:rsidRPr="00CC5451">
        <w:t xml:space="preserve">ssessed </w:t>
      </w:r>
      <w:r>
        <w:t>v</w:t>
      </w:r>
      <w:r w:rsidRPr="00CC5451">
        <w:t xml:space="preserve">aluation, and the projected </w:t>
      </w:r>
      <w:r>
        <w:t>assessed valuation</w:t>
      </w:r>
      <w:r w:rsidRPr="00CC5451">
        <w:t xml:space="preserve"> growth rate based on the </w:t>
      </w:r>
      <w:r w:rsidR="00817EA9">
        <w:t>July</w:t>
      </w:r>
      <w:r w:rsidRPr="00CC5451">
        <w:t xml:space="preserve"> 2021 forecast from the King County Office of Economic and Financial Analysis.</w:t>
      </w:r>
      <w:r>
        <w:rPr>
          <w:rStyle w:val="FootnoteReference"/>
        </w:rPr>
        <w:footnoteReference w:id="17"/>
      </w:r>
      <w:r w:rsidRPr="00CC5451">
        <w:t xml:space="preserve"> </w:t>
      </w:r>
      <w:r w:rsidR="009B175C">
        <w:t>Over the six years of the levy,</w:t>
      </w:r>
      <w:r w:rsidR="009B175C" w:rsidDel="007724E9">
        <w:t xml:space="preserve"> </w:t>
      </w:r>
      <w:r w:rsidR="009B175C">
        <w:t xml:space="preserve">an estimated </w:t>
      </w:r>
      <w:r w:rsidR="009B175C" w:rsidDel="00126C40">
        <w:t>$</w:t>
      </w:r>
      <w:r w:rsidR="00E8103C">
        <w:t xml:space="preserve">883.8 </w:t>
      </w:r>
      <w:r w:rsidR="00126C40">
        <w:t>million</w:t>
      </w:r>
      <w:r w:rsidR="009B175C">
        <w:t xml:space="preserve"> of revenue is expected to be </w:t>
      </w:r>
      <w:r w:rsidR="00916287">
        <w:t xml:space="preserve">received </w:t>
      </w:r>
      <w:r w:rsidR="009B175C">
        <w:t xml:space="preserve">to invest in increasing positive outcomes for families, children, youth, and families. </w:t>
      </w:r>
    </w:p>
    <w:p w14:paraId="0FE1A0E7" w14:textId="77777777" w:rsidR="007724E9" w:rsidRDefault="007724E9" w:rsidP="003420B4"/>
    <w:p w14:paraId="36B83884" w14:textId="356C28F0" w:rsidR="00CD387E" w:rsidRPr="00CD387E" w:rsidRDefault="00A52E11" w:rsidP="00CD387E">
      <w:pPr>
        <w:contextualSpacing/>
      </w:pPr>
      <w:r>
        <w:rPr>
          <w:rFonts w:eastAsiaTheme="majorEastAsia" w:cs="Calibri"/>
        </w:rPr>
        <w:t>A</w:t>
      </w:r>
      <w:r w:rsidR="00182667">
        <w:t xml:space="preserve">llocations to Investing Early, Communities of Opportunity, and Evaluation </w:t>
      </w:r>
      <w:r w:rsidR="0056059C">
        <w:t xml:space="preserve">for 2022-2027 </w:t>
      </w:r>
      <w:r w:rsidR="00182667">
        <w:t>remain similar to those in the first levy</w:t>
      </w:r>
      <w:r w:rsidR="00466343">
        <w:t>,</w:t>
      </w:r>
      <w:r w:rsidR="00182667">
        <w:t xml:space="preserve"> with an increase to Technical Assistance and Capacity Building and Sustain the Gain investments.</w:t>
      </w:r>
      <w:r w:rsidR="00182667" w:rsidDel="00D04C84">
        <w:t xml:space="preserve"> </w:t>
      </w:r>
      <w:r w:rsidR="00182667">
        <w:t xml:space="preserve">This increase is based upon identified need from community feedback and learnings about Best Starts 2016-2021 </w:t>
      </w:r>
      <w:r w:rsidR="003A6500">
        <w:t xml:space="preserve">described in </w:t>
      </w:r>
      <w:r w:rsidR="00182667">
        <w:t xml:space="preserve">the Best Starts For Kids Assessment Report </w:t>
      </w:r>
      <w:r w:rsidR="00660906">
        <w:t>transmitted in response to</w:t>
      </w:r>
      <w:r w:rsidR="00182667">
        <w:t xml:space="preserve"> Motion 15651.</w:t>
      </w:r>
      <w:r w:rsidR="00182667">
        <w:rPr>
          <w:rStyle w:val="FootnoteReference"/>
        </w:rPr>
        <w:footnoteReference w:id="18"/>
      </w:r>
      <w:r w:rsidR="00182667">
        <w:t xml:space="preserve"> A new </w:t>
      </w:r>
      <w:r w:rsidR="00337310">
        <w:t>King County</w:t>
      </w:r>
      <w:r w:rsidR="00182667">
        <w:t xml:space="preserve"> Child Care Subsid</w:t>
      </w:r>
      <w:r w:rsidR="00337310">
        <w:t>y Program</w:t>
      </w:r>
      <w:r w:rsidR="00182667">
        <w:t xml:space="preserve"> and </w:t>
      </w:r>
      <w:r w:rsidR="00DC53C0">
        <w:t>Workforce Demonstration Project</w:t>
      </w:r>
      <w:r w:rsidR="00182667">
        <w:t xml:space="preserve"> for the 2022-2027 </w:t>
      </w:r>
      <w:r w:rsidR="00182667" w:rsidRPr="00C0040A">
        <w:t>Best Starts</w:t>
      </w:r>
      <w:r w:rsidR="00182667">
        <w:t xml:space="preserve"> to support access to high quality care is based upon recommendations from the </w:t>
      </w:r>
      <w:r w:rsidR="00CF51A9">
        <w:t>Children and Families Strategy</w:t>
      </w:r>
      <w:r w:rsidR="00B2471E">
        <w:t xml:space="preserve"> </w:t>
      </w:r>
      <w:r w:rsidR="00182667">
        <w:t>Task Force.</w:t>
      </w:r>
      <w:r w:rsidR="00182667">
        <w:rPr>
          <w:rStyle w:val="FootnoteReference"/>
        </w:rPr>
        <w:footnoteReference w:id="19"/>
      </w:r>
      <w:r w:rsidR="00182667">
        <w:t xml:space="preserve"> </w:t>
      </w:r>
      <w:r>
        <w:t>Also, a new category of capital grants</w:t>
      </w:r>
      <w:r w:rsidR="003734E0">
        <w:t xml:space="preserve"> </w:t>
      </w:r>
      <w:r>
        <w:t>has been added to support improvements to facilities</w:t>
      </w:r>
      <w:r w:rsidR="00173AAD">
        <w:t xml:space="preserve"> and development of new facilities</w:t>
      </w:r>
      <w:r>
        <w:t xml:space="preserve">. </w:t>
      </w:r>
      <w:r w:rsidR="00182667">
        <w:t xml:space="preserve"> </w:t>
      </w:r>
    </w:p>
    <w:p w14:paraId="2A43477C" w14:textId="68E728BC" w:rsidR="00182667" w:rsidRDefault="00182667" w:rsidP="21E420E0">
      <w:pPr>
        <w:contextualSpacing/>
        <w:rPr>
          <w:rFonts w:eastAsia="Calibri" w:cs="Arial"/>
        </w:rPr>
      </w:pPr>
    </w:p>
    <w:p w14:paraId="0E634CDC" w14:textId="116B4267" w:rsidR="00182667" w:rsidRDefault="00C17A76" w:rsidP="00182667">
      <w:pPr>
        <w:contextualSpacing/>
      </w:pPr>
      <w:r>
        <w:rPr>
          <w:rFonts w:eastAsiaTheme="majorEastAsia" w:cs="Calibri"/>
        </w:rPr>
        <w:t>O</w:t>
      </w:r>
      <w:r w:rsidR="00182667">
        <w:rPr>
          <w:rFonts w:eastAsiaTheme="majorEastAsia" w:cs="Calibri"/>
        </w:rPr>
        <w:t>rdinance 19267 requires that</w:t>
      </w:r>
      <w:r w:rsidR="00182667" w:rsidRPr="43D3543F">
        <w:rPr>
          <w:rFonts w:eastAsiaTheme="majorEastAsia" w:cs="Calibri"/>
        </w:rPr>
        <w:t xml:space="preserve"> </w:t>
      </w:r>
      <w:r w:rsidR="009C249B">
        <w:rPr>
          <w:rFonts w:eastAsiaTheme="majorEastAsia" w:cs="Calibri"/>
        </w:rPr>
        <w:t xml:space="preserve">22.5 percent of first-year revenues and </w:t>
      </w:r>
      <w:r w:rsidR="00182667" w:rsidRPr="43D3543F">
        <w:rPr>
          <w:rFonts w:eastAsiaTheme="majorEastAsia" w:cs="Calibri"/>
        </w:rPr>
        <w:t>at least $240 million over the life of the levy</w:t>
      </w:r>
      <w:r w:rsidR="00182667">
        <w:rPr>
          <w:rFonts w:eastAsiaTheme="majorEastAsia" w:cs="Calibri"/>
        </w:rPr>
        <w:t xml:space="preserve"> be invested </w:t>
      </w:r>
      <w:r w:rsidR="00182667" w:rsidDel="00A52E11">
        <w:rPr>
          <w:rFonts w:eastAsiaTheme="majorEastAsia" w:cs="Calibri"/>
        </w:rPr>
        <w:t xml:space="preserve">in </w:t>
      </w:r>
      <w:r w:rsidR="00A52E11">
        <w:rPr>
          <w:rFonts w:eastAsiaTheme="majorEastAsia" w:cs="Calibri"/>
        </w:rPr>
        <w:t>Youth and Family Homelessness Prevention Initiative, Child Care Subsid</w:t>
      </w:r>
      <w:r w:rsidR="00337310">
        <w:rPr>
          <w:rFonts w:eastAsiaTheme="majorEastAsia" w:cs="Calibri"/>
        </w:rPr>
        <w:t>y Program</w:t>
      </w:r>
      <w:r w:rsidR="00A52E11">
        <w:rPr>
          <w:rFonts w:eastAsiaTheme="majorEastAsia" w:cs="Calibri"/>
        </w:rPr>
        <w:t xml:space="preserve"> and Wage Demonstration Project, and Technical Assistance and Capacity Building</w:t>
      </w:r>
      <w:r w:rsidR="00182667" w:rsidRPr="43D3543F">
        <w:rPr>
          <w:rFonts w:eastAsiaTheme="majorEastAsia" w:cs="Calibri"/>
        </w:rPr>
        <w:t xml:space="preserve">. </w:t>
      </w:r>
      <w:r w:rsidR="00A56F1C">
        <w:rPr>
          <w:rFonts w:eastAsiaTheme="majorEastAsia" w:cs="Calibri"/>
        </w:rPr>
        <w:t>Contingent on revenue projections exceeding</w:t>
      </w:r>
      <w:r w:rsidR="00F10565">
        <w:rPr>
          <w:rFonts w:eastAsiaTheme="majorEastAsia" w:cs="Calibri"/>
        </w:rPr>
        <w:t xml:space="preserve"> $822 million,</w:t>
      </w:r>
      <w:r w:rsidR="007F1969">
        <w:rPr>
          <w:rFonts w:eastAsiaTheme="majorEastAsia" w:cs="Calibri"/>
        </w:rPr>
        <w:t xml:space="preserve"> up to $50 million </w:t>
      </w:r>
      <w:r w:rsidR="00DD2BEA">
        <w:rPr>
          <w:rFonts w:eastAsiaTheme="majorEastAsia" w:cs="Calibri"/>
        </w:rPr>
        <w:t>is</w:t>
      </w:r>
      <w:r w:rsidR="00F10565">
        <w:rPr>
          <w:rFonts w:eastAsiaTheme="majorEastAsia" w:cs="Calibri"/>
        </w:rPr>
        <w:t xml:space="preserve"> allocated for capital grants.</w:t>
      </w:r>
      <w:r w:rsidR="00F10565">
        <w:rPr>
          <w:rStyle w:val="FootnoteReference"/>
        </w:rPr>
        <w:footnoteReference w:id="20"/>
      </w:r>
      <w:r w:rsidR="00F10565">
        <w:rPr>
          <w:rFonts w:eastAsiaTheme="majorEastAsia" w:cs="Calibri"/>
        </w:rPr>
        <w:t xml:space="preserve"> </w:t>
      </w:r>
      <w:r w:rsidR="00182667">
        <w:rPr>
          <w:rFonts w:eastAsiaTheme="majorEastAsia" w:cs="Calibri"/>
        </w:rPr>
        <w:t>Remaining levy proceeds</w:t>
      </w:r>
      <w:r w:rsidR="00F10565">
        <w:rPr>
          <w:rFonts w:eastAsiaTheme="majorEastAsia" w:cs="Calibri"/>
        </w:rPr>
        <w:t xml:space="preserve"> </w:t>
      </w:r>
      <w:r w:rsidR="00182667">
        <w:rPr>
          <w:rFonts w:eastAsiaTheme="majorEastAsia" w:cs="Calibri"/>
        </w:rPr>
        <w:t xml:space="preserve">are allocated </w:t>
      </w:r>
      <w:r w:rsidR="009E4763">
        <w:rPr>
          <w:rFonts w:eastAsiaTheme="majorEastAsia" w:cs="Calibri"/>
        </w:rPr>
        <w:t xml:space="preserve">according to </w:t>
      </w:r>
      <w:r w:rsidR="00182667">
        <w:rPr>
          <w:rFonts w:eastAsiaTheme="majorEastAsia" w:cs="Calibri"/>
        </w:rPr>
        <w:t>the following percentages:</w:t>
      </w:r>
    </w:p>
    <w:p w14:paraId="12885590" w14:textId="77777777" w:rsidR="00182667" w:rsidRPr="00B7244A" w:rsidRDefault="00182667" w:rsidP="00025030">
      <w:pPr>
        <w:pStyle w:val="ListParagraph"/>
        <w:numPr>
          <w:ilvl w:val="0"/>
          <w:numId w:val="65"/>
        </w:numPr>
        <w:ind w:left="763"/>
        <w:contextualSpacing w:val="0"/>
      </w:pPr>
      <w:r w:rsidRPr="00FE617D">
        <w:rPr>
          <w:rFonts w:eastAsiaTheme="majorEastAsia" w:cs="Calibri"/>
        </w:rPr>
        <w:t>Investing Early at 50</w:t>
      </w:r>
      <w:r>
        <w:rPr>
          <w:rFonts w:eastAsiaTheme="majorEastAsia" w:cs="Calibri"/>
        </w:rPr>
        <w:t xml:space="preserve"> percent</w:t>
      </w:r>
      <w:r w:rsidRPr="00FE617D">
        <w:rPr>
          <w:rFonts w:eastAsiaTheme="majorEastAsia" w:cs="Calibri"/>
        </w:rPr>
        <w:t>,</w:t>
      </w:r>
      <w:r>
        <w:rPr>
          <w:rFonts w:eastAsiaTheme="majorEastAsia" w:cs="Calibri"/>
        </w:rPr>
        <w:t xml:space="preserve"> supports programs for children ages prenatal to five,</w:t>
      </w:r>
    </w:p>
    <w:p w14:paraId="13472D49" w14:textId="20ADCB0C" w:rsidR="00182667" w:rsidRPr="00B7244A" w:rsidRDefault="00182667" w:rsidP="00025030">
      <w:pPr>
        <w:pStyle w:val="ListParagraph"/>
        <w:numPr>
          <w:ilvl w:val="0"/>
          <w:numId w:val="65"/>
        </w:numPr>
        <w:ind w:left="763"/>
        <w:contextualSpacing w:val="0"/>
      </w:pPr>
      <w:r w:rsidRPr="00F64655">
        <w:rPr>
          <w:rFonts w:eastAsiaTheme="majorEastAsia" w:cs="Calibri"/>
        </w:rPr>
        <w:t>Sustain the Gain at 37</w:t>
      </w:r>
      <w:r>
        <w:rPr>
          <w:rFonts w:eastAsiaTheme="majorEastAsia" w:cs="Calibri"/>
        </w:rPr>
        <w:t xml:space="preserve"> percent</w:t>
      </w:r>
      <w:r w:rsidRPr="00F64655">
        <w:rPr>
          <w:rFonts w:eastAsiaTheme="majorEastAsia" w:cs="Calibri"/>
        </w:rPr>
        <w:t xml:space="preserve">, </w:t>
      </w:r>
      <w:r>
        <w:rPr>
          <w:rFonts w:eastAsiaTheme="majorEastAsia" w:cs="Calibri"/>
        </w:rPr>
        <w:t xml:space="preserve">supports services for children and you aged five to </w:t>
      </w:r>
      <w:r w:rsidR="00A522E7">
        <w:rPr>
          <w:rFonts w:eastAsiaTheme="majorEastAsia" w:cs="Calibri"/>
        </w:rPr>
        <w:t>24</w:t>
      </w:r>
      <w:r>
        <w:rPr>
          <w:rFonts w:eastAsiaTheme="majorEastAsia" w:cs="Calibri"/>
        </w:rPr>
        <w:t>,</w:t>
      </w:r>
    </w:p>
    <w:p w14:paraId="2CA1174C" w14:textId="46536054" w:rsidR="00182667" w:rsidRPr="00B7244A" w:rsidRDefault="00182667" w:rsidP="00025030">
      <w:pPr>
        <w:pStyle w:val="ListParagraph"/>
        <w:numPr>
          <w:ilvl w:val="0"/>
          <w:numId w:val="65"/>
        </w:numPr>
        <w:ind w:left="763"/>
        <w:contextualSpacing w:val="0"/>
      </w:pPr>
      <w:r w:rsidRPr="00F64655">
        <w:rPr>
          <w:rFonts w:eastAsiaTheme="majorEastAsia" w:cs="Calibri"/>
        </w:rPr>
        <w:t xml:space="preserve">Communities of Opportunity at </w:t>
      </w:r>
      <w:r w:rsidR="006365BA">
        <w:rPr>
          <w:rFonts w:eastAsiaTheme="majorEastAsia" w:cs="Calibri"/>
        </w:rPr>
        <w:t>eight</w:t>
      </w:r>
      <w:r>
        <w:rPr>
          <w:rFonts w:eastAsiaTheme="majorEastAsia" w:cs="Calibri"/>
        </w:rPr>
        <w:t xml:space="preserve"> percent to impact </w:t>
      </w:r>
      <w:r w:rsidRPr="00D7177E">
        <w:rPr>
          <w:iCs/>
        </w:rPr>
        <w:t>racial and economic equity</w:t>
      </w:r>
      <w:r>
        <w:rPr>
          <w:iCs/>
        </w:rPr>
        <w:t>;</w:t>
      </w:r>
    </w:p>
    <w:p w14:paraId="14D1965D" w14:textId="07A34F9C" w:rsidR="00F64655" w:rsidRPr="00486805" w:rsidRDefault="00182667" w:rsidP="00025030">
      <w:pPr>
        <w:pStyle w:val="ListParagraph"/>
        <w:numPr>
          <w:ilvl w:val="0"/>
          <w:numId w:val="65"/>
        </w:numPr>
        <w:ind w:left="763"/>
        <w:contextualSpacing w:val="0"/>
      </w:pPr>
      <w:r w:rsidRPr="00B7244A">
        <w:rPr>
          <w:rFonts w:eastAsiaTheme="majorEastAsia" w:cs="Calibri"/>
        </w:rPr>
        <w:t xml:space="preserve">Data and Evaluation at </w:t>
      </w:r>
      <w:r w:rsidR="006365BA">
        <w:rPr>
          <w:rFonts w:eastAsiaTheme="majorEastAsia" w:cs="Calibri"/>
        </w:rPr>
        <w:t>five</w:t>
      </w:r>
      <w:r>
        <w:rPr>
          <w:rFonts w:eastAsiaTheme="majorEastAsia" w:cs="Calibri"/>
        </w:rPr>
        <w:t xml:space="preserve"> percent</w:t>
      </w:r>
      <w:r w:rsidRPr="00B7244A">
        <w:rPr>
          <w:rFonts w:eastAsiaTheme="majorEastAsia" w:cs="Calibri"/>
        </w:rPr>
        <w:t>.</w:t>
      </w:r>
      <w:r w:rsidRPr="00F64655">
        <w:rPr>
          <w:rFonts w:eastAsiaTheme="majorEastAsia" w:cs="Calibri"/>
        </w:rPr>
        <w:t xml:space="preserve"> </w:t>
      </w:r>
      <w:r>
        <w:rPr>
          <w:rFonts w:eastAsiaTheme="majorEastAsia" w:cs="Calibri"/>
        </w:rPr>
        <w:t xml:space="preserve">This includes </w:t>
      </w:r>
      <w:r w:rsidRPr="71D2A87E">
        <w:rPr>
          <w:rFonts w:eastAsiaTheme="majorEastAsia" w:cs="Calibri"/>
        </w:rPr>
        <w:t xml:space="preserve">evaluation, stipends for children and youth serving on the </w:t>
      </w:r>
      <w:r>
        <w:rPr>
          <w:rFonts w:eastAsiaTheme="majorEastAsia" w:cs="Calibri"/>
        </w:rPr>
        <w:t>CYAB</w:t>
      </w:r>
      <w:r w:rsidRPr="71D2A87E">
        <w:rPr>
          <w:rFonts w:eastAsiaTheme="majorEastAsia" w:cs="Calibri"/>
        </w:rPr>
        <w:t xml:space="preserve">, and </w:t>
      </w:r>
      <w:r>
        <w:rPr>
          <w:rFonts w:eastAsiaTheme="majorEastAsia" w:cs="Calibri"/>
        </w:rPr>
        <w:t xml:space="preserve">prorationing mitigation </w:t>
      </w:r>
      <w:r w:rsidRPr="71D2A87E">
        <w:rPr>
          <w:rFonts w:eastAsiaTheme="majorEastAsia" w:cs="Calibri"/>
        </w:rPr>
        <w:t xml:space="preserve">to </w:t>
      </w:r>
      <w:r>
        <w:rPr>
          <w:rFonts w:eastAsiaTheme="majorEastAsia" w:cs="Calibri"/>
        </w:rPr>
        <w:t>replace any lost</w:t>
      </w:r>
      <w:r w:rsidRPr="71D2A87E">
        <w:rPr>
          <w:rFonts w:eastAsiaTheme="majorEastAsia" w:cs="Calibri"/>
        </w:rPr>
        <w:t xml:space="preserve"> fire, hospital, and parks districts in the </w:t>
      </w:r>
      <w:r>
        <w:rPr>
          <w:rFonts w:eastAsiaTheme="majorEastAsia" w:cs="Calibri"/>
        </w:rPr>
        <w:t>e</w:t>
      </w:r>
      <w:r w:rsidRPr="71D2A87E">
        <w:rPr>
          <w:rFonts w:eastAsiaTheme="majorEastAsia" w:cs="Calibri"/>
        </w:rPr>
        <w:t>vent this levy suppresses their levies.</w:t>
      </w:r>
      <w:r>
        <w:rPr>
          <w:rStyle w:val="FootnoteReference"/>
          <w:rFonts w:eastAsiaTheme="majorEastAsia" w:cs="Calibri"/>
        </w:rPr>
        <w:footnoteReference w:id="21"/>
      </w:r>
      <w:r>
        <w:rPr>
          <w:rFonts w:eastAsiaTheme="majorEastAsia" w:cs="Calibri"/>
        </w:rPr>
        <w:t xml:space="preserve"> </w:t>
      </w:r>
      <w:r w:rsidRPr="43D3543F">
        <w:rPr>
          <w:rFonts w:eastAsiaTheme="majorEastAsia" w:cs="Calibri"/>
        </w:rPr>
        <w:t xml:space="preserve"> </w:t>
      </w:r>
    </w:p>
    <w:p w14:paraId="0AB86EAF" w14:textId="77777777" w:rsidR="00521983" w:rsidRDefault="00521983" w:rsidP="005E1E94">
      <w:pPr>
        <w:spacing w:line="240" w:lineRule="auto"/>
      </w:pPr>
    </w:p>
    <w:p w14:paraId="6D00408D" w14:textId="5B91D380" w:rsidR="00521983" w:rsidRDefault="00521983" w:rsidP="00521983">
      <w:r>
        <w:t xml:space="preserve">Figure </w:t>
      </w:r>
      <w:r w:rsidR="00AA570F">
        <w:rPr>
          <w:rFonts w:eastAsiaTheme="majorEastAsia" w:cs="Calibri"/>
        </w:rPr>
        <w:t>1</w:t>
      </w:r>
      <w:r>
        <w:rPr>
          <w:rFonts w:eastAsiaTheme="majorEastAsia" w:cs="Calibri"/>
        </w:rPr>
        <w:t xml:space="preserve"> shows proportional spending in the </w:t>
      </w:r>
      <w:r w:rsidR="00AD3279">
        <w:rPr>
          <w:rFonts w:eastAsiaTheme="majorEastAsia" w:cs="Calibri"/>
        </w:rPr>
        <w:t xml:space="preserve">seven </w:t>
      </w:r>
      <w:r>
        <w:rPr>
          <w:rFonts w:eastAsiaTheme="majorEastAsia" w:cs="Calibri"/>
        </w:rPr>
        <w:t xml:space="preserve">categories of </w:t>
      </w:r>
      <w:r w:rsidR="00AD3279">
        <w:rPr>
          <w:rFonts w:eastAsiaTheme="majorEastAsia" w:cs="Calibri"/>
        </w:rPr>
        <w:t xml:space="preserve">operating </w:t>
      </w:r>
      <w:r>
        <w:rPr>
          <w:rFonts w:eastAsiaTheme="majorEastAsia" w:cs="Calibri"/>
        </w:rPr>
        <w:t xml:space="preserve">investment, over the total six-year life of </w:t>
      </w:r>
      <w:r w:rsidRPr="00B7244A">
        <w:rPr>
          <w:rFonts w:eastAsiaTheme="majorEastAsia" w:cs="Calibri"/>
          <w:i/>
          <w:iCs/>
        </w:rPr>
        <w:t>Best Starts’</w:t>
      </w:r>
      <w:r>
        <w:rPr>
          <w:rFonts w:eastAsiaTheme="majorEastAsia" w:cs="Calibri"/>
        </w:rPr>
        <w:t xml:space="preserve"> 2022-2027 levy, based on current projections</w:t>
      </w:r>
      <w:r w:rsidR="00AD3279">
        <w:rPr>
          <w:rFonts w:eastAsiaTheme="majorEastAsia" w:cs="Calibri"/>
        </w:rPr>
        <w:t>, excluding capital investments</w:t>
      </w:r>
      <w:r>
        <w:rPr>
          <w:rFonts w:eastAsiaTheme="majorEastAsia" w:cs="Calibri"/>
        </w:rPr>
        <w:t>.</w:t>
      </w:r>
      <w:r w:rsidRPr="00FA20EE">
        <w:t xml:space="preserve"> </w:t>
      </w:r>
      <w:r>
        <w:t xml:space="preserve">Investing Early (prenatal to five) is the largest investment at a projected $291 million over the life of the levy, followed closely by </w:t>
      </w:r>
      <w:r w:rsidR="00AB3BD0">
        <w:t>S</w:t>
      </w:r>
      <w:r w:rsidR="166D08DE">
        <w:t>ustain</w:t>
      </w:r>
      <w:r>
        <w:t xml:space="preserve"> the </w:t>
      </w:r>
      <w:r w:rsidR="00AB3BD0">
        <w:t>G</w:t>
      </w:r>
      <w:r w:rsidR="166D08DE">
        <w:t>ain (</w:t>
      </w:r>
      <w:r>
        <w:t xml:space="preserve">five to </w:t>
      </w:r>
      <w:r w:rsidR="007E09C6">
        <w:t>24</w:t>
      </w:r>
      <w:r>
        <w:t xml:space="preserve">) at $215 million and </w:t>
      </w:r>
      <w:r w:rsidR="00AB3BD0">
        <w:t>C</w:t>
      </w:r>
      <w:r>
        <w:t>hild</w:t>
      </w:r>
      <w:r w:rsidR="00AB3BD0">
        <w:t xml:space="preserve"> C</w:t>
      </w:r>
      <w:r>
        <w:t xml:space="preserve">are </w:t>
      </w:r>
      <w:r w:rsidR="00AB3BD0">
        <w:t>S</w:t>
      </w:r>
      <w:r>
        <w:t>ubsid</w:t>
      </w:r>
      <w:r w:rsidR="00337310">
        <w:t>y program</w:t>
      </w:r>
      <w:r>
        <w:t xml:space="preserve"> and </w:t>
      </w:r>
      <w:r w:rsidR="00DC53C0">
        <w:t xml:space="preserve">Workforce </w:t>
      </w:r>
      <w:r w:rsidR="00AB3BD0">
        <w:t>B</w:t>
      </w:r>
      <w:r>
        <w:t xml:space="preserve">oost </w:t>
      </w:r>
      <w:r w:rsidR="00AB3BD0">
        <w:t>D</w:t>
      </w:r>
      <w:r>
        <w:t xml:space="preserve">emonstration project at $199 million. </w:t>
      </w:r>
    </w:p>
    <w:p w14:paraId="0834573A" w14:textId="77777777" w:rsidR="00684EBD" w:rsidRDefault="00684EBD" w:rsidP="00521983"/>
    <w:p w14:paraId="2E17B93A" w14:textId="707AD22B" w:rsidR="009878D7" w:rsidRDefault="00DC195A" w:rsidP="00E56DE0">
      <w:pPr>
        <w:pStyle w:val="Caption"/>
        <w:keepNext/>
      </w:pPr>
      <w:r>
        <w:lastRenderedPageBreak/>
        <w:t xml:space="preserve">Figure </w:t>
      </w:r>
      <w:fldSimple w:instr=" SEQ Figure \* ARABIC ">
        <w:r w:rsidR="00BA700A">
          <w:rPr>
            <w:noProof/>
          </w:rPr>
          <w:t>1</w:t>
        </w:r>
      </w:fldSimple>
      <w:r>
        <w:t xml:space="preserve">: </w:t>
      </w:r>
      <w:r w:rsidR="008233FF">
        <w:t xml:space="preserve">Projected Total Expenditures </w:t>
      </w:r>
      <w:r w:rsidR="008233FF" w:rsidRPr="009505F6">
        <w:rPr>
          <w:i w:val="0"/>
        </w:rPr>
        <w:t>2022-2027</w:t>
      </w:r>
      <w:r w:rsidR="008233FF">
        <w:t xml:space="preserve"> Excluding Capital Projects</w:t>
      </w:r>
    </w:p>
    <w:p w14:paraId="446D980D" w14:textId="44C63EF0" w:rsidR="005E1E94" w:rsidRDefault="00CD6CDA" w:rsidP="005E1E94">
      <w:pPr>
        <w:spacing w:line="240" w:lineRule="auto"/>
        <w:rPr>
          <w:rFonts w:eastAsia="Calibri" w:cs="Arial"/>
        </w:rPr>
      </w:pPr>
      <w:r>
        <w:rPr>
          <w:noProof/>
        </w:rPr>
        <w:drawing>
          <wp:inline distT="0" distB="0" distL="0" distR="0" wp14:anchorId="316D7AC1" wp14:editId="500B0BF7">
            <wp:extent cx="5648325" cy="414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8325" cy="4143375"/>
                    </a:xfrm>
                    <a:prstGeom prst="rect">
                      <a:avLst/>
                    </a:prstGeom>
                  </pic:spPr>
                </pic:pic>
              </a:graphicData>
            </a:graphic>
          </wp:inline>
        </w:drawing>
      </w:r>
    </w:p>
    <w:p w14:paraId="7E747B0A" w14:textId="5990F8B8" w:rsidR="0051100F" w:rsidRPr="008233FF" w:rsidRDefault="00890A13" w:rsidP="0051100F">
      <w:pPr>
        <w:spacing w:line="240" w:lineRule="auto"/>
        <w:rPr>
          <w:b/>
          <w:color w:val="7F7F7F" w:themeColor="text1" w:themeTint="80"/>
          <w:sz w:val="20"/>
          <w:szCs w:val="20"/>
        </w:rPr>
      </w:pPr>
      <w:r w:rsidRPr="008233FF">
        <w:rPr>
          <w:i/>
          <w:color w:val="7F7F7F" w:themeColor="text1" w:themeTint="80"/>
          <w:sz w:val="20"/>
          <w:szCs w:val="20"/>
        </w:rPr>
        <w:t>*</w:t>
      </w:r>
      <w:r w:rsidR="00082292" w:rsidRPr="008233FF">
        <w:rPr>
          <w:i/>
          <w:color w:val="7F7F7F" w:themeColor="text1" w:themeTint="80"/>
          <w:sz w:val="20"/>
          <w:szCs w:val="20"/>
        </w:rPr>
        <w:t>Does not include capital project</w:t>
      </w:r>
      <w:r w:rsidR="003D0132" w:rsidRPr="008233FF">
        <w:rPr>
          <w:i/>
          <w:color w:val="7F7F7F" w:themeColor="text1" w:themeTint="80"/>
          <w:sz w:val="20"/>
          <w:szCs w:val="20"/>
        </w:rPr>
        <w:t>s</w:t>
      </w:r>
    </w:p>
    <w:p w14:paraId="14E9554E" w14:textId="77777777" w:rsidR="0043720A" w:rsidRDefault="0043720A" w:rsidP="005E1E94">
      <w:pPr>
        <w:spacing w:line="240" w:lineRule="auto"/>
        <w:rPr>
          <w:b/>
        </w:rPr>
      </w:pPr>
    </w:p>
    <w:p w14:paraId="432446C1" w14:textId="1AAAE6EF" w:rsidR="003D0132" w:rsidRPr="00C256AC" w:rsidRDefault="20673DD2" w:rsidP="005E1E94">
      <w:pPr>
        <w:spacing w:line="240" w:lineRule="auto"/>
        <w:rPr>
          <w:b/>
          <w:color w:val="7F7F7F" w:themeColor="text1" w:themeTint="80"/>
          <w:sz w:val="20"/>
          <w:szCs w:val="20"/>
        </w:rPr>
      </w:pPr>
      <w:r w:rsidRPr="5E4D080D">
        <w:rPr>
          <w:b/>
        </w:rPr>
        <w:t>Invest</w:t>
      </w:r>
      <w:r w:rsidR="11982F83" w:rsidRPr="5E4D080D">
        <w:rPr>
          <w:b/>
        </w:rPr>
        <w:t>ment</w:t>
      </w:r>
      <w:r w:rsidRPr="5E4D080D">
        <w:rPr>
          <w:b/>
        </w:rPr>
        <w:t xml:space="preserve"> Area</w:t>
      </w:r>
      <w:r w:rsidR="0282E6AA" w:rsidRPr="5E4D080D">
        <w:rPr>
          <w:b/>
        </w:rPr>
        <w:t>s</w:t>
      </w:r>
    </w:p>
    <w:p w14:paraId="70211AED" w14:textId="5EDBAF42" w:rsidR="00D76889" w:rsidRPr="00D76889" w:rsidRDefault="003D0132" w:rsidP="00D76889">
      <w:r w:rsidRPr="00450962">
        <w:rPr>
          <w:rFonts w:asciiTheme="minorHAnsi" w:eastAsiaTheme="majorEastAsia" w:hAnsiTheme="minorHAnsi" w:cstheme="minorHAnsi"/>
        </w:rPr>
        <w:t xml:space="preserve">The </w:t>
      </w:r>
      <w:r w:rsidRPr="00450962">
        <w:rPr>
          <w:rFonts w:asciiTheme="minorHAnsi" w:eastAsiaTheme="majorEastAsia" w:hAnsiTheme="minorHAnsi" w:cstheme="minorHAnsi"/>
          <w:i/>
          <w:iCs/>
        </w:rPr>
        <w:t>Best Starts</w:t>
      </w:r>
      <w:r w:rsidRPr="00450962">
        <w:rPr>
          <w:rFonts w:asciiTheme="minorHAnsi" w:eastAsiaTheme="majorEastAsia" w:hAnsiTheme="minorHAnsi" w:cstheme="minorHAnsi"/>
        </w:rPr>
        <w:t xml:space="preserve"> </w:t>
      </w:r>
      <w:r>
        <w:rPr>
          <w:rFonts w:asciiTheme="minorHAnsi" w:eastAsiaTheme="majorEastAsia" w:hAnsiTheme="minorHAnsi" w:cstheme="minorHAnsi"/>
        </w:rPr>
        <w:t xml:space="preserve">2022-2027 </w:t>
      </w:r>
      <w:r w:rsidRPr="00450962">
        <w:rPr>
          <w:rFonts w:asciiTheme="minorHAnsi" w:eastAsiaTheme="majorEastAsia" w:hAnsiTheme="minorHAnsi" w:cstheme="minorHAnsi"/>
        </w:rPr>
        <w:t xml:space="preserve">levy maintains and builds upon the first </w:t>
      </w:r>
      <w:r w:rsidRPr="00450962">
        <w:rPr>
          <w:rFonts w:asciiTheme="minorHAnsi" w:eastAsiaTheme="majorEastAsia" w:hAnsiTheme="minorHAnsi" w:cstheme="minorHAnsi"/>
          <w:i/>
          <w:iCs/>
        </w:rPr>
        <w:t>Best Starts</w:t>
      </w:r>
      <w:r>
        <w:rPr>
          <w:rFonts w:asciiTheme="minorHAnsi" w:eastAsiaTheme="majorEastAsia" w:hAnsiTheme="minorHAnsi" w:cstheme="minorHAnsi"/>
        </w:rPr>
        <w:t xml:space="preserve"> levy’s</w:t>
      </w:r>
      <w:r w:rsidRPr="00450962">
        <w:rPr>
          <w:rFonts w:asciiTheme="minorHAnsi" w:eastAsiaTheme="majorEastAsia" w:hAnsiTheme="minorHAnsi" w:cstheme="minorHAnsi"/>
        </w:rPr>
        <w:t xml:space="preserve"> investments</w:t>
      </w:r>
      <w:r>
        <w:rPr>
          <w:rFonts w:asciiTheme="minorHAnsi" w:eastAsiaTheme="majorEastAsia" w:hAnsiTheme="minorHAnsi" w:cstheme="minorHAnsi"/>
        </w:rPr>
        <w:t>,</w:t>
      </w:r>
      <w:r w:rsidRPr="00450962">
        <w:rPr>
          <w:rFonts w:asciiTheme="minorHAnsi" w:eastAsiaTheme="majorEastAsia" w:hAnsiTheme="minorHAnsi" w:cstheme="minorHAnsi"/>
        </w:rPr>
        <w:t xml:space="preserve"> while </w:t>
      </w:r>
      <w:r>
        <w:rPr>
          <w:rFonts w:asciiTheme="minorHAnsi" w:eastAsiaTheme="majorEastAsia" w:hAnsiTheme="minorHAnsi" w:cstheme="minorHAnsi"/>
        </w:rPr>
        <w:t xml:space="preserve">also </w:t>
      </w:r>
      <w:r w:rsidRPr="00450962">
        <w:rPr>
          <w:rFonts w:asciiTheme="minorHAnsi" w:eastAsiaTheme="majorEastAsia" w:hAnsiTheme="minorHAnsi" w:cstheme="minorHAnsi"/>
        </w:rPr>
        <w:t xml:space="preserve">adding new strategies to address the </w:t>
      </w:r>
      <w:r>
        <w:rPr>
          <w:rFonts w:asciiTheme="minorHAnsi" w:eastAsiaTheme="majorEastAsia" w:hAnsiTheme="minorHAnsi" w:cstheme="minorHAnsi"/>
        </w:rPr>
        <w:t xml:space="preserve">region’s </w:t>
      </w:r>
      <w:r w:rsidRPr="00450962">
        <w:rPr>
          <w:rFonts w:asciiTheme="minorHAnsi" w:eastAsiaTheme="majorEastAsia" w:hAnsiTheme="minorHAnsi" w:cstheme="minorHAnsi"/>
        </w:rPr>
        <w:t xml:space="preserve">critical child care needs, deepening investments in youth, and </w:t>
      </w:r>
      <w:r>
        <w:rPr>
          <w:rFonts w:asciiTheme="minorHAnsi" w:eastAsiaTheme="majorEastAsia" w:hAnsiTheme="minorHAnsi" w:cstheme="minorHAnsi"/>
        </w:rPr>
        <w:t>including</w:t>
      </w:r>
      <w:r w:rsidRPr="00450962">
        <w:rPr>
          <w:rFonts w:asciiTheme="minorHAnsi" w:eastAsiaTheme="majorEastAsia" w:hAnsiTheme="minorHAnsi" w:cstheme="minorHAnsi"/>
        </w:rPr>
        <w:t xml:space="preserve"> opportunities for capital </w:t>
      </w:r>
      <w:r>
        <w:rPr>
          <w:rFonts w:asciiTheme="minorHAnsi" w:eastAsiaTheme="majorEastAsia" w:hAnsiTheme="minorHAnsi" w:cstheme="minorHAnsi"/>
        </w:rPr>
        <w:t>projects</w:t>
      </w:r>
      <w:r w:rsidRPr="00450962">
        <w:rPr>
          <w:rFonts w:asciiTheme="minorHAnsi" w:eastAsiaTheme="majorEastAsia" w:hAnsiTheme="minorHAnsi" w:cstheme="minorHAnsi"/>
        </w:rPr>
        <w:t xml:space="preserve">. </w:t>
      </w:r>
      <w:r>
        <w:t>The following investment areas are detailed within this Implementation Plan</w:t>
      </w:r>
      <w:r w:rsidR="00EC6222">
        <w:t xml:space="preserve"> and briefly outlined in Table </w:t>
      </w:r>
      <w:r w:rsidR="00AA570F">
        <w:t>1</w:t>
      </w:r>
      <w:r w:rsidR="00EC6222">
        <w:t xml:space="preserve">. </w:t>
      </w:r>
    </w:p>
    <w:p w14:paraId="784A5A10" w14:textId="77777777" w:rsidR="00163D9E" w:rsidRDefault="00163D9E" w:rsidP="00163D9E">
      <w:pPr>
        <w:pStyle w:val="Caption"/>
        <w:keepNext/>
      </w:pPr>
    </w:p>
    <w:p w14:paraId="0BCBC6D0" w14:textId="77777777" w:rsidR="00410338" w:rsidRDefault="00410338">
      <w:pPr>
        <w:spacing w:line="240" w:lineRule="auto"/>
        <w:rPr>
          <w:i/>
          <w:iCs/>
          <w:color w:val="44546A" w:themeColor="text2"/>
          <w:sz w:val="18"/>
          <w:szCs w:val="18"/>
        </w:rPr>
      </w:pPr>
      <w:r>
        <w:br w:type="page"/>
      </w:r>
    </w:p>
    <w:p w14:paraId="532955FE" w14:textId="7260EF5D" w:rsidR="00163D9E" w:rsidRDefault="00163D9E" w:rsidP="00163D9E">
      <w:pPr>
        <w:pStyle w:val="Caption"/>
        <w:keepNext/>
      </w:pPr>
      <w:r>
        <w:lastRenderedPageBreak/>
        <w:t xml:space="preserve">Table </w:t>
      </w:r>
      <w:fldSimple w:instr=" SEQ Table \* ARABIC ">
        <w:r w:rsidR="00B8538C">
          <w:rPr>
            <w:noProof/>
          </w:rPr>
          <w:t>1</w:t>
        </w:r>
      </w:fldSimple>
      <w:r>
        <w:t xml:space="preserve">: </w:t>
      </w:r>
      <w:r w:rsidRPr="00412E0A">
        <w:t>Investment Area Descriptions</w:t>
      </w:r>
    </w:p>
    <w:tbl>
      <w:tblPr>
        <w:tblStyle w:val="GridTable4-Accent5"/>
        <w:tblW w:w="9510"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2509"/>
        <w:gridCol w:w="7001"/>
      </w:tblGrid>
      <w:tr w:rsidR="00350F5E" w:rsidRPr="00D03F1F" w14:paraId="01B38092" w14:textId="77777777" w:rsidTr="009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Borders>
              <w:top w:val="none" w:sz="0" w:space="0" w:color="auto"/>
              <w:left w:val="none" w:sz="0" w:space="0" w:color="auto"/>
              <w:bottom w:val="none" w:sz="0" w:space="0" w:color="auto"/>
              <w:right w:val="none" w:sz="0" w:space="0" w:color="auto"/>
            </w:tcBorders>
            <w:vAlign w:val="center"/>
          </w:tcPr>
          <w:p w14:paraId="0A2CD9FD" w14:textId="77777777" w:rsidR="001A1BD9" w:rsidRPr="00D03F1F" w:rsidRDefault="001A1BD9" w:rsidP="007512A0">
            <w:pPr>
              <w:pStyle w:val="NoSpacing"/>
              <w:contextualSpacing/>
              <w:jc w:val="center"/>
              <w:rPr>
                <w:rFonts w:ascii="Calibri" w:eastAsiaTheme="majorEastAsia" w:hAnsi="Calibri" w:cs="Calibri"/>
                <w:sz w:val="24"/>
                <w:szCs w:val="24"/>
              </w:rPr>
            </w:pPr>
            <w:r w:rsidRPr="00D03F1F">
              <w:rPr>
                <w:rFonts w:ascii="Calibri" w:eastAsiaTheme="majorEastAsia" w:hAnsi="Calibri" w:cs="Calibri"/>
                <w:sz w:val="24"/>
                <w:szCs w:val="24"/>
              </w:rPr>
              <w:t xml:space="preserve">Investment </w:t>
            </w:r>
            <w:r>
              <w:rPr>
                <w:rFonts w:ascii="Calibri" w:eastAsiaTheme="majorEastAsia" w:hAnsi="Calibri" w:cs="Calibri"/>
                <w:sz w:val="24"/>
                <w:szCs w:val="24"/>
              </w:rPr>
              <w:t>Areas</w:t>
            </w:r>
          </w:p>
        </w:tc>
        <w:tc>
          <w:tcPr>
            <w:tcW w:w="7001" w:type="dxa"/>
            <w:tcBorders>
              <w:top w:val="none" w:sz="0" w:space="0" w:color="auto"/>
              <w:left w:val="none" w:sz="0" w:space="0" w:color="auto"/>
              <w:bottom w:val="none" w:sz="0" w:space="0" w:color="auto"/>
              <w:right w:val="none" w:sz="0" w:space="0" w:color="auto"/>
            </w:tcBorders>
            <w:vAlign w:val="center"/>
          </w:tcPr>
          <w:p w14:paraId="75B37C46" w14:textId="77777777" w:rsidR="001A1BD9" w:rsidRPr="00D03F1F" w:rsidRDefault="001A1BD9" w:rsidP="007512A0">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sidRPr="00D03F1F">
              <w:rPr>
                <w:rFonts w:ascii="Calibri" w:eastAsiaTheme="majorEastAsia" w:hAnsi="Calibri" w:cs="Calibri"/>
                <w:sz w:val="24"/>
                <w:szCs w:val="24"/>
              </w:rPr>
              <w:t>Description</w:t>
            </w:r>
          </w:p>
        </w:tc>
      </w:tr>
      <w:tr w:rsidR="005747D9" w:rsidRPr="00D03F1F" w14:paraId="78367E03"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5E580D52" w14:textId="343D96BE" w:rsidR="001A1BD9" w:rsidRPr="00D03F1F" w:rsidRDefault="001A1BD9" w:rsidP="007512A0">
            <w:pPr>
              <w:pStyle w:val="NoSpacing"/>
              <w:contextualSpacing/>
              <w:rPr>
                <w:rFonts w:ascii="Calibri" w:eastAsiaTheme="majorEastAsia" w:hAnsi="Calibri" w:cs="Calibri"/>
              </w:rPr>
            </w:pPr>
            <w:r>
              <w:rPr>
                <w:rFonts w:ascii="Calibri" w:eastAsiaTheme="majorEastAsia" w:hAnsi="Calibri" w:cs="Calibri"/>
              </w:rPr>
              <w:t>Child Care Subsid</w:t>
            </w:r>
            <w:r w:rsidR="00337310">
              <w:rPr>
                <w:rFonts w:ascii="Calibri" w:eastAsiaTheme="majorEastAsia" w:hAnsi="Calibri" w:cs="Calibri"/>
              </w:rPr>
              <w:t>y Program</w:t>
            </w:r>
            <w:r>
              <w:rPr>
                <w:rFonts w:ascii="Calibri" w:eastAsiaTheme="majorEastAsia" w:hAnsi="Calibri" w:cs="Calibri"/>
              </w:rPr>
              <w:t xml:space="preserve"> and </w:t>
            </w:r>
            <w:r w:rsidR="00DC53C0">
              <w:rPr>
                <w:rFonts w:ascii="Calibri" w:eastAsiaTheme="majorEastAsia" w:hAnsi="Calibri" w:cs="Calibri"/>
              </w:rPr>
              <w:t>Workforce</w:t>
            </w:r>
            <w:r>
              <w:rPr>
                <w:rFonts w:ascii="Calibri" w:eastAsiaTheme="majorEastAsia" w:hAnsi="Calibri" w:cs="Calibri"/>
              </w:rPr>
              <w:t xml:space="preserve"> Demonstration Project</w:t>
            </w:r>
          </w:p>
        </w:tc>
        <w:tc>
          <w:tcPr>
            <w:tcW w:w="7001" w:type="dxa"/>
          </w:tcPr>
          <w:p w14:paraId="7303EA0A" w14:textId="77777777" w:rsidR="001A1BD9" w:rsidRPr="00D03F1F" w:rsidRDefault="001A1BD9" w:rsidP="007512A0">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cs="Calibri"/>
              </w:rPr>
              <w:t>E</w:t>
            </w:r>
            <w:r w:rsidRPr="43B6473A">
              <w:rPr>
                <w:rFonts w:cs="Calibri"/>
              </w:rPr>
              <w:t>xpand</w:t>
            </w:r>
            <w:r w:rsidRPr="00D03F1F">
              <w:rPr>
                <w:rFonts w:cs="Calibri"/>
              </w:rPr>
              <w:t xml:space="preserve"> access for children and their families who are not eligible for existing </w:t>
            </w:r>
            <w:r w:rsidRPr="7D67B002">
              <w:rPr>
                <w:rFonts w:cs="Calibri"/>
              </w:rPr>
              <w:t xml:space="preserve">federal, state, or local subsidy </w:t>
            </w:r>
            <w:r w:rsidRPr="00D03F1F">
              <w:rPr>
                <w:rFonts w:cs="Calibri"/>
              </w:rPr>
              <w:t>programs</w:t>
            </w:r>
            <w:r>
              <w:rPr>
                <w:rFonts w:cs="Calibri"/>
              </w:rPr>
              <w:t xml:space="preserve"> or for whom these programs are insufficient</w:t>
            </w:r>
            <w:r w:rsidRPr="7D67B002">
              <w:rPr>
                <w:rFonts w:cs="Calibri"/>
              </w:rPr>
              <w:t>.</w:t>
            </w:r>
            <w:r w:rsidRPr="00D03F1F">
              <w:rPr>
                <w:rFonts w:cs="Calibri"/>
              </w:rPr>
              <w:t xml:space="preserve"> </w:t>
            </w:r>
            <w:r>
              <w:rPr>
                <w:rFonts w:cs="Calibri"/>
              </w:rPr>
              <w:t>S</w:t>
            </w:r>
            <w:r w:rsidRPr="00D03F1F">
              <w:rPr>
                <w:rFonts w:cs="Calibri"/>
              </w:rPr>
              <w:t>upport investments in the child care workforce</w:t>
            </w:r>
            <w:r w:rsidRPr="1A4AFED7">
              <w:rPr>
                <w:rFonts w:cs="Calibri"/>
              </w:rPr>
              <w:t xml:space="preserve"> through a wage boost demonstration project</w:t>
            </w:r>
            <w:r>
              <w:rPr>
                <w:rFonts w:cs="Calibri"/>
              </w:rPr>
              <w:t>.</w:t>
            </w:r>
          </w:p>
        </w:tc>
      </w:tr>
      <w:tr w:rsidR="001A1BD9" w:rsidRPr="00D03F1F" w14:paraId="27DDDA50"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5D8D2702"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Invest</w:t>
            </w:r>
            <w:r>
              <w:rPr>
                <w:rFonts w:ascii="Calibri" w:eastAsiaTheme="majorEastAsia" w:hAnsi="Calibri" w:cs="Calibri"/>
              </w:rPr>
              <w:t>ing</w:t>
            </w:r>
            <w:r w:rsidRPr="00D03F1F">
              <w:rPr>
                <w:rFonts w:ascii="Calibri" w:eastAsiaTheme="majorEastAsia" w:hAnsi="Calibri" w:cs="Calibri"/>
              </w:rPr>
              <w:t xml:space="preserve"> Early</w:t>
            </w:r>
            <w:r w:rsidRPr="00D03F1F">
              <w:rPr>
                <w:rStyle w:val="FootnoteReference"/>
                <w:rFonts w:ascii="Calibri" w:eastAsia="Calibri Light" w:hAnsi="Calibri" w:cs="Calibri"/>
                <w:b w:val="0"/>
                <w:bCs w:val="0"/>
              </w:rPr>
              <w:footnoteReference w:id="22"/>
            </w:r>
          </w:p>
        </w:tc>
        <w:tc>
          <w:tcPr>
            <w:tcW w:w="7001" w:type="dxa"/>
          </w:tcPr>
          <w:p w14:paraId="0B1E638D" w14:textId="76BEAE0A"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19278F3E">
              <w:rPr>
                <w:rFonts w:ascii="Calibri" w:eastAsiaTheme="majorEastAsia" w:hAnsi="Calibri" w:cs="Calibri"/>
              </w:rPr>
              <w:t>Support</w:t>
            </w:r>
            <w:r w:rsidRPr="00D03F1F">
              <w:rPr>
                <w:rFonts w:ascii="Calibri" w:eastAsiaTheme="majorEastAsia" w:hAnsi="Calibri" w:cs="Calibri"/>
              </w:rPr>
              <w:t xml:space="preserve"> pregnant individuals</w:t>
            </w:r>
            <w:r>
              <w:rPr>
                <w:rFonts w:ascii="Calibri" w:eastAsiaTheme="majorEastAsia" w:hAnsi="Calibri" w:cs="Calibri"/>
              </w:rPr>
              <w:t>,</w:t>
            </w:r>
            <w:r w:rsidRPr="00D03F1F">
              <w:rPr>
                <w:rFonts w:ascii="Calibri" w:eastAsiaTheme="majorEastAsia" w:hAnsi="Calibri" w:cs="Calibri"/>
              </w:rPr>
              <w:t xml:space="preserve"> babies</w:t>
            </w:r>
            <w:r>
              <w:rPr>
                <w:rFonts w:ascii="Calibri" w:eastAsiaTheme="majorEastAsia" w:hAnsi="Calibri" w:cs="Calibri"/>
              </w:rPr>
              <w:t>,</w:t>
            </w:r>
            <w:r w:rsidRPr="00D03F1F">
              <w:rPr>
                <w:rFonts w:ascii="Calibri" w:eastAsiaTheme="majorEastAsia" w:hAnsi="Calibri" w:cs="Calibri"/>
              </w:rPr>
              <w:t xml:space="preserve"> </w:t>
            </w:r>
            <w:r w:rsidR="00054004">
              <w:rPr>
                <w:rFonts w:ascii="Calibri" w:eastAsiaTheme="majorEastAsia" w:hAnsi="Calibri" w:cs="Calibri"/>
              </w:rPr>
              <w:t xml:space="preserve">and </w:t>
            </w:r>
            <w:r w:rsidRPr="00D03F1F">
              <w:rPr>
                <w:rFonts w:ascii="Calibri" w:eastAsiaTheme="majorEastAsia" w:hAnsi="Calibri" w:cs="Calibri"/>
              </w:rPr>
              <w:t>very young children during their critical developmental years</w:t>
            </w:r>
            <w:r>
              <w:rPr>
                <w:rFonts w:ascii="Calibri" w:eastAsiaTheme="majorEastAsia" w:hAnsi="Calibri" w:cs="Calibri"/>
              </w:rPr>
              <w:t>,</w:t>
            </w:r>
            <w:r w:rsidRPr="00D03F1F">
              <w:rPr>
                <w:rFonts w:ascii="Calibri" w:eastAsiaTheme="majorEastAsia" w:hAnsi="Calibri" w:cs="Calibri"/>
              </w:rPr>
              <w:t xml:space="preserve"> and their parents with a robust system of support services and resources that meet families where they are: home, community, and in child care</w:t>
            </w:r>
            <w:r>
              <w:rPr>
                <w:rFonts w:ascii="Calibri" w:eastAsiaTheme="majorEastAsia" w:hAnsi="Calibri" w:cs="Calibri"/>
              </w:rPr>
              <w:t xml:space="preserve"> to increase optimal child development</w:t>
            </w:r>
            <w:r w:rsidRPr="00D03F1F">
              <w:rPr>
                <w:rFonts w:ascii="Calibri" w:eastAsiaTheme="majorEastAsia" w:hAnsi="Calibri" w:cs="Calibri"/>
              </w:rPr>
              <w:t>.</w:t>
            </w:r>
          </w:p>
        </w:tc>
      </w:tr>
      <w:tr w:rsidR="005747D9" w:rsidRPr="00D03F1F" w14:paraId="305025A3"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050CEA7C"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Sustain the Gain</w:t>
            </w:r>
            <w:r w:rsidRPr="00D03F1F">
              <w:rPr>
                <w:rStyle w:val="FootnoteReference"/>
                <w:rFonts w:ascii="Calibri" w:eastAsia="Calibri Light" w:hAnsi="Calibri" w:cs="Calibri"/>
                <w:b w:val="0"/>
                <w:bCs w:val="0"/>
              </w:rPr>
              <w:footnoteReference w:id="23"/>
            </w:r>
          </w:p>
        </w:tc>
        <w:tc>
          <w:tcPr>
            <w:tcW w:w="7001" w:type="dxa"/>
          </w:tcPr>
          <w:p w14:paraId="5B8C4C18" w14:textId="77777777" w:rsidR="001A1BD9" w:rsidRPr="00D03F1F" w:rsidRDefault="001A1BD9" w:rsidP="007512A0">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Continue progress made with school- and community-based opportunities for children to learn, grow, and develop through childhood, adolescence, and into adulthood.</w:t>
            </w:r>
          </w:p>
        </w:tc>
      </w:tr>
      <w:tr w:rsidR="001A1BD9" w:rsidRPr="00D03F1F" w14:paraId="7ECABAD7"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0DC0ADCB"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Youth and Family Homelessness Initiative</w:t>
            </w:r>
            <w:r w:rsidRPr="00751604">
              <w:rPr>
                <w:rStyle w:val="FootnoteReference"/>
                <w:rFonts w:ascii="Calibri" w:eastAsiaTheme="majorEastAsia" w:hAnsi="Calibri" w:cs="Calibri"/>
                <w:b w:val="0"/>
                <w:bCs w:val="0"/>
              </w:rPr>
              <w:footnoteReference w:id="24"/>
            </w:r>
          </w:p>
        </w:tc>
        <w:tc>
          <w:tcPr>
            <w:tcW w:w="7001" w:type="dxa"/>
          </w:tcPr>
          <w:p w14:paraId="33D7F47A" w14:textId="77777777"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Prevent young people and their families from losing housing.</w:t>
            </w:r>
          </w:p>
        </w:tc>
      </w:tr>
      <w:tr w:rsidR="005747D9" w:rsidRPr="00D03F1F" w14:paraId="70A1F657"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426ED818"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Communities of Opportunity</w:t>
            </w:r>
          </w:p>
        </w:tc>
        <w:tc>
          <w:tcPr>
            <w:tcW w:w="7001" w:type="dxa"/>
          </w:tcPr>
          <w:p w14:paraId="08BDB3A8" w14:textId="337358D8" w:rsidR="001A1BD9" w:rsidRPr="00D03F1F" w:rsidRDefault="001A1BD9" w:rsidP="10FC0F3D">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Support communities to create </w:t>
            </w:r>
            <w:r w:rsidR="7C167CA9" w:rsidRPr="648E33BD">
              <w:rPr>
                <w:rFonts w:ascii="Calibri" w:eastAsiaTheme="majorEastAsia" w:hAnsi="Calibri" w:cs="Calibri"/>
              </w:rPr>
              <w:t>equitable conditions so that children and families can thrive.</w:t>
            </w:r>
          </w:p>
        </w:tc>
      </w:tr>
      <w:tr w:rsidR="001A1BD9" w:rsidRPr="00D03F1F" w14:paraId="7B605949"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10745E4C" w14:textId="77777777" w:rsidR="001A1BD9" w:rsidRPr="00D03F1F" w:rsidRDefault="001A1BD9" w:rsidP="007512A0">
            <w:pPr>
              <w:pStyle w:val="NoSpacing"/>
              <w:contextualSpacing/>
              <w:rPr>
                <w:rFonts w:ascii="Calibri" w:eastAsiaTheme="majorEastAsia" w:hAnsi="Calibri" w:cs="Calibri"/>
                <w:b w:val="0"/>
                <w:bCs w:val="0"/>
              </w:rPr>
            </w:pPr>
            <w:r>
              <w:rPr>
                <w:rFonts w:ascii="Calibri" w:eastAsiaTheme="majorEastAsia" w:hAnsi="Calibri" w:cs="Calibri"/>
              </w:rPr>
              <w:t>Capital Projects</w:t>
            </w:r>
          </w:p>
        </w:tc>
        <w:tc>
          <w:tcPr>
            <w:tcW w:w="7001" w:type="dxa"/>
          </w:tcPr>
          <w:p w14:paraId="5B52324B" w14:textId="2224AC64"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Pr>
                <w:rFonts w:eastAsia="Calibri" w:cs="Calibri"/>
              </w:rPr>
              <w:t>P</w:t>
            </w:r>
            <w:r w:rsidRPr="4BD402C6">
              <w:rPr>
                <w:rFonts w:eastAsia="Calibri" w:cs="Calibri"/>
              </w:rPr>
              <w:t xml:space="preserve">rovide </w:t>
            </w:r>
            <w:r>
              <w:rPr>
                <w:rFonts w:eastAsia="Calibri" w:cs="Calibri"/>
              </w:rPr>
              <w:t xml:space="preserve">monies </w:t>
            </w:r>
            <w:r w:rsidRPr="4BD402C6">
              <w:rPr>
                <w:rFonts w:eastAsia="Calibri" w:cs="Calibri"/>
              </w:rPr>
              <w:t>for facility/building repairs,</w:t>
            </w:r>
            <w:r w:rsidRPr="4BD402C6">
              <w:rPr>
                <w:rFonts w:eastAsia="Calibri" w:cs="Calibri"/>
                <w:color w:val="00B050"/>
              </w:rPr>
              <w:t xml:space="preserve"> </w:t>
            </w:r>
            <w:r w:rsidR="00A728D2">
              <w:rPr>
                <w:rFonts w:eastAsia="Calibri" w:cs="Calibri"/>
              </w:rPr>
              <w:t>renovations</w:t>
            </w:r>
            <w:r w:rsidRPr="65049D61">
              <w:rPr>
                <w:rFonts w:eastAsia="Calibri" w:cs="Calibri"/>
              </w:rPr>
              <w:t xml:space="preserve"> and new construction or expansion to </w:t>
            </w:r>
            <w:r>
              <w:rPr>
                <w:rFonts w:eastAsia="Calibri" w:cs="Calibri"/>
              </w:rPr>
              <w:t>improve</w:t>
            </w:r>
            <w:r w:rsidRPr="65049D61">
              <w:rPr>
                <w:rFonts w:eastAsia="Calibri" w:cs="Calibri"/>
              </w:rPr>
              <w:t xml:space="preserve"> access </w:t>
            </w:r>
            <w:r>
              <w:rPr>
                <w:rFonts w:eastAsia="Calibri" w:cs="Calibri"/>
              </w:rPr>
              <w:t>to</w:t>
            </w:r>
            <w:r w:rsidRPr="65049D61">
              <w:rPr>
                <w:rFonts w:eastAsia="Calibri" w:cs="Calibri"/>
              </w:rPr>
              <w:t xml:space="preserve"> high quality programs and services for low</w:t>
            </w:r>
            <w:r w:rsidR="00FF1DCF">
              <w:rPr>
                <w:rFonts w:eastAsia="Calibri" w:cs="Calibri"/>
              </w:rPr>
              <w:t>-</w:t>
            </w:r>
            <w:r w:rsidRPr="65049D61">
              <w:rPr>
                <w:rFonts w:eastAsia="Calibri" w:cs="Calibri"/>
              </w:rPr>
              <w:t>income children, youth, families and Black, Indigenous, People of Color (BIPOC)</w:t>
            </w:r>
            <w:r>
              <w:rPr>
                <w:rFonts w:eastAsia="Calibri" w:cs="Calibri"/>
              </w:rPr>
              <w:t>.</w:t>
            </w:r>
          </w:p>
        </w:tc>
      </w:tr>
      <w:tr w:rsidR="005747D9" w:rsidRPr="00D03F1F" w14:paraId="4855C265"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A4E30E4" w14:textId="77777777" w:rsidR="001A1BD9" w:rsidRPr="00D03F1F" w:rsidRDefault="001A1BD9" w:rsidP="007512A0">
            <w:pPr>
              <w:pStyle w:val="NoSpacing"/>
              <w:contextualSpacing/>
              <w:rPr>
                <w:rFonts w:ascii="Calibri" w:eastAsiaTheme="majorEastAsia" w:hAnsi="Calibri" w:cs="Calibri"/>
              </w:rPr>
            </w:pPr>
            <w:r>
              <w:rPr>
                <w:rFonts w:ascii="Calibri" w:eastAsiaTheme="majorEastAsia" w:hAnsi="Calibri" w:cs="Calibri"/>
              </w:rPr>
              <w:t>Technical Assistance and Capacity Building</w:t>
            </w:r>
          </w:p>
        </w:tc>
        <w:tc>
          <w:tcPr>
            <w:tcW w:w="7001" w:type="dxa"/>
          </w:tcPr>
          <w:p w14:paraId="64B67FE8" w14:textId="77777777" w:rsidR="001A1BD9" w:rsidRPr="00D03F1F" w:rsidRDefault="001A1BD9" w:rsidP="007512A0">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eastAsia="Calibri" w:cs="Calibri"/>
                <w:color w:val="000000" w:themeColor="text1"/>
              </w:rPr>
              <w:t>O</w:t>
            </w:r>
            <w:r w:rsidRPr="00D03F1F">
              <w:rPr>
                <w:rFonts w:eastAsia="Calibri" w:cs="Calibri"/>
                <w:color w:val="000000" w:themeColor="text1"/>
              </w:rPr>
              <w:t>ffer</w:t>
            </w:r>
            <w:r w:rsidRPr="00D03F1F" w:rsidDel="006E0353">
              <w:rPr>
                <w:rFonts w:eastAsia="Calibri" w:cs="Calibri"/>
                <w:color w:val="000000" w:themeColor="text1"/>
              </w:rPr>
              <w:t>s</w:t>
            </w:r>
            <w:r w:rsidRPr="00D03F1F">
              <w:rPr>
                <w:rFonts w:eastAsia="Calibri" w:cs="Calibri"/>
                <w:color w:val="000000" w:themeColor="text1"/>
              </w:rPr>
              <w:t xml:space="preserve"> free provision and co-creation of information, tools, resources to strengthen the infrastructure of </w:t>
            </w:r>
            <w:r w:rsidRPr="00D03F1F">
              <w:rPr>
                <w:rFonts w:eastAsia="Calibri" w:cs="Calibri"/>
                <w:i/>
                <w:color w:val="000000" w:themeColor="text1"/>
              </w:rPr>
              <w:t>Best Starts</w:t>
            </w:r>
            <w:r w:rsidRPr="00D03F1F">
              <w:rPr>
                <w:rFonts w:eastAsia="Calibri" w:cs="Calibri"/>
                <w:color w:val="000000" w:themeColor="text1"/>
              </w:rPr>
              <w:t>-awarded organizations</w:t>
            </w:r>
            <w:r>
              <w:rPr>
                <w:rFonts w:eastAsia="Calibri" w:cs="Calibri"/>
                <w:color w:val="000000" w:themeColor="text1"/>
              </w:rPr>
              <w:t xml:space="preserve">, and opportunities for areas with service gaps to build capacity. Offers free writing support when applying for </w:t>
            </w:r>
            <w:r w:rsidRPr="005D195B">
              <w:rPr>
                <w:rFonts w:eastAsia="Calibri" w:cs="Calibri"/>
                <w:i/>
                <w:iCs/>
                <w:color w:val="000000" w:themeColor="text1"/>
              </w:rPr>
              <w:t>Best Starts</w:t>
            </w:r>
            <w:r>
              <w:rPr>
                <w:rFonts w:eastAsia="Calibri" w:cs="Calibri"/>
                <w:color w:val="000000" w:themeColor="text1"/>
              </w:rPr>
              <w:t xml:space="preserve"> dollars. </w:t>
            </w:r>
          </w:p>
        </w:tc>
      </w:tr>
      <w:tr w:rsidR="001A1BD9" w:rsidRPr="00D03F1F" w14:paraId="17588CA8"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1D0F71BD" w14:textId="083701CE" w:rsidR="001A1BD9" w:rsidRPr="00D03F1F" w:rsidRDefault="00B26309" w:rsidP="007512A0">
            <w:pPr>
              <w:pStyle w:val="NoSpacing"/>
              <w:contextualSpacing/>
              <w:rPr>
                <w:rFonts w:ascii="Calibri" w:eastAsiaTheme="majorEastAsia" w:hAnsi="Calibri" w:cs="Calibri"/>
              </w:rPr>
            </w:pPr>
            <w:r>
              <w:rPr>
                <w:rFonts w:ascii="Calibri" w:eastAsiaTheme="majorEastAsia" w:hAnsi="Calibri" w:cs="Calibri"/>
              </w:rPr>
              <w:t>Data and Evaluation</w:t>
            </w:r>
          </w:p>
        </w:tc>
        <w:tc>
          <w:tcPr>
            <w:tcW w:w="7001" w:type="dxa"/>
          </w:tcPr>
          <w:p w14:paraId="748B195A" w14:textId="77777777"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Use data and evaluation to </w:t>
            </w:r>
            <w:r>
              <w:rPr>
                <w:rFonts w:ascii="Calibri" w:eastAsiaTheme="majorEastAsia" w:hAnsi="Calibri" w:cs="Calibri"/>
              </w:rPr>
              <w:t>understand</w:t>
            </w:r>
            <w:r w:rsidRPr="00D03F1F">
              <w:rPr>
                <w:rFonts w:ascii="Calibri" w:eastAsiaTheme="majorEastAsia" w:hAnsi="Calibri" w:cs="Calibri"/>
              </w:rPr>
              <w:t xml:space="preserve"> how strategies are benefiting children and communities.</w:t>
            </w:r>
          </w:p>
        </w:tc>
      </w:tr>
    </w:tbl>
    <w:p w14:paraId="7317B999" w14:textId="267460B8" w:rsidR="00B77A32" w:rsidRDefault="00B77A32" w:rsidP="00B77A32">
      <w:pPr>
        <w:rPr>
          <w:rFonts w:asciiTheme="minorHAnsi" w:eastAsiaTheme="majorEastAsia" w:hAnsiTheme="minorHAnsi" w:cstheme="minorHAnsi"/>
        </w:rPr>
      </w:pPr>
    </w:p>
    <w:p w14:paraId="58CCD9EF" w14:textId="7E39A533" w:rsidR="00AE5C2C" w:rsidRPr="003420B4" w:rsidRDefault="00337310" w:rsidP="00AE5C2C">
      <w:pPr>
        <w:rPr>
          <w:rFonts w:eastAsia="Times New Roman" w:cs="Calibri"/>
          <w:b/>
          <w:color w:val="000000"/>
        </w:rPr>
      </w:pPr>
      <w:r>
        <w:rPr>
          <w:rFonts w:asciiTheme="minorHAnsi" w:eastAsiaTheme="majorEastAsia" w:hAnsiTheme="minorHAnsi" w:cstheme="minorHAnsi"/>
          <w:b/>
          <w:bCs/>
        </w:rPr>
        <w:t xml:space="preserve">King County </w:t>
      </w:r>
      <w:r w:rsidR="00823203" w:rsidRPr="00556B28">
        <w:rPr>
          <w:rFonts w:asciiTheme="minorHAnsi" w:eastAsiaTheme="majorEastAsia" w:hAnsiTheme="minorHAnsi" w:cstheme="minorHAnsi"/>
          <w:b/>
          <w:bCs/>
        </w:rPr>
        <w:t xml:space="preserve">Child Care Subsidy </w:t>
      </w:r>
      <w:r>
        <w:rPr>
          <w:rFonts w:asciiTheme="minorHAnsi" w:eastAsiaTheme="majorEastAsia" w:hAnsiTheme="minorHAnsi" w:cstheme="minorHAnsi"/>
          <w:b/>
          <w:bCs/>
        </w:rPr>
        <w:t xml:space="preserve">Program </w:t>
      </w:r>
      <w:r w:rsidR="00F56004" w:rsidRPr="00556B28">
        <w:rPr>
          <w:rFonts w:asciiTheme="minorHAnsi" w:eastAsiaTheme="majorEastAsia" w:hAnsiTheme="minorHAnsi" w:cstheme="minorHAnsi"/>
          <w:b/>
          <w:bCs/>
        </w:rPr>
        <w:t>&amp;</w:t>
      </w:r>
      <w:r w:rsidR="00823203" w:rsidRPr="00556B28">
        <w:rPr>
          <w:rFonts w:asciiTheme="minorHAnsi" w:eastAsiaTheme="majorEastAsia" w:hAnsiTheme="minorHAnsi" w:cstheme="minorHAnsi"/>
          <w:b/>
          <w:bCs/>
        </w:rPr>
        <w:t xml:space="preserve"> </w:t>
      </w:r>
      <w:r w:rsidR="00DC53C0">
        <w:rPr>
          <w:rFonts w:asciiTheme="minorHAnsi" w:eastAsiaTheme="majorEastAsia" w:hAnsiTheme="minorHAnsi" w:cstheme="minorHAnsi"/>
          <w:b/>
          <w:bCs/>
        </w:rPr>
        <w:t>Workforce</w:t>
      </w:r>
      <w:r w:rsidR="00823203" w:rsidRPr="00556B28">
        <w:rPr>
          <w:rFonts w:asciiTheme="minorHAnsi" w:eastAsiaTheme="majorEastAsia" w:hAnsiTheme="minorHAnsi" w:cstheme="minorHAnsi"/>
          <w:b/>
          <w:bCs/>
        </w:rPr>
        <w:t xml:space="preserve"> Demonstration Project</w:t>
      </w:r>
      <w:r w:rsidR="00566A7E" w:rsidRPr="00556B28">
        <w:rPr>
          <w:rFonts w:asciiTheme="minorHAnsi" w:eastAsiaTheme="majorEastAsia" w:hAnsiTheme="minorHAnsi" w:cstheme="minorHAnsi"/>
          <w:b/>
          <w:bCs/>
        </w:rPr>
        <w:t xml:space="preserve"> </w:t>
      </w:r>
      <w:r w:rsidR="00F56004" w:rsidRPr="00556B28">
        <w:rPr>
          <w:rFonts w:asciiTheme="minorHAnsi" w:eastAsiaTheme="majorEastAsia" w:hAnsiTheme="minorHAnsi" w:cstheme="minorHAnsi"/>
          <w:b/>
          <w:bCs/>
        </w:rPr>
        <w:t xml:space="preserve">| </w:t>
      </w:r>
      <w:r w:rsidR="00E92827" w:rsidRPr="00D46709">
        <w:rPr>
          <w:rFonts w:eastAsia="Times New Roman" w:cs="Calibri"/>
          <w:b/>
          <w:i/>
          <w:iCs/>
        </w:rPr>
        <w:t>2022-</w:t>
      </w:r>
      <w:r w:rsidR="00E92827" w:rsidRPr="0071239F">
        <w:rPr>
          <w:rFonts w:eastAsia="Times New Roman" w:cs="Calibri"/>
          <w:b/>
          <w:i/>
          <w:iCs/>
        </w:rPr>
        <w:t>2027</w:t>
      </w:r>
      <w:r w:rsidR="00E92827" w:rsidRPr="0071239F">
        <w:rPr>
          <w:rFonts w:eastAsia="Times New Roman" w:cs="Calibri"/>
          <w:b/>
          <w:bCs/>
          <w:i/>
          <w:iCs/>
        </w:rPr>
        <w:t xml:space="preserve"> </w:t>
      </w:r>
      <w:r w:rsidR="00450F09" w:rsidRPr="003420B4">
        <w:rPr>
          <w:rFonts w:eastAsia="Times New Roman" w:cs="Calibri"/>
          <w:b/>
          <w:i/>
          <w:iCs/>
        </w:rPr>
        <w:t xml:space="preserve">Funding Estimate: </w:t>
      </w:r>
      <w:r w:rsidR="00450F09" w:rsidRPr="003420B4">
        <w:rPr>
          <w:rFonts w:eastAsia="Times New Roman" w:cs="Calibri"/>
          <w:b/>
          <w:i/>
          <w:iCs/>
          <w:color w:val="000000"/>
        </w:rPr>
        <w:t>$199,</w:t>
      </w:r>
      <w:r w:rsidR="006C2D86">
        <w:rPr>
          <w:rFonts w:eastAsia="Times New Roman" w:cs="Calibri"/>
          <w:b/>
          <w:i/>
          <w:iCs/>
          <w:color w:val="000000"/>
        </w:rPr>
        <w:t>341</w:t>
      </w:r>
      <w:r w:rsidR="00450F09" w:rsidRPr="003420B4">
        <w:rPr>
          <w:rFonts w:eastAsia="Times New Roman" w:cs="Calibri"/>
          <w:b/>
          <w:i/>
          <w:iCs/>
          <w:color w:val="000000"/>
        </w:rPr>
        <w:t>,000</w:t>
      </w:r>
    </w:p>
    <w:p w14:paraId="441017A4" w14:textId="048392E3" w:rsidR="00427387" w:rsidRDefault="001602AE" w:rsidP="0093477B">
      <w:pPr>
        <w:contextualSpacing/>
        <w:rPr>
          <w:rStyle w:val="Hyperlink"/>
          <w:rFonts w:eastAsia="Calibri" w:cs="Calibri"/>
        </w:rPr>
      </w:pPr>
      <w:r w:rsidRPr="00D03F1F">
        <w:rPr>
          <w:rFonts w:cs="Calibri"/>
          <w:i/>
        </w:rPr>
        <w:t>Best Starts</w:t>
      </w:r>
      <w:r w:rsidRPr="00D03F1F">
        <w:rPr>
          <w:rFonts w:cs="Calibri"/>
        </w:rPr>
        <w:t xml:space="preserve"> funding provides a new opportunity for King County to lead in strengthening child care as critical infrastructure</w:t>
      </w:r>
      <w:r w:rsidR="009F35C1">
        <w:rPr>
          <w:rFonts w:cs="Calibri"/>
        </w:rPr>
        <w:t>.</w:t>
      </w:r>
      <w:r w:rsidRPr="00D03F1F">
        <w:rPr>
          <w:rFonts w:cs="Calibri"/>
        </w:rPr>
        <w:t xml:space="preserve"> </w:t>
      </w:r>
      <w:r w:rsidR="009F35C1" w:rsidRPr="71D2A87E">
        <w:rPr>
          <w:rFonts w:eastAsia="Calibri" w:cs="Calibri"/>
          <w:i/>
          <w:iCs/>
          <w:color w:val="000000" w:themeColor="text1"/>
        </w:rPr>
        <w:t>Best Starts</w:t>
      </w:r>
      <w:r w:rsidR="009F35C1" w:rsidRPr="71D2A87E">
        <w:rPr>
          <w:rFonts w:eastAsia="Calibri" w:cs="Calibri"/>
          <w:color w:val="000000" w:themeColor="text1"/>
        </w:rPr>
        <w:t xml:space="preserve"> </w:t>
      </w:r>
      <w:r w:rsidR="009F35C1" w:rsidRPr="6A626998">
        <w:rPr>
          <w:rFonts w:eastAsia="Calibri" w:cs="Calibri"/>
          <w:color w:val="000000" w:themeColor="text1"/>
        </w:rPr>
        <w:t>will</w:t>
      </w:r>
      <w:r w:rsidR="009F35C1" w:rsidRPr="71D2A87E">
        <w:rPr>
          <w:rFonts w:eastAsia="Calibri" w:cs="Calibri"/>
          <w:color w:val="000000" w:themeColor="text1"/>
        </w:rPr>
        <w:t xml:space="preserve"> partner with one or more intermediaries to administer subsidies to </w:t>
      </w:r>
      <w:r w:rsidR="002F3B07">
        <w:rPr>
          <w:rFonts w:eastAsia="Calibri" w:cs="Calibri"/>
          <w:color w:val="000000" w:themeColor="text1"/>
        </w:rPr>
        <w:t>expand access to</w:t>
      </w:r>
      <w:r w:rsidR="009F35C1" w:rsidRPr="71D2A87E">
        <w:rPr>
          <w:rFonts w:eastAsia="Calibri" w:cs="Calibri"/>
          <w:color w:val="000000" w:themeColor="text1"/>
        </w:rPr>
        <w:t xml:space="preserve"> child care at licensed centers or family child care sites for approximately 3,000 children </w:t>
      </w:r>
      <w:r w:rsidR="00842DE2">
        <w:rPr>
          <w:rFonts w:eastAsia="Calibri" w:cs="Calibri"/>
          <w:color w:val="000000" w:themeColor="text1"/>
        </w:rPr>
        <w:t>aged birth to</w:t>
      </w:r>
      <w:r w:rsidR="000C1D4B">
        <w:rPr>
          <w:rFonts w:eastAsia="Calibri" w:cs="Calibri"/>
          <w:color w:val="000000" w:themeColor="text1"/>
        </w:rPr>
        <w:t xml:space="preserve"> </w:t>
      </w:r>
      <w:r w:rsidR="009F35C1" w:rsidRPr="71D2A87E">
        <w:rPr>
          <w:rFonts w:eastAsia="Calibri" w:cs="Calibri"/>
          <w:color w:val="000000" w:themeColor="text1"/>
        </w:rPr>
        <w:t>12 and their families.</w:t>
      </w:r>
      <w:r w:rsidR="009F35C1" w:rsidRPr="009F35C1">
        <w:rPr>
          <w:rFonts w:eastAsia="Calibri" w:cs="Calibri"/>
          <w:color w:val="000000" w:themeColor="text1"/>
        </w:rPr>
        <w:t xml:space="preserve"> </w:t>
      </w:r>
      <w:r w:rsidR="009F35C1" w:rsidRPr="71D2A87E">
        <w:rPr>
          <w:rFonts w:eastAsia="Calibri" w:cs="Calibri"/>
          <w:color w:val="000000" w:themeColor="text1"/>
        </w:rPr>
        <w:t xml:space="preserve">The proposed </w:t>
      </w:r>
      <w:r w:rsidR="009F35C1" w:rsidRPr="71D2A87E">
        <w:rPr>
          <w:rFonts w:eastAsia="Calibri" w:cs="Calibri"/>
          <w:i/>
          <w:iCs/>
          <w:color w:val="000000" w:themeColor="text1"/>
        </w:rPr>
        <w:t>Best Starts for Kids</w:t>
      </w:r>
      <w:r w:rsidR="009F35C1" w:rsidRPr="71D2A87E">
        <w:rPr>
          <w:rFonts w:eastAsia="Calibri" w:cs="Calibri"/>
          <w:color w:val="000000" w:themeColor="text1"/>
        </w:rPr>
        <w:t xml:space="preserve"> </w:t>
      </w:r>
      <w:r w:rsidR="00DC53C0">
        <w:rPr>
          <w:rFonts w:eastAsia="Calibri" w:cs="Calibri"/>
          <w:color w:val="000000" w:themeColor="text1"/>
        </w:rPr>
        <w:t>Workforce</w:t>
      </w:r>
      <w:r w:rsidR="009F35C1" w:rsidRPr="71D2A87E">
        <w:rPr>
          <w:rFonts w:eastAsia="Calibri" w:cs="Calibri"/>
          <w:color w:val="000000" w:themeColor="text1"/>
        </w:rPr>
        <w:t xml:space="preserve"> Demonstration Project will allocate at least $5 million annually to provide a salary supplement to </w:t>
      </w:r>
      <w:r w:rsidR="00EB7D52">
        <w:rPr>
          <w:rFonts w:eastAsia="Calibri" w:cs="Calibri"/>
          <w:color w:val="000000" w:themeColor="text1"/>
        </w:rPr>
        <w:t xml:space="preserve">up to 1,400 </w:t>
      </w:r>
      <w:r w:rsidR="009F35C1" w:rsidRPr="71D2A87E">
        <w:rPr>
          <w:rFonts w:eastAsia="Calibri" w:cs="Calibri"/>
          <w:color w:val="000000" w:themeColor="text1"/>
        </w:rPr>
        <w:t xml:space="preserve">low-paid child care providers working with children aged birth to </w:t>
      </w:r>
      <w:r w:rsidR="00085354">
        <w:rPr>
          <w:rFonts w:eastAsia="Calibri" w:cs="Calibri"/>
          <w:color w:val="000000" w:themeColor="text1"/>
        </w:rPr>
        <w:t>12</w:t>
      </w:r>
      <w:r w:rsidR="00085354" w:rsidRPr="71D2A87E">
        <w:rPr>
          <w:rFonts w:eastAsia="Calibri" w:cs="Calibri"/>
          <w:color w:val="000000" w:themeColor="text1"/>
        </w:rPr>
        <w:t xml:space="preserve"> </w:t>
      </w:r>
      <w:r w:rsidR="009F35C1" w:rsidRPr="71D2A87E">
        <w:rPr>
          <w:rFonts w:eastAsia="Calibri" w:cs="Calibri"/>
          <w:color w:val="000000" w:themeColor="text1"/>
        </w:rPr>
        <w:t xml:space="preserve">in King County. </w:t>
      </w:r>
    </w:p>
    <w:p w14:paraId="3536FA71" w14:textId="39E044AB" w:rsidR="00AE5C2C" w:rsidRDefault="00AF3DBB" w:rsidP="00AE5C2C">
      <w:pPr>
        <w:contextualSpacing/>
        <w:rPr>
          <w:rFonts w:eastAsia="Times New Roman" w:cs="Calibri"/>
          <w:b/>
          <w:i/>
          <w:color w:val="000000"/>
        </w:rPr>
      </w:pPr>
      <w:r>
        <w:rPr>
          <w:rFonts w:eastAsia="Calibri" w:cs="Calibri"/>
          <w:b/>
          <w:bCs/>
          <w:color w:val="000000" w:themeColor="text1"/>
        </w:rPr>
        <w:lastRenderedPageBreak/>
        <w:t xml:space="preserve">Investing Early </w:t>
      </w:r>
      <w:r w:rsidRPr="00AF2C77">
        <w:rPr>
          <w:rFonts w:eastAsia="Calibri" w:cs="Calibri"/>
          <w:b/>
          <w:bCs/>
          <w:color w:val="000000" w:themeColor="text1"/>
        </w:rPr>
        <w:t xml:space="preserve">| </w:t>
      </w:r>
      <w:r w:rsidR="00E92827" w:rsidRPr="00D46709">
        <w:rPr>
          <w:rFonts w:eastAsia="Times New Roman" w:cs="Calibri"/>
          <w:b/>
          <w:i/>
          <w:iCs/>
        </w:rPr>
        <w:t>2022-2027</w:t>
      </w:r>
      <w:r w:rsidR="00E92827" w:rsidRPr="00D46709">
        <w:rPr>
          <w:rFonts w:eastAsia="Times New Roman" w:cs="Calibri"/>
          <w:b/>
          <w:bCs/>
          <w:i/>
          <w:iCs/>
        </w:rPr>
        <w:t xml:space="preserve"> </w:t>
      </w:r>
      <w:r w:rsidR="00AF2C77" w:rsidRPr="003420B4">
        <w:rPr>
          <w:rFonts w:eastAsia="Times New Roman" w:cs="Calibri"/>
          <w:b/>
          <w:bCs/>
          <w:i/>
          <w:iCs/>
        </w:rPr>
        <w:t xml:space="preserve">Funding Estimate: </w:t>
      </w:r>
      <w:r w:rsidR="00AF2C77" w:rsidRPr="003420B4">
        <w:rPr>
          <w:rFonts w:eastAsia="Times New Roman" w:cs="Calibri"/>
          <w:b/>
          <w:bCs/>
          <w:i/>
          <w:iCs/>
          <w:color w:val="000000"/>
        </w:rPr>
        <w:t>$291,011,000</w:t>
      </w:r>
    </w:p>
    <w:p w14:paraId="1A403055" w14:textId="5481CD48" w:rsidR="00B77A32" w:rsidRDefault="00427387" w:rsidP="00B77A32">
      <w:pPr>
        <w:rPr>
          <w:rFonts w:asciiTheme="minorHAnsi" w:eastAsiaTheme="majorEastAsia" w:hAnsiTheme="minorHAnsi" w:cstheme="minorHAnsi"/>
        </w:rPr>
      </w:pPr>
      <w:r w:rsidRPr="00354EFE">
        <w:rPr>
          <w:rFonts w:cs="Calibri"/>
          <w:i/>
        </w:rPr>
        <w:t>Best Starts</w:t>
      </w:r>
      <w:r w:rsidRPr="00740AB1">
        <w:rPr>
          <w:rFonts w:cs="Calibri"/>
        </w:rPr>
        <w:t xml:space="preserve"> invests early to support pregnant and parenting families, infants, very young children, and caregivers during the critical first five years of life</w:t>
      </w:r>
      <w:r w:rsidR="0005402C">
        <w:rPr>
          <w:rFonts w:cs="Calibri"/>
        </w:rPr>
        <w:t xml:space="preserve">. </w:t>
      </w:r>
      <w:r w:rsidR="0005402C" w:rsidRPr="008461EB">
        <w:rPr>
          <w:rFonts w:cs="Calibri"/>
          <w:i/>
          <w:iCs/>
        </w:rPr>
        <w:t>Best Starts’</w:t>
      </w:r>
      <w:r w:rsidRPr="00740AB1">
        <w:rPr>
          <w:rFonts w:cs="Calibri"/>
        </w:rPr>
        <w:t xml:space="preserve"> robust system of support services and resources meet families where </w:t>
      </w:r>
      <w:r>
        <w:rPr>
          <w:rFonts w:cs="Calibri"/>
        </w:rPr>
        <w:t xml:space="preserve">they are, either </w:t>
      </w:r>
      <w:r w:rsidRPr="00740AB1">
        <w:rPr>
          <w:rFonts w:cs="Calibri"/>
        </w:rPr>
        <w:t xml:space="preserve">at home, in the community, </w:t>
      </w:r>
      <w:r>
        <w:rPr>
          <w:rFonts w:cs="Calibri"/>
        </w:rPr>
        <w:t>or</w:t>
      </w:r>
      <w:r w:rsidRPr="00740AB1">
        <w:rPr>
          <w:rFonts w:cs="Calibri"/>
        </w:rPr>
        <w:t xml:space="preserve"> wherever children are cared for.</w:t>
      </w:r>
      <w:r>
        <w:rPr>
          <w:rFonts w:cs="Calibri"/>
        </w:rPr>
        <w:t xml:space="preserve"> </w:t>
      </w:r>
      <w:r w:rsidR="0005402C">
        <w:rPr>
          <w:rFonts w:cs="Calibri"/>
        </w:rPr>
        <w:t xml:space="preserve">Table </w:t>
      </w:r>
      <w:r w:rsidR="003A6AD1">
        <w:rPr>
          <w:rFonts w:cs="Calibri"/>
        </w:rPr>
        <w:t>2</w:t>
      </w:r>
      <w:r w:rsidR="0005402C">
        <w:rPr>
          <w:rFonts w:cs="Calibri"/>
        </w:rPr>
        <w:t xml:space="preserve"> </w:t>
      </w:r>
      <w:r w:rsidR="00E863AB">
        <w:rPr>
          <w:rFonts w:cs="Calibri"/>
        </w:rPr>
        <w:t>summarizes</w:t>
      </w:r>
      <w:r>
        <w:rPr>
          <w:rFonts w:cs="Calibri"/>
        </w:rPr>
        <w:t xml:space="preserve"> </w:t>
      </w:r>
      <w:r w:rsidR="00DA5EE7">
        <w:rPr>
          <w:rFonts w:cs="Calibri"/>
        </w:rPr>
        <w:t>I</w:t>
      </w:r>
      <w:r>
        <w:rPr>
          <w:rFonts w:cs="Calibri"/>
        </w:rPr>
        <w:t xml:space="preserve">nvesting </w:t>
      </w:r>
      <w:r w:rsidR="00DA5EE7">
        <w:rPr>
          <w:rFonts w:cs="Calibri"/>
        </w:rPr>
        <w:t>E</w:t>
      </w:r>
      <w:r>
        <w:rPr>
          <w:rFonts w:cs="Calibri"/>
        </w:rPr>
        <w:t>arly strategies</w:t>
      </w:r>
      <w:r w:rsidR="00791013">
        <w:rPr>
          <w:rFonts w:cs="Calibri"/>
        </w:rPr>
        <w:t xml:space="preserve">. </w:t>
      </w:r>
    </w:p>
    <w:p w14:paraId="50E19A28" w14:textId="521237B8" w:rsidR="00EE0862" w:rsidRDefault="00EE0862" w:rsidP="003420B4">
      <w:pPr>
        <w:pStyle w:val="Caption"/>
        <w:keepNext/>
        <w:spacing w:after="0"/>
      </w:pPr>
    </w:p>
    <w:p w14:paraId="3B6E96D2" w14:textId="37B60AF1" w:rsidR="003A6AD1" w:rsidRDefault="003A6AD1" w:rsidP="003A6AD1">
      <w:pPr>
        <w:pStyle w:val="Caption"/>
        <w:keepNext/>
      </w:pPr>
      <w:r>
        <w:t xml:space="preserve">Table </w:t>
      </w:r>
      <w:fldSimple w:instr=" SEQ Table \* ARABIC ">
        <w:r w:rsidR="00B8538C">
          <w:rPr>
            <w:noProof/>
          </w:rPr>
          <w:t>2</w:t>
        </w:r>
      </w:fldSimple>
      <w:r>
        <w:t xml:space="preserve">: </w:t>
      </w:r>
      <w:r w:rsidRPr="005903E6">
        <w:t>Investing Early Strategies Funding Estimates</w:t>
      </w:r>
    </w:p>
    <w:tbl>
      <w:tblPr>
        <w:tblW w:w="9705" w:type="dxa"/>
        <w:tblLook w:val="04A0" w:firstRow="1" w:lastRow="0" w:firstColumn="1" w:lastColumn="0" w:noHBand="0" w:noVBand="1"/>
      </w:tblPr>
      <w:tblGrid>
        <w:gridCol w:w="8175"/>
        <w:gridCol w:w="1530"/>
      </w:tblGrid>
      <w:tr w:rsidR="00972D40" w:rsidRPr="00EF61F1" w14:paraId="0E1EA3BA" w14:textId="16057E37" w:rsidTr="00166466">
        <w:trPr>
          <w:trHeight w:val="510"/>
        </w:trPr>
        <w:tc>
          <w:tcPr>
            <w:tcW w:w="8175"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16C35721" w14:textId="77777777" w:rsidR="00972D40" w:rsidRPr="008D18DF" w:rsidRDefault="00972D40" w:rsidP="00A449EA">
            <w:pPr>
              <w:spacing w:line="240" w:lineRule="auto"/>
              <w:rPr>
                <w:rFonts w:eastAsia="Times New Roman" w:cs="Calibri"/>
                <w:b/>
                <w:i/>
              </w:rPr>
            </w:pPr>
            <w:r w:rsidRPr="008D18DF">
              <w:rPr>
                <w:rFonts w:eastAsia="Times New Roman" w:cs="Calibri"/>
                <w:b/>
                <w:i/>
              </w:rPr>
              <w:t>Strategy</w:t>
            </w:r>
          </w:p>
        </w:tc>
        <w:tc>
          <w:tcPr>
            <w:tcW w:w="1530" w:type="dxa"/>
            <w:tcBorders>
              <w:top w:val="single" w:sz="12" w:space="0" w:color="FFD966"/>
              <w:left w:val="nil"/>
              <w:bottom w:val="single" w:sz="8" w:space="0" w:color="FFD966"/>
              <w:right w:val="single" w:sz="12" w:space="0" w:color="FFD966"/>
            </w:tcBorders>
            <w:shd w:val="clear" w:color="000000" w:fill="D9E1F2"/>
            <w:noWrap/>
            <w:vAlign w:val="center"/>
            <w:hideMark/>
          </w:tcPr>
          <w:p w14:paraId="5EF23D18" w14:textId="77777777" w:rsidR="00972D40" w:rsidRPr="008D18DF" w:rsidRDefault="00972D40" w:rsidP="00A449EA">
            <w:pPr>
              <w:spacing w:line="240" w:lineRule="auto"/>
              <w:jc w:val="right"/>
              <w:rPr>
                <w:rFonts w:eastAsia="Times New Roman" w:cs="Calibri"/>
                <w:b/>
                <w:i/>
              </w:rPr>
            </w:pPr>
            <w:r w:rsidRPr="003420B4">
              <w:rPr>
                <w:rFonts w:eastAsia="Times New Roman" w:cs="Calibri"/>
                <w:b/>
                <w:i/>
                <w:iCs/>
              </w:rPr>
              <w:t>2022-2027</w:t>
            </w:r>
            <w:r w:rsidRPr="008D18DF">
              <w:rPr>
                <w:rFonts w:eastAsia="Times New Roman" w:cs="Calibri"/>
                <w:b/>
                <w:i/>
              </w:rPr>
              <w:t xml:space="preserve"> Funding Estimate</w:t>
            </w:r>
          </w:p>
        </w:tc>
      </w:tr>
      <w:tr w:rsidR="00972D40" w:rsidRPr="00EF61F1" w14:paraId="58A9237E" w14:textId="7F5E0562"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487BE086" w14:textId="33FD4427"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Maternal and Child Health Services</w:t>
            </w:r>
            <w:r w:rsidRPr="00C4644D">
              <w:rPr>
                <w:rFonts w:eastAsia="Times New Roman" w:cs="Calibri"/>
              </w:rPr>
              <w:t xml:space="preserve"> provide a range of vital supports at home, clinic, and community settings to pregnant individuals and parenting families</w:t>
            </w:r>
            <w:r w:rsidR="004020FD">
              <w:rPr>
                <w:rFonts w:eastAsia="Times New Roman" w:cs="Calibri"/>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5361593C"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$89,024,000 </w:t>
            </w:r>
          </w:p>
        </w:tc>
      </w:tr>
      <w:tr w:rsidR="00972D40" w:rsidRPr="00EF61F1" w14:paraId="18553A20" w14:textId="6AD54D14"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6BC38AA9" w14:textId="5FA091AC"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Home-Based Services</w:t>
            </w:r>
            <w:r w:rsidRPr="00D03F1F">
              <w:rPr>
                <w:rFonts w:eastAsia="Calibri" w:cs="Calibri"/>
              </w:rPr>
              <w:t xml:space="preserve"> provides relationship-based support to </w:t>
            </w:r>
            <w:r>
              <w:rPr>
                <w:rFonts w:eastAsia="Calibri" w:cs="Calibri"/>
              </w:rPr>
              <w:t>expecting parents</w:t>
            </w:r>
            <w:r w:rsidRPr="00D03F1F">
              <w:rPr>
                <w:rFonts w:eastAsia="Calibri" w:cs="Calibri"/>
              </w:rPr>
              <w:t xml:space="preserve"> and parents of children</w:t>
            </w:r>
            <w:r>
              <w:rPr>
                <w:rFonts w:eastAsia="Calibri" w:cs="Calibri"/>
              </w:rPr>
              <w:t xml:space="preserve"> aged </w:t>
            </w:r>
            <w:r w:rsidRPr="00D03F1F">
              <w:rPr>
                <w:rFonts w:eastAsia="Calibri" w:cs="Calibri"/>
              </w:rPr>
              <w:t>birth to five in the places they live.</w:t>
            </w:r>
          </w:p>
        </w:tc>
        <w:tc>
          <w:tcPr>
            <w:tcW w:w="1530" w:type="dxa"/>
            <w:tcBorders>
              <w:top w:val="nil"/>
              <w:left w:val="nil"/>
              <w:bottom w:val="single" w:sz="8" w:space="0" w:color="FFD966"/>
              <w:right w:val="single" w:sz="12" w:space="0" w:color="FFD966"/>
            </w:tcBorders>
            <w:shd w:val="clear" w:color="auto" w:fill="auto"/>
            <w:noWrap/>
            <w:vAlign w:val="center"/>
            <w:hideMark/>
          </w:tcPr>
          <w:p w14:paraId="47AB7931"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$63,398,000 </w:t>
            </w:r>
          </w:p>
        </w:tc>
      </w:tr>
      <w:tr w:rsidR="00972D40" w:rsidRPr="00EF61F1" w14:paraId="38B49186" w14:textId="3A662626"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18A391A1" w14:textId="7D9A8C26"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 xml:space="preserve">Community-Based Parenting </w:t>
            </w:r>
            <w:r w:rsidRPr="0062013F">
              <w:rPr>
                <w:rFonts w:eastAsia="Times New Roman" w:cs="Calibri"/>
                <w:b/>
                <w:bCs/>
                <w:color w:val="000000"/>
              </w:rPr>
              <w:t>Supports</w:t>
            </w:r>
            <w:r w:rsidRPr="008461EB">
              <w:rPr>
                <w:b/>
                <w:bCs/>
              </w:rPr>
              <w:t xml:space="preserve"> (CBPS)</w:t>
            </w:r>
            <w:r>
              <w:t xml:space="preserve"> provides community-centered, peer-based services to pregnant individuals, parents, and caregivers of children aged birth to five.</w:t>
            </w:r>
          </w:p>
        </w:tc>
        <w:tc>
          <w:tcPr>
            <w:tcW w:w="1530" w:type="dxa"/>
            <w:tcBorders>
              <w:top w:val="nil"/>
              <w:left w:val="nil"/>
              <w:bottom w:val="single" w:sz="8" w:space="0" w:color="FFD966"/>
              <w:right w:val="single" w:sz="12" w:space="0" w:color="FFD966"/>
            </w:tcBorders>
            <w:shd w:val="clear" w:color="auto" w:fill="auto"/>
            <w:noWrap/>
            <w:vAlign w:val="center"/>
            <w:hideMark/>
          </w:tcPr>
          <w:p w14:paraId="56168336"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$24,091,000 </w:t>
            </w:r>
          </w:p>
        </w:tc>
      </w:tr>
      <w:tr w:rsidR="00972D40" w:rsidRPr="00EF61F1" w14:paraId="7FD0366B" w14:textId="328F9460" w:rsidTr="00166466">
        <w:trPr>
          <w:trHeight w:val="611"/>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023F9288" w14:textId="32D00E4D"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Early Support for Infants and Toddlers</w:t>
            </w:r>
            <w:r w:rsidR="00E9777C">
              <w:rPr>
                <w:rFonts w:eastAsia="Times New Roman" w:cs="Calibri"/>
                <w:b/>
                <w:bCs/>
                <w:color w:val="000000"/>
              </w:rPr>
              <w:t xml:space="preserve"> (ESIT)</w:t>
            </w:r>
            <w:r>
              <w:rPr>
                <w:rFonts w:eastAsia="Calibri" w:cs="Calibri"/>
                <w:color w:val="000000" w:themeColor="text1"/>
              </w:rPr>
              <w:t xml:space="preserve"> promotes equitable outcomes for</w:t>
            </w:r>
            <w:r w:rsidRPr="00D03F1F">
              <w:rPr>
                <w:rFonts w:eastAsia="Calibri" w:cs="Calibri"/>
                <w:color w:val="000000" w:themeColor="text1"/>
              </w:rPr>
              <w:t xml:space="preserve"> families with children, age</w:t>
            </w:r>
            <w:r>
              <w:rPr>
                <w:rFonts w:eastAsia="Calibri" w:cs="Calibri"/>
                <w:color w:val="000000" w:themeColor="text1"/>
              </w:rPr>
              <w:t xml:space="preserve">d </w:t>
            </w:r>
            <w:r w:rsidRPr="00D03F1F">
              <w:rPr>
                <w:rFonts w:eastAsia="Calibri" w:cs="Calibri"/>
                <w:color w:val="000000" w:themeColor="text1"/>
              </w:rPr>
              <w:t>birth to three, who have developmental delays or di</w:t>
            </w:r>
            <w:r>
              <w:rPr>
                <w:rFonts w:eastAsia="Calibri" w:cs="Calibri"/>
                <w:color w:val="000000" w:themeColor="text1"/>
              </w:rPr>
              <w:t>s</w:t>
            </w:r>
            <w:r w:rsidRPr="00D03F1F">
              <w:rPr>
                <w:rFonts w:eastAsia="Calibri" w:cs="Calibri"/>
                <w:color w:val="000000" w:themeColor="text1"/>
              </w:rPr>
              <w:t>abilities</w:t>
            </w:r>
            <w:r>
              <w:rPr>
                <w:rFonts w:eastAsia="Calibri" w:cs="Calibri"/>
                <w:color w:val="000000" w:themeColor="text1"/>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5BE51E82"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$28,529,000 </w:t>
            </w:r>
          </w:p>
        </w:tc>
      </w:tr>
      <w:tr w:rsidR="00972D40" w:rsidRPr="00EF61F1" w14:paraId="705F1ABD" w14:textId="0F0762F0"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71C4ABDE" w14:textId="21473B30"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Universal Developmental Screening</w:t>
            </w:r>
            <w:r w:rsidR="009F35C1">
              <w:rPr>
                <w:rFonts w:eastAsia="Times New Roman" w:cs="Calibri"/>
                <w:b/>
                <w:bCs/>
                <w:color w:val="000000"/>
              </w:rPr>
              <w:t xml:space="preserve"> </w:t>
            </w:r>
            <w:r w:rsidR="009F35C1" w:rsidRPr="00D03F1F">
              <w:rPr>
                <w:rFonts w:eastAsia="Calibri" w:cs="Calibri"/>
              </w:rPr>
              <w:t>provides information, training, tools, and connections among providers to ensure all King County children receive culturally appropriate, high-quality developmental screening throughout early childhood</w:t>
            </w:r>
            <w:r w:rsidR="00E9777C">
              <w:rPr>
                <w:rFonts w:eastAsia="Calibri" w:cs="Calibri"/>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21024D60"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$19,020,000 </w:t>
            </w:r>
          </w:p>
        </w:tc>
      </w:tr>
      <w:tr w:rsidR="00972D40" w:rsidRPr="00EF61F1" w14:paraId="208A36EC" w14:textId="0C21E2F6"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0B91ADB7" w14:textId="44B668BE"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Child Care Health Consultation (CCHC)</w:t>
            </w:r>
            <w:r w:rsidR="009F35C1" w:rsidRPr="00D03F1F">
              <w:rPr>
                <w:rFonts w:eastAsia="Calibri" w:cs="Calibri"/>
                <w:color w:val="000000" w:themeColor="text1"/>
              </w:rPr>
              <w:t xml:space="preserve"> promote</w:t>
            </w:r>
            <w:r w:rsidR="009F35C1">
              <w:rPr>
                <w:rFonts w:eastAsia="Calibri" w:cs="Calibri"/>
                <w:color w:val="000000" w:themeColor="text1"/>
              </w:rPr>
              <w:t>s</w:t>
            </w:r>
            <w:r w:rsidR="009F35C1" w:rsidRPr="00D03F1F">
              <w:rPr>
                <w:rFonts w:eastAsia="Calibri" w:cs="Calibri"/>
                <w:color w:val="000000" w:themeColor="text1"/>
              </w:rPr>
              <w:t xml:space="preserve"> </w:t>
            </w:r>
            <w:r w:rsidR="009F35C1">
              <w:rPr>
                <w:rFonts w:eastAsia="Calibri" w:cs="Calibri"/>
                <w:color w:val="000000" w:themeColor="text1"/>
              </w:rPr>
              <w:t>the</w:t>
            </w:r>
            <w:r w:rsidR="009F35C1" w:rsidRPr="00D03F1F">
              <w:rPr>
                <w:rFonts w:eastAsia="Calibri" w:cs="Calibri"/>
                <w:color w:val="000000" w:themeColor="text1"/>
              </w:rPr>
              <w:t xml:space="preserve"> health, safety, and development of children and caregivers in child</w:t>
            </w:r>
            <w:r w:rsidR="009F35C1" w:rsidRPr="5967C068">
              <w:rPr>
                <w:rFonts w:eastAsia="Calibri" w:cs="Calibri"/>
                <w:color w:val="000000" w:themeColor="text1"/>
              </w:rPr>
              <w:t xml:space="preserve"> </w:t>
            </w:r>
            <w:r w:rsidR="009F35C1" w:rsidRPr="00D03F1F">
              <w:rPr>
                <w:rFonts w:eastAsia="Calibri" w:cs="Calibri"/>
                <w:color w:val="000000" w:themeColor="text1"/>
              </w:rPr>
              <w:t>care settings</w:t>
            </w:r>
            <w:r w:rsidR="00E9777C">
              <w:rPr>
                <w:rFonts w:eastAsia="Calibri" w:cs="Calibri"/>
                <w:color w:val="000000" w:themeColor="text1"/>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6EC1EC11"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$21,555,000 </w:t>
            </w:r>
          </w:p>
        </w:tc>
      </w:tr>
      <w:tr w:rsidR="00972D40" w:rsidRPr="00EF61F1" w14:paraId="1177422F" w14:textId="3C99FF34"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7169C131" w14:textId="3EC8CDD5"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Systems Building for Infant and Early Childhood Mental Health</w:t>
            </w:r>
            <w:r w:rsidR="009F35C1">
              <w:rPr>
                <w:rFonts w:eastAsia="Calibri" w:cs="Calibri"/>
                <w:color w:val="1D1D1D"/>
              </w:rPr>
              <w:t xml:space="preserve"> focuses on improving social and emotional outcomes of young children </w:t>
            </w:r>
            <w:r w:rsidR="004D2C21">
              <w:t>aged birth to five</w:t>
            </w:r>
            <w:r w:rsidR="00791013">
              <w:rPr>
                <w:rFonts w:eastAsia="Calibri" w:cs="Calibri"/>
                <w:color w:val="1D1D1D"/>
              </w:rPr>
              <w:t xml:space="preserve">. </w:t>
            </w:r>
          </w:p>
        </w:tc>
        <w:tc>
          <w:tcPr>
            <w:tcW w:w="1530" w:type="dxa"/>
            <w:tcBorders>
              <w:top w:val="nil"/>
              <w:left w:val="nil"/>
              <w:bottom w:val="single" w:sz="8" w:space="0" w:color="FFD966"/>
              <w:right w:val="single" w:sz="12" w:space="0" w:color="FFD966"/>
            </w:tcBorders>
            <w:shd w:val="clear" w:color="auto" w:fill="auto"/>
            <w:noWrap/>
            <w:vAlign w:val="center"/>
            <w:hideMark/>
          </w:tcPr>
          <w:p w14:paraId="01255D41"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$9,510,000 </w:t>
            </w:r>
          </w:p>
        </w:tc>
      </w:tr>
      <w:tr w:rsidR="00972D40" w:rsidRPr="00EF61F1" w14:paraId="2DC36819" w14:textId="04AB6D05"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2732C810" w14:textId="4A2A539A"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Workforce Development</w:t>
            </w:r>
            <w:r w:rsidR="009F35C1">
              <w:rPr>
                <w:rFonts w:eastAsia="Times New Roman" w:cs="Calibri"/>
                <w:color w:val="1D1D1D"/>
              </w:rPr>
              <w:t xml:space="preserve"> provides</w:t>
            </w:r>
            <w:r w:rsidR="009F35C1" w:rsidRPr="00662C58">
              <w:rPr>
                <w:rFonts w:eastAsia="Times New Roman" w:cs="Calibri"/>
                <w:color w:val="1D1D1D"/>
              </w:rPr>
              <w:t xml:space="preserve"> training, technical assistance, and peer learning opportunities </w:t>
            </w:r>
            <w:r w:rsidR="009F35C1">
              <w:rPr>
                <w:rFonts w:eastAsia="Times New Roman" w:cs="Calibri"/>
                <w:color w:val="1D1D1D"/>
              </w:rPr>
              <w:t>to build the knowledge and skills of</w:t>
            </w:r>
            <w:r w:rsidR="009F35C1" w:rsidRPr="00662C58">
              <w:rPr>
                <w:rFonts w:eastAsia="Times New Roman" w:cs="Calibri"/>
                <w:color w:val="1D1D1D"/>
              </w:rPr>
              <w:t xml:space="preserve"> early childhood practitioners</w:t>
            </w:r>
            <w:r w:rsidR="009F35C1">
              <w:rPr>
                <w:rFonts w:eastAsia="Times New Roman" w:cs="Calibri"/>
                <w:color w:val="1D1D1D"/>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6231DBA0"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$8,305,000 </w:t>
            </w:r>
          </w:p>
        </w:tc>
      </w:tr>
      <w:tr w:rsidR="00972D40" w:rsidRPr="00EF61F1" w14:paraId="70AC635E" w14:textId="4872AFF6"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3C7D5682" w14:textId="5F4AB7A7"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Innovation Supports</w:t>
            </w:r>
            <w:r w:rsidR="00A64C80" w:rsidRPr="00662C58">
              <w:rPr>
                <w:rFonts w:eastAsia="Times New Roman" w:cs="Calibri"/>
                <w:color w:val="1D1D1D"/>
              </w:rPr>
              <w:t xml:space="preserve"> leverag</w:t>
            </w:r>
            <w:r w:rsidR="00A64C80">
              <w:rPr>
                <w:rFonts w:eastAsia="Times New Roman" w:cs="Calibri"/>
                <w:color w:val="1D1D1D"/>
              </w:rPr>
              <w:t>es</w:t>
            </w:r>
            <w:r w:rsidR="00A64C80" w:rsidRPr="00662C58">
              <w:rPr>
                <w:rFonts w:eastAsia="Times New Roman" w:cs="Calibri"/>
                <w:color w:val="1D1D1D"/>
              </w:rPr>
              <w:t xml:space="preserve"> the expertise and creativity of community to design</w:t>
            </w:r>
            <w:r w:rsidR="00A64C80">
              <w:rPr>
                <w:rFonts w:eastAsia="Times New Roman" w:cs="Calibri"/>
                <w:color w:val="1D1D1D"/>
              </w:rPr>
              <w:t xml:space="preserve">, </w:t>
            </w:r>
            <w:r w:rsidR="00A64C80" w:rsidRPr="00662C58">
              <w:rPr>
                <w:rFonts w:eastAsia="Times New Roman" w:cs="Calibri"/>
                <w:color w:val="1D1D1D"/>
              </w:rPr>
              <w:t>develop</w:t>
            </w:r>
            <w:r w:rsidR="00A64C80">
              <w:rPr>
                <w:rFonts w:eastAsia="Times New Roman" w:cs="Calibri"/>
                <w:color w:val="1D1D1D"/>
              </w:rPr>
              <w:t>,</w:t>
            </w:r>
            <w:r w:rsidR="00A64C80" w:rsidRPr="00662C58">
              <w:rPr>
                <w:rFonts w:eastAsia="Times New Roman" w:cs="Calibri"/>
                <w:color w:val="1D1D1D"/>
              </w:rPr>
              <w:t xml:space="preserve"> and lead </w:t>
            </w:r>
            <w:r w:rsidR="00A64C80">
              <w:rPr>
                <w:rFonts w:eastAsia="Times New Roman" w:cs="Calibri"/>
                <w:color w:val="1D1D1D"/>
              </w:rPr>
              <w:t xml:space="preserve">effective </w:t>
            </w:r>
            <w:r w:rsidR="00A64C80" w:rsidRPr="00662C58">
              <w:rPr>
                <w:rFonts w:eastAsia="Times New Roman" w:cs="Calibri"/>
                <w:color w:val="1D1D1D"/>
              </w:rPr>
              <w:t>programs and interventions</w:t>
            </w:r>
            <w:r w:rsidR="00A64C80">
              <w:rPr>
                <w:rFonts w:eastAsia="Times New Roman" w:cs="Calibri"/>
                <w:color w:val="1D1D1D"/>
              </w:rPr>
              <w:t xml:space="preserve"> serving children aged birth to five and their families.</w:t>
            </w:r>
          </w:p>
        </w:tc>
        <w:tc>
          <w:tcPr>
            <w:tcW w:w="1530" w:type="dxa"/>
            <w:tcBorders>
              <w:top w:val="nil"/>
              <w:left w:val="nil"/>
              <w:bottom w:val="single" w:sz="8" w:space="0" w:color="FFD966"/>
              <w:right w:val="single" w:sz="12" w:space="0" w:color="FFD966"/>
            </w:tcBorders>
            <w:shd w:val="clear" w:color="auto" w:fill="auto"/>
            <w:noWrap/>
            <w:vAlign w:val="center"/>
            <w:hideMark/>
          </w:tcPr>
          <w:p w14:paraId="2F6C8162"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$6,340,000 </w:t>
            </w:r>
          </w:p>
        </w:tc>
      </w:tr>
      <w:tr w:rsidR="00972D40" w:rsidRPr="00EF61F1" w14:paraId="6D808B5D" w14:textId="71D8B82F"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206CF407" w14:textId="08161E6F"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Help Me Grow</w:t>
            </w:r>
            <w:r w:rsidR="00A64C80">
              <w:rPr>
                <w:rFonts w:eastAsia="Times New Roman" w:cs="Calibri"/>
              </w:rPr>
              <w:t xml:space="preserve"> empowers families to</w:t>
            </w:r>
            <w:r w:rsidR="00A64C80" w:rsidRPr="00662C58">
              <w:rPr>
                <w:rFonts w:eastAsia="Times New Roman" w:cs="Calibri"/>
              </w:rPr>
              <w:t xml:space="preserve"> support their children’s health by </w:t>
            </w:r>
            <w:r w:rsidR="00A64C80">
              <w:rPr>
                <w:rFonts w:eastAsia="Times New Roman" w:cs="Calibri"/>
              </w:rPr>
              <w:t>connecting them to what they need, when and how they need it.</w:t>
            </w:r>
          </w:p>
        </w:tc>
        <w:tc>
          <w:tcPr>
            <w:tcW w:w="1530" w:type="dxa"/>
            <w:tcBorders>
              <w:top w:val="nil"/>
              <w:left w:val="nil"/>
              <w:bottom w:val="single" w:sz="8" w:space="0" w:color="FFD966"/>
              <w:right w:val="single" w:sz="12" w:space="0" w:color="FFD966"/>
            </w:tcBorders>
            <w:shd w:val="clear" w:color="auto" w:fill="auto"/>
            <w:noWrap/>
            <w:vAlign w:val="center"/>
            <w:hideMark/>
          </w:tcPr>
          <w:p w14:paraId="0EDA7328"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$16,484,000 </w:t>
            </w:r>
          </w:p>
        </w:tc>
      </w:tr>
      <w:tr w:rsidR="00972D40" w:rsidRPr="00EF61F1" w14:paraId="54EACA43" w14:textId="09109746" w:rsidTr="00166466">
        <w:trPr>
          <w:trHeight w:val="480"/>
        </w:trPr>
        <w:tc>
          <w:tcPr>
            <w:tcW w:w="8175" w:type="dxa"/>
            <w:tcBorders>
              <w:top w:val="nil"/>
              <w:left w:val="single" w:sz="12" w:space="0" w:color="FFD966"/>
              <w:bottom w:val="single" w:sz="12" w:space="0" w:color="FFD966"/>
              <w:right w:val="single" w:sz="8" w:space="0" w:color="FFD966"/>
            </w:tcBorders>
            <w:shd w:val="clear" w:color="auto" w:fill="auto"/>
            <w:vAlign w:val="center"/>
            <w:hideMark/>
          </w:tcPr>
          <w:p w14:paraId="776F53B6" w14:textId="5C76AE96"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Environmental Supports: Lead and Toxics</w:t>
            </w:r>
            <w:r w:rsidR="00A64C80" w:rsidRPr="002760A4">
              <w:rPr>
                <w:rFonts w:eastAsia="Times New Roman" w:cs="Calibri"/>
                <w:color w:val="000000"/>
              </w:rPr>
              <w:t xml:space="preserve"> builds on </w:t>
            </w:r>
            <w:r w:rsidR="00A64C80">
              <w:rPr>
                <w:rFonts w:eastAsia="Times New Roman" w:cs="Calibri"/>
                <w:color w:val="000000"/>
              </w:rPr>
              <w:t>this</w:t>
            </w:r>
            <w:r w:rsidR="00A64C80" w:rsidRPr="002760A4">
              <w:rPr>
                <w:rFonts w:eastAsia="Times New Roman" w:cs="Calibri"/>
                <w:color w:val="000000"/>
              </w:rPr>
              <w:t xml:space="preserve"> leadership to prevent childhood lead poisoning, identify and reduce exposures to environmental toxics, and equitably improve health outcomes.</w:t>
            </w:r>
          </w:p>
        </w:tc>
        <w:tc>
          <w:tcPr>
            <w:tcW w:w="1530" w:type="dxa"/>
            <w:tcBorders>
              <w:top w:val="nil"/>
              <w:left w:val="nil"/>
              <w:bottom w:val="single" w:sz="12" w:space="0" w:color="FFD966"/>
              <w:right w:val="single" w:sz="12" w:space="0" w:color="FFD966"/>
            </w:tcBorders>
            <w:shd w:val="clear" w:color="auto" w:fill="auto"/>
            <w:noWrap/>
            <w:vAlign w:val="center"/>
            <w:hideMark/>
          </w:tcPr>
          <w:p w14:paraId="04EB60BC"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$4,755,000 </w:t>
            </w:r>
          </w:p>
        </w:tc>
      </w:tr>
    </w:tbl>
    <w:p w14:paraId="196227B6" w14:textId="77777777" w:rsidR="008D18DF" w:rsidRPr="00E8287C" w:rsidRDefault="008D18DF" w:rsidP="00D97388">
      <w:pPr>
        <w:rPr>
          <w:rFonts w:asciiTheme="minorHAnsi" w:eastAsiaTheme="majorEastAsia" w:hAnsiTheme="minorHAnsi" w:cstheme="minorHAnsi"/>
          <w:sz w:val="2"/>
          <w:szCs w:val="2"/>
        </w:rPr>
      </w:pPr>
    </w:p>
    <w:p w14:paraId="5706418E" w14:textId="286E628D" w:rsidR="00E92827" w:rsidRDefault="00E92827" w:rsidP="00793795">
      <w:pPr>
        <w:rPr>
          <w:rFonts w:asciiTheme="minorHAnsi" w:eastAsiaTheme="majorEastAsia" w:hAnsiTheme="minorHAnsi"/>
          <w:b/>
        </w:rPr>
      </w:pPr>
    </w:p>
    <w:p w14:paraId="420D747C" w14:textId="6F21E40D" w:rsidR="00793795" w:rsidRDefault="00793795" w:rsidP="00793795">
      <w:pPr>
        <w:rPr>
          <w:rFonts w:asciiTheme="minorHAnsi" w:eastAsiaTheme="majorEastAsia" w:hAnsiTheme="minorHAnsi" w:cstheme="minorHAnsi"/>
          <w:b/>
          <w:bCs/>
        </w:rPr>
      </w:pPr>
      <w:r>
        <w:rPr>
          <w:rFonts w:asciiTheme="minorHAnsi" w:eastAsiaTheme="majorEastAsia" w:hAnsiTheme="minorHAnsi" w:cstheme="minorHAnsi"/>
          <w:b/>
          <w:bCs/>
        </w:rPr>
        <w:t xml:space="preserve">Sustain the Gain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bCs/>
          <w:i/>
          <w:iCs/>
        </w:rPr>
        <w:t xml:space="preserve">Funding Estimate: </w:t>
      </w:r>
      <w:r w:rsidRPr="003420B4">
        <w:rPr>
          <w:rFonts w:eastAsia="Times New Roman" w:cs="Calibri"/>
          <w:b/>
          <w:bCs/>
          <w:i/>
          <w:iCs/>
          <w:color w:val="000000"/>
        </w:rPr>
        <w:t>$215,333,000</w:t>
      </w:r>
    </w:p>
    <w:p w14:paraId="19DCE976" w14:textId="6E83C975" w:rsidR="00B46324" w:rsidRPr="00B46324" w:rsidRDefault="009C4F03" w:rsidP="00B46324">
      <w:pPr>
        <w:rPr>
          <w:rFonts w:asciiTheme="minorHAnsi" w:hAnsiTheme="minorHAnsi" w:cstheme="minorHAnsi"/>
        </w:rPr>
      </w:pPr>
      <w:r w:rsidRPr="00554710">
        <w:rPr>
          <w:rFonts w:asciiTheme="minorHAnsi" w:hAnsiTheme="minorHAnsi" w:cstheme="minorHAnsi"/>
        </w:rPr>
        <w:t xml:space="preserve">The Sustain the Gain </w:t>
      </w:r>
      <w:r w:rsidR="008D18DF">
        <w:rPr>
          <w:rFonts w:asciiTheme="minorHAnsi" w:hAnsiTheme="minorHAnsi" w:cstheme="minorHAnsi"/>
        </w:rPr>
        <w:t>investment</w:t>
      </w:r>
      <w:r w:rsidRPr="00554710">
        <w:rPr>
          <w:rFonts w:asciiTheme="minorHAnsi" w:hAnsiTheme="minorHAnsi" w:cstheme="minorHAnsi"/>
        </w:rPr>
        <w:t xml:space="preserve"> area supports programs that empower youth; support social-emotional development, </w:t>
      </w:r>
      <w:r>
        <w:rPr>
          <w:rFonts w:asciiTheme="minorHAnsi" w:hAnsiTheme="minorHAnsi" w:cstheme="minorHAnsi"/>
        </w:rPr>
        <w:t xml:space="preserve">mental wellbeing, </w:t>
      </w:r>
      <w:r w:rsidRPr="0069353B">
        <w:rPr>
          <w:rFonts w:asciiTheme="minorHAnsi" w:hAnsiTheme="minorHAnsi" w:cstheme="minorHAnsi"/>
        </w:rPr>
        <w:t>positive identity</w:t>
      </w:r>
      <w:r w:rsidRPr="00554710">
        <w:rPr>
          <w:rFonts w:asciiTheme="minorHAnsi" w:hAnsiTheme="minorHAnsi" w:cstheme="minorHAnsi"/>
        </w:rPr>
        <w:t>, health, academics and employability; and provide safe and healthy spaces for youth to connect with peers and supportive adults in and out of school</w:t>
      </w:r>
      <w:r w:rsidR="00081616">
        <w:rPr>
          <w:rFonts w:asciiTheme="minorHAnsi" w:hAnsiTheme="minorHAnsi" w:cstheme="minorHAnsi"/>
        </w:rPr>
        <w:t>.</w:t>
      </w:r>
      <w:r w:rsidR="008461EB">
        <w:rPr>
          <w:rFonts w:asciiTheme="minorHAnsi" w:hAnsiTheme="minorHAnsi" w:cstheme="minorHAnsi"/>
        </w:rPr>
        <w:t xml:space="preserve"> </w:t>
      </w:r>
      <w:r w:rsidR="00F7705A">
        <w:rPr>
          <w:rFonts w:cs="Calibri"/>
        </w:rPr>
        <w:t xml:space="preserve">Table </w:t>
      </w:r>
      <w:r w:rsidR="00C06085">
        <w:rPr>
          <w:rFonts w:cs="Calibri"/>
        </w:rPr>
        <w:t>3</w:t>
      </w:r>
      <w:r w:rsidR="00F7705A">
        <w:rPr>
          <w:rFonts w:cs="Calibri"/>
        </w:rPr>
        <w:t xml:space="preserve"> </w:t>
      </w:r>
      <w:r w:rsidR="00E863AB">
        <w:rPr>
          <w:rFonts w:cs="Calibri"/>
        </w:rPr>
        <w:t>summarizes</w:t>
      </w:r>
      <w:r w:rsidR="00F7705A">
        <w:rPr>
          <w:rFonts w:cs="Calibri"/>
        </w:rPr>
        <w:t xml:space="preserve"> </w:t>
      </w:r>
      <w:r w:rsidR="00E863AB">
        <w:rPr>
          <w:rFonts w:asciiTheme="minorHAnsi" w:hAnsiTheme="minorHAnsi" w:cstheme="minorHAnsi"/>
        </w:rPr>
        <w:t>the</w:t>
      </w:r>
      <w:r w:rsidR="005E1E94">
        <w:rPr>
          <w:rFonts w:asciiTheme="minorHAnsi" w:hAnsiTheme="minorHAnsi" w:cstheme="minorHAnsi"/>
        </w:rPr>
        <w:t xml:space="preserve"> strategies in the </w:t>
      </w:r>
      <w:r w:rsidR="00C32762">
        <w:rPr>
          <w:rFonts w:asciiTheme="minorHAnsi" w:hAnsiTheme="minorHAnsi" w:cstheme="minorHAnsi"/>
        </w:rPr>
        <w:t>Sustain the Gain</w:t>
      </w:r>
      <w:r w:rsidR="005E1E94">
        <w:rPr>
          <w:rFonts w:asciiTheme="minorHAnsi" w:hAnsiTheme="minorHAnsi" w:cstheme="minorHAnsi"/>
        </w:rPr>
        <w:t xml:space="preserve"> investment area. </w:t>
      </w:r>
    </w:p>
    <w:p w14:paraId="07901726" w14:textId="77777777" w:rsidR="00142337" w:rsidRDefault="00142337">
      <w:pPr>
        <w:spacing w:line="240" w:lineRule="auto"/>
        <w:rPr>
          <w:i/>
          <w:iCs/>
          <w:color w:val="44546A" w:themeColor="text2"/>
          <w:sz w:val="18"/>
          <w:szCs w:val="18"/>
        </w:rPr>
      </w:pPr>
      <w:bookmarkStart w:id="7" w:name="_Hlk76111573"/>
      <w:r>
        <w:br w:type="page"/>
      </w:r>
    </w:p>
    <w:p w14:paraId="5A9EA01D" w14:textId="2218F189" w:rsidR="0068237D" w:rsidRDefault="0068237D" w:rsidP="0068237D">
      <w:pPr>
        <w:pStyle w:val="Caption"/>
        <w:keepNext/>
      </w:pPr>
      <w:r>
        <w:lastRenderedPageBreak/>
        <w:t xml:space="preserve">Table </w:t>
      </w:r>
      <w:fldSimple w:instr=" SEQ Table \* ARABIC ">
        <w:r w:rsidR="00B8538C">
          <w:rPr>
            <w:noProof/>
          </w:rPr>
          <w:t>3</w:t>
        </w:r>
      </w:fldSimple>
      <w:r>
        <w:t xml:space="preserve">: </w:t>
      </w:r>
      <w:r w:rsidRPr="00A278CA">
        <w:t>Sustain the Gain Strategies Funding Estimates</w:t>
      </w:r>
    </w:p>
    <w:tbl>
      <w:tblPr>
        <w:tblW w:w="9705" w:type="dxa"/>
        <w:tblLook w:val="04A0" w:firstRow="1" w:lastRow="0" w:firstColumn="1" w:lastColumn="0" w:noHBand="0" w:noVBand="1"/>
      </w:tblPr>
      <w:tblGrid>
        <w:gridCol w:w="8175"/>
        <w:gridCol w:w="1530"/>
      </w:tblGrid>
      <w:tr w:rsidR="00F72456" w:rsidRPr="00023DB4" w14:paraId="7F6E1428" w14:textId="77777777" w:rsidTr="003420B4">
        <w:trPr>
          <w:trHeight w:val="510"/>
        </w:trPr>
        <w:tc>
          <w:tcPr>
            <w:tcW w:w="8175" w:type="dxa"/>
            <w:tcBorders>
              <w:top w:val="single" w:sz="12" w:space="0" w:color="FFD966" w:themeColor="accent4" w:themeTint="99"/>
              <w:left w:val="single" w:sz="12" w:space="0" w:color="FFD966" w:themeColor="accent4" w:themeTint="99"/>
              <w:bottom w:val="single" w:sz="8" w:space="0" w:color="FFD966" w:themeColor="accent4" w:themeTint="99"/>
              <w:right w:val="single" w:sz="8" w:space="0" w:color="FFD966" w:themeColor="accent4" w:themeTint="99"/>
            </w:tcBorders>
            <w:shd w:val="clear" w:color="auto" w:fill="D9E2F3" w:themeFill="accent1" w:themeFillTint="33"/>
            <w:noWrap/>
            <w:vAlign w:val="center"/>
            <w:hideMark/>
          </w:tcPr>
          <w:bookmarkEnd w:id="7"/>
          <w:p w14:paraId="1D494CAC" w14:textId="41BEDEC6" w:rsidR="00F72456" w:rsidRPr="003420B4" w:rsidRDefault="00AE2103" w:rsidP="003420B4">
            <w:pPr>
              <w:spacing w:line="240" w:lineRule="auto"/>
              <w:rPr>
                <w:b/>
                <w:bCs/>
                <w:i/>
                <w:iCs/>
                <w:shd w:val="clear" w:color="auto" w:fill="D9E2F3" w:themeFill="accent1" w:themeFillTint="33"/>
              </w:rPr>
            </w:pPr>
            <w:r w:rsidRPr="003420B4">
              <w:rPr>
                <w:b/>
                <w:bCs/>
                <w:i/>
                <w:iCs/>
                <w:shd w:val="clear" w:color="auto" w:fill="D9E2F3" w:themeFill="accent1" w:themeFillTint="33"/>
              </w:rPr>
              <w:t>Strategy</w:t>
            </w:r>
          </w:p>
        </w:tc>
        <w:tc>
          <w:tcPr>
            <w:tcW w:w="1530" w:type="dxa"/>
            <w:tcBorders>
              <w:top w:val="single" w:sz="12" w:space="0" w:color="FFD966" w:themeColor="accent4" w:themeTint="99"/>
              <w:left w:val="nil"/>
              <w:bottom w:val="single" w:sz="8" w:space="0" w:color="FFD966" w:themeColor="accent4" w:themeTint="99"/>
              <w:right w:val="single" w:sz="12" w:space="0" w:color="FFD966" w:themeColor="accent4" w:themeTint="99"/>
            </w:tcBorders>
            <w:shd w:val="clear" w:color="auto" w:fill="D9E2F3" w:themeFill="accent1" w:themeFillTint="33"/>
            <w:noWrap/>
            <w:vAlign w:val="center"/>
            <w:hideMark/>
          </w:tcPr>
          <w:p w14:paraId="200F20E7" w14:textId="51C0AC33" w:rsidR="00F72456" w:rsidRPr="003420B4" w:rsidRDefault="00F72456" w:rsidP="003420B4">
            <w:pPr>
              <w:spacing w:line="240" w:lineRule="auto"/>
              <w:jc w:val="right"/>
              <w:rPr>
                <w:b/>
                <w:bCs/>
                <w:i/>
                <w:iCs/>
                <w:shd w:val="clear" w:color="auto" w:fill="D9E2F3" w:themeFill="accent1" w:themeFillTint="33"/>
              </w:rPr>
            </w:pPr>
            <w:r w:rsidRPr="003420B4">
              <w:rPr>
                <w:b/>
                <w:i/>
                <w:iCs/>
                <w:shd w:val="clear" w:color="auto" w:fill="D9E2F3" w:themeFill="accent1" w:themeFillTint="33"/>
              </w:rPr>
              <w:t>2022-2027</w:t>
            </w:r>
            <w:r w:rsidRPr="003420B4">
              <w:rPr>
                <w:b/>
                <w:bCs/>
                <w:i/>
                <w:iCs/>
                <w:shd w:val="clear" w:color="auto" w:fill="D9E2F3" w:themeFill="accent1" w:themeFillTint="33"/>
              </w:rPr>
              <w:t xml:space="preserve"> Funding Estimate</w:t>
            </w:r>
          </w:p>
        </w:tc>
      </w:tr>
      <w:tr w:rsidR="00692128" w:rsidRPr="00D1408B" w14:paraId="647FF865"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3D08455B" w14:textId="0E9AF92B"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Expanded Learning</w:t>
            </w:r>
            <w:r>
              <w:rPr>
                <w:rFonts w:eastAsia="Times New Roman" w:cs="Calibri"/>
                <w:b/>
                <w:bCs/>
                <w:color w:val="000000"/>
              </w:rPr>
              <w:t xml:space="preserve"> </w:t>
            </w:r>
            <w:r w:rsidR="00B20814" w:rsidRPr="00166466">
              <w:rPr>
                <w:rFonts w:eastAsia="Times New Roman" w:cs="Calibri"/>
                <w:color w:val="000000"/>
              </w:rPr>
              <w:t>provides</w:t>
            </w:r>
            <w:r w:rsidR="00B20814">
              <w:rPr>
                <w:rFonts w:eastAsia="Times New Roman" w:cs="Calibri"/>
                <w:b/>
                <w:bCs/>
                <w:color w:val="000000"/>
              </w:rPr>
              <w:t xml:space="preserve"> </w:t>
            </w:r>
            <w:r w:rsidRPr="00D03F1F">
              <w:rPr>
                <w:rFonts w:eastAsia="Calibri" w:cs="Calibri"/>
                <w:color w:val="000000" w:themeColor="text1"/>
              </w:rPr>
              <w:t xml:space="preserve">high-quality and culturally responsive programming </w:t>
            </w:r>
            <w:r>
              <w:rPr>
                <w:rFonts w:eastAsia="Calibri" w:cs="Calibri"/>
                <w:color w:val="000000" w:themeColor="text1"/>
              </w:rPr>
              <w:t xml:space="preserve">to </w:t>
            </w:r>
            <w:r w:rsidRPr="00D03F1F">
              <w:rPr>
                <w:rFonts w:eastAsia="Calibri" w:cs="Calibri"/>
                <w:color w:val="000000" w:themeColor="text1"/>
              </w:rPr>
              <w:t>children and youth</w:t>
            </w:r>
            <w:r w:rsidR="0056085E">
              <w:rPr>
                <w:rFonts w:eastAsia="Calibri" w:cs="Calibri"/>
                <w:color w:val="000000" w:themeColor="text1"/>
              </w:rPr>
              <w:t xml:space="preserve">, including </w:t>
            </w:r>
            <w:r w:rsidRPr="00D03F1F">
              <w:rPr>
                <w:rFonts w:eastAsia="Calibri" w:cs="Calibri"/>
                <w:color w:val="000000" w:themeColor="text1"/>
              </w:rPr>
              <w:t>access to a range of activities from academic enrichment to cultural and social development activities, recreation, physical activity and health promotion, arts education, and leadership skills</w:t>
            </w:r>
            <w:r>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01599399"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$44,094,000 </w:t>
            </w:r>
          </w:p>
        </w:tc>
      </w:tr>
      <w:tr w:rsidR="00692128" w:rsidRPr="00D1408B" w14:paraId="7BC06DBA"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tcPr>
          <w:p w14:paraId="1C693427" w14:textId="5BA7D300" w:rsidR="00692128" w:rsidRPr="00D1408B" w:rsidRDefault="00692128" w:rsidP="008B3157">
            <w:pPr>
              <w:shd w:val="clear" w:color="auto" w:fill="FFFFFF" w:themeFill="background1"/>
              <w:spacing w:line="240" w:lineRule="auto"/>
              <w:rPr>
                <w:rFonts w:eastAsia="Times New Roman" w:cs="Calibri"/>
                <w:b/>
                <w:bCs/>
                <w:color w:val="000000"/>
              </w:rPr>
            </w:pPr>
            <w:r w:rsidRPr="6F4DBD3B">
              <w:rPr>
                <w:rFonts w:eastAsia="Times New Roman" w:cs="Calibri"/>
                <w:b/>
                <w:color w:val="000000" w:themeColor="text1"/>
              </w:rPr>
              <w:t>Youth Development</w:t>
            </w:r>
            <w:r w:rsidRPr="1BF2F0B1">
              <w:rPr>
                <w:rFonts w:eastAsia="Calibri" w:cs="Calibri"/>
                <w:color w:val="000000" w:themeColor="text1"/>
              </w:rPr>
              <w:t xml:space="preserve"> invests in mentoring, leadership and positive identity development, and opportunities to learn how to develop healthy and safe relationships (</w:t>
            </w:r>
            <w:r w:rsidR="1B3DA5DD" w:rsidRPr="6F4DBD3B">
              <w:rPr>
                <w:rFonts w:eastAsia="Calibri" w:cs="Calibri"/>
                <w:color w:val="000000" w:themeColor="text1"/>
              </w:rPr>
              <w:t xml:space="preserve">including </w:t>
            </w:r>
            <w:r w:rsidRPr="1BF2F0B1">
              <w:rPr>
                <w:rFonts w:eastAsia="Calibri" w:cs="Calibri"/>
                <w:color w:val="000000" w:themeColor="text1"/>
              </w:rPr>
              <w:t>domestic violence prevention</w:t>
            </w:r>
            <w:r w:rsidR="00FE3845">
              <w:rPr>
                <w:rFonts w:eastAsia="Calibri" w:cs="Calibri"/>
                <w:color w:val="000000" w:themeColor="text1"/>
              </w:rPr>
              <w:t xml:space="preserve"> and peer to peer support</w:t>
            </w:r>
            <w:r w:rsidRPr="1BF2F0B1">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tcPr>
          <w:p w14:paraId="0B028BF8"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Pr>
                <w:rFonts w:eastAsia="Times New Roman" w:cs="Calibri"/>
                <w:b/>
                <w:bCs/>
                <w:color w:val="000000"/>
              </w:rPr>
              <w:t>$28,212,000</w:t>
            </w:r>
          </w:p>
        </w:tc>
      </w:tr>
      <w:tr w:rsidR="00692128" w:rsidRPr="00D1408B" w14:paraId="20DDB8C2"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tcPr>
          <w:p w14:paraId="203E6119" w14:textId="29EBD9A8"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SB:SBIRT School-Based Screening and Brief Intervention and for Referral to Treatment/Services</w:t>
            </w:r>
            <w:r w:rsidRPr="1BF2F0B1">
              <w:rPr>
                <w:rFonts w:eastAsia="Calibri" w:cs="Calibri"/>
                <w:color w:val="000000" w:themeColor="text1"/>
              </w:rPr>
              <w:t xml:space="preserve"> provides prevention, outreach, and early intervention to address mental health and substance use impacts during the critical middle </w:t>
            </w:r>
            <w:r w:rsidR="007C4053">
              <w:rPr>
                <w:rFonts w:eastAsia="Calibri" w:cs="Calibri"/>
                <w:color w:val="000000" w:themeColor="text1"/>
              </w:rPr>
              <w:t xml:space="preserve">and high </w:t>
            </w:r>
            <w:r w:rsidRPr="1BF2F0B1">
              <w:rPr>
                <w:rFonts w:eastAsia="Calibri" w:cs="Calibri"/>
                <w:color w:val="000000" w:themeColor="text1"/>
              </w:rPr>
              <w:t>school years</w:t>
            </w:r>
            <w:r>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tcPr>
          <w:p w14:paraId="141FBE8C"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$15,691,000 </w:t>
            </w:r>
          </w:p>
        </w:tc>
      </w:tr>
      <w:tr w:rsidR="00692128" w:rsidRPr="00D1408B" w14:paraId="1CDD6D3F"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7505B148" w14:textId="64FDE8FB"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School-Based Health Centers</w:t>
            </w:r>
            <w:r>
              <w:rPr>
                <w:color w:val="000000"/>
              </w:rPr>
              <w:t xml:space="preserve"> provide comprehensive medical, mental health, and dental services in school settings to children and adolescents who </w:t>
            </w:r>
            <w:r w:rsidRPr="002A62BE">
              <w:t xml:space="preserve">are </w:t>
            </w:r>
            <w:r>
              <w:t xml:space="preserve">often </w:t>
            </w:r>
            <w:r w:rsidRPr="002A62BE">
              <w:t>underserved</w:t>
            </w:r>
            <w:r>
              <w:rPr>
                <w:color w:val="000000"/>
              </w:rPr>
              <w:t xml:space="preserve"> by the medical community.</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766F09F2"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$19,020,000 </w:t>
            </w:r>
          </w:p>
        </w:tc>
      </w:tr>
      <w:tr w:rsidR="00692128" w:rsidRPr="00D1408B" w14:paraId="08BC37CD"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75B4C5C0" w14:textId="6656AE55" w:rsidR="00692128" w:rsidRPr="00D1408B" w:rsidRDefault="00692128" w:rsidP="008B3157">
            <w:pPr>
              <w:shd w:val="clear" w:color="auto" w:fill="FFFFFF" w:themeFill="background1"/>
              <w:spacing w:line="240" w:lineRule="auto"/>
              <w:rPr>
                <w:rFonts w:eastAsia="Times New Roman" w:cs="Calibri"/>
                <w:b/>
                <w:bCs/>
                <w:color w:val="000000"/>
              </w:rPr>
            </w:pPr>
            <w:r w:rsidRPr="1AA82E34">
              <w:rPr>
                <w:rFonts w:eastAsia="Times New Roman" w:cs="Calibri"/>
                <w:b/>
                <w:color w:val="000000" w:themeColor="text1"/>
              </w:rPr>
              <w:t>Liberation and Healing</w:t>
            </w:r>
            <w:r w:rsidRPr="00D03F1F">
              <w:rPr>
                <w:rFonts w:eastAsia="Calibri" w:cs="Calibri"/>
                <w:color w:val="000000" w:themeColor="text1"/>
              </w:rPr>
              <w:t xml:space="preserve"> </w:t>
            </w:r>
            <w:r w:rsidR="000D1AE9" w:rsidRPr="2CBF9701">
              <w:rPr>
                <w:rStyle w:val="eop"/>
                <w:color w:val="000000" w:themeColor="text1"/>
              </w:rPr>
              <w:t>addresses community trauma and its impacts on young people by promoting</w:t>
            </w:r>
            <w:r w:rsidRPr="2CBF9701">
              <w:rPr>
                <w:rStyle w:val="eop"/>
                <w:color w:val="000000" w:themeColor="text1"/>
              </w:rPr>
              <w:t xml:space="preserve"> strengths-based social and emotional supports</w:t>
            </w:r>
            <w:r>
              <w:rPr>
                <w:rStyle w:val="eop"/>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33135BF9"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$30,748,000 </w:t>
            </w:r>
          </w:p>
        </w:tc>
      </w:tr>
      <w:tr w:rsidR="00692128" w:rsidRPr="00D1408B" w14:paraId="164B7608"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tcPr>
          <w:p w14:paraId="37B56CDE" w14:textId="0B0BB414" w:rsidR="00692128" w:rsidRPr="00D1408B" w:rsidRDefault="00692128" w:rsidP="008B3157">
            <w:pPr>
              <w:shd w:val="clear" w:color="auto" w:fill="FFFFFF" w:themeFill="background1"/>
              <w:spacing w:line="240" w:lineRule="auto"/>
              <w:rPr>
                <w:rFonts w:eastAsia="Times New Roman" w:cs="Calibri"/>
                <w:b/>
                <w:bCs/>
                <w:color w:val="000000"/>
              </w:rPr>
            </w:pPr>
            <w:r>
              <w:rPr>
                <w:rFonts w:eastAsia="Times New Roman" w:cs="Calibri"/>
                <w:b/>
                <w:bCs/>
                <w:color w:val="000000"/>
              </w:rPr>
              <w:t>Positive Family Connections</w:t>
            </w:r>
            <w:r w:rsidRPr="2FB8A667">
              <w:rPr>
                <w:rFonts w:eastAsia="Calibri" w:cs="Calibri"/>
                <w:color w:val="000000" w:themeColor="text1"/>
              </w:rPr>
              <w:t xml:space="preserve"> </w:t>
            </w:r>
            <w:r w:rsidRPr="3863ED53">
              <w:rPr>
                <w:rFonts w:eastAsia="Calibri" w:cs="Calibri"/>
                <w:color w:val="000000" w:themeColor="text1"/>
              </w:rPr>
              <w:t>s</w:t>
            </w:r>
            <w:r>
              <w:rPr>
                <w:rFonts w:eastAsia="Calibri" w:cs="Calibri"/>
                <w:color w:val="000000" w:themeColor="text1"/>
              </w:rPr>
              <w:t>trengthen</w:t>
            </w:r>
            <w:r w:rsidRPr="3863ED53">
              <w:rPr>
                <w:rFonts w:eastAsia="Calibri" w:cs="Calibri"/>
                <w:color w:val="000000" w:themeColor="text1"/>
              </w:rPr>
              <w:t xml:space="preserve"> </w:t>
            </w:r>
            <w:r>
              <w:rPr>
                <w:rFonts w:eastAsia="Calibri" w:cs="Calibri"/>
                <w:color w:val="000000" w:themeColor="text1"/>
              </w:rPr>
              <w:t>p</w:t>
            </w:r>
            <w:r w:rsidRPr="3863ED53">
              <w:rPr>
                <w:rFonts w:eastAsia="Calibri" w:cs="Calibri"/>
                <w:color w:val="000000" w:themeColor="text1"/>
              </w:rPr>
              <w:t>arent</w:t>
            </w:r>
            <w:r>
              <w:rPr>
                <w:rFonts w:eastAsia="Calibri" w:cs="Calibri"/>
                <w:color w:val="000000" w:themeColor="text1"/>
              </w:rPr>
              <w:t>-</w:t>
            </w:r>
            <w:r w:rsidRPr="3863ED53">
              <w:rPr>
                <w:rFonts w:eastAsia="Calibri" w:cs="Calibri"/>
                <w:color w:val="000000" w:themeColor="text1"/>
              </w:rPr>
              <w:t>to</w:t>
            </w:r>
            <w:r>
              <w:rPr>
                <w:rFonts w:eastAsia="Calibri" w:cs="Calibri"/>
                <w:color w:val="000000" w:themeColor="text1"/>
              </w:rPr>
              <w:t>-p</w:t>
            </w:r>
            <w:r w:rsidRPr="3863ED53">
              <w:rPr>
                <w:rFonts w:eastAsia="Calibri" w:cs="Calibri"/>
                <w:color w:val="000000" w:themeColor="text1"/>
              </w:rPr>
              <w:t xml:space="preserve">arent engagement, </w:t>
            </w:r>
            <w:r>
              <w:rPr>
                <w:rFonts w:eastAsia="Calibri" w:cs="Calibri"/>
                <w:color w:val="000000" w:themeColor="text1"/>
              </w:rPr>
              <w:t>kinship care relationships</w:t>
            </w:r>
            <w:r w:rsidRPr="3863ED53">
              <w:rPr>
                <w:rFonts w:eastAsia="Calibri" w:cs="Calibri"/>
                <w:color w:val="000000" w:themeColor="text1"/>
              </w:rPr>
              <w:t>, intergenerational and cultural heritage bonds, restorative practices, personal development for young people and parents/caregivers</w:t>
            </w:r>
            <w:r>
              <w:rPr>
                <w:rFonts w:eastAsia="Calibri" w:cs="Calibri"/>
                <w:color w:val="000000" w:themeColor="text1"/>
              </w:rPr>
              <w:t>,</w:t>
            </w:r>
            <w:r w:rsidRPr="3863ED53">
              <w:rPr>
                <w:rFonts w:eastAsia="Calibri" w:cs="Calibri"/>
                <w:color w:val="000000" w:themeColor="text1"/>
              </w:rPr>
              <w:t xml:space="preserve"> and </w:t>
            </w:r>
            <w:r>
              <w:rPr>
                <w:rFonts w:eastAsia="Calibri" w:cs="Calibri"/>
                <w:color w:val="000000" w:themeColor="text1"/>
              </w:rPr>
              <w:t xml:space="preserve">the </w:t>
            </w:r>
            <w:r w:rsidRPr="3863ED53">
              <w:rPr>
                <w:rFonts w:eastAsia="Calibri" w:cs="Calibri"/>
                <w:color w:val="000000" w:themeColor="text1"/>
              </w:rPr>
              <w:t>connection</w:t>
            </w:r>
            <w:r>
              <w:rPr>
                <w:rFonts w:eastAsia="Calibri" w:cs="Calibri"/>
                <w:color w:val="000000" w:themeColor="text1"/>
              </w:rPr>
              <w:t>s</w:t>
            </w:r>
            <w:r w:rsidRPr="3863ED53">
              <w:rPr>
                <w:rFonts w:eastAsia="Calibri" w:cs="Calibri"/>
                <w:color w:val="000000" w:themeColor="text1"/>
              </w:rPr>
              <w:t xml:space="preserve"> among </w:t>
            </w:r>
            <w:r>
              <w:rPr>
                <w:rFonts w:eastAsia="Calibri" w:cs="Calibri"/>
                <w:color w:val="000000" w:themeColor="text1"/>
              </w:rPr>
              <w:t>these family members.</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tcPr>
          <w:p w14:paraId="461E5FBB"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CB236B">
              <w:rPr>
                <w:rFonts w:eastAsia="Times New Roman" w:cs="Calibri"/>
                <w:b/>
                <w:bCs/>
                <w:color w:val="000000"/>
              </w:rPr>
              <w:t>$8,876,000</w:t>
            </w:r>
          </w:p>
        </w:tc>
      </w:tr>
      <w:tr w:rsidR="00692128" w:rsidRPr="00D1408B" w14:paraId="2B9F5D94"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67FBD65D" w14:textId="48AADAC1" w:rsidR="00692128" w:rsidRPr="00D1408B" w:rsidRDefault="3687DED4" w:rsidP="008B3157">
            <w:pPr>
              <w:shd w:val="clear" w:color="auto" w:fill="FFFFFF" w:themeFill="background1"/>
              <w:spacing w:line="240" w:lineRule="auto"/>
              <w:rPr>
                <w:rFonts w:eastAsia="Times New Roman" w:cs="Calibri"/>
                <w:b/>
                <w:bCs/>
                <w:color w:val="000000"/>
              </w:rPr>
            </w:pPr>
            <w:r w:rsidRPr="7B94809E">
              <w:rPr>
                <w:rFonts w:eastAsia="Times New Roman" w:cs="Calibri"/>
                <w:b/>
                <w:bCs/>
                <w:color w:val="000000" w:themeColor="text1"/>
              </w:rPr>
              <w:t>Healthy and Safe Environments</w:t>
            </w:r>
            <w:r w:rsidRPr="7B94809E">
              <w:rPr>
                <w:rFonts w:eastAsia="Calibri" w:cs="Calibri"/>
                <w:color w:val="000000" w:themeColor="text1"/>
              </w:rPr>
              <w:t xml:space="preserve"> funds community partners </w:t>
            </w:r>
            <w:r w:rsidR="4902BE13" w:rsidRPr="7B94809E">
              <w:rPr>
                <w:rFonts w:eastAsia="Calibri" w:cs="Calibri"/>
                <w:color w:val="000000" w:themeColor="text1"/>
              </w:rPr>
              <w:t xml:space="preserve">empowering </w:t>
            </w:r>
            <w:r w:rsidR="00692128" w:rsidRPr="3863ED53">
              <w:rPr>
                <w:rFonts w:eastAsia="Calibri" w:cs="Calibri"/>
                <w:color w:val="000000" w:themeColor="text1"/>
              </w:rPr>
              <w:t>youth</w:t>
            </w:r>
            <w:r w:rsidRPr="7B94809E">
              <w:rPr>
                <w:rFonts w:eastAsia="Calibri" w:cs="Calibri"/>
                <w:color w:val="000000" w:themeColor="text1"/>
              </w:rPr>
              <w:t xml:space="preserve"> to transfo</w:t>
            </w:r>
            <w:r w:rsidR="3448D658" w:rsidRPr="7B94809E">
              <w:rPr>
                <w:rFonts w:eastAsia="Calibri" w:cs="Calibri"/>
                <w:color w:val="000000" w:themeColor="text1"/>
              </w:rPr>
              <w:t>rm</w:t>
            </w:r>
            <w:r w:rsidR="104E039C" w:rsidRPr="7B94809E">
              <w:rPr>
                <w:rFonts w:eastAsia="Calibri" w:cs="Calibri"/>
                <w:color w:val="000000" w:themeColor="text1"/>
              </w:rPr>
              <w:t xml:space="preserve"> systems, environments, and policies to decrease and prevent continued inequity in their communities.</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435B963C"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$6,340,000 </w:t>
            </w:r>
          </w:p>
        </w:tc>
      </w:tr>
      <w:tr w:rsidR="00692128" w:rsidRPr="00D1408B" w14:paraId="42237547"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1BD5D22E" w14:textId="72C6A808"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Stopping the School-to-Prison Pipeline (SSPP)</w:t>
            </w:r>
            <w:r w:rsidRPr="00D03F1F">
              <w:rPr>
                <w:rFonts w:eastAsia="Calibri" w:cs="Calibri"/>
                <w:color w:val="000000" w:themeColor="text1"/>
              </w:rPr>
              <w:t xml:space="preserve"> invests in </w:t>
            </w:r>
            <w:r w:rsidRPr="1BF2F0B1">
              <w:rPr>
                <w:rFonts w:eastAsia="Calibri" w:cs="Calibri"/>
                <w:color w:val="000000" w:themeColor="text1"/>
              </w:rPr>
              <w:t>direct service</w:t>
            </w:r>
            <w:r w:rsidRPr="00D03F1F">
              <w:rPr>
                <w:rFonts w:eastAsia="Calibri" w:cs="Calibri"/>
                <w:color w:val="000000" w:themeColor="text1"/>
              </w:rPr>
              <w:t xml:space="preserve"> </w:t>
            </w:r>
            <w:r>
              <w:rPr>
                <w:rFonts w:eastAsia="Calibri" w:cs="Calibri"/>
                <w:color w:val="000000" w:themeColor="text1"/>
              </w:rPr>
              <w:t>programs</w:t>
            </w:r>
            <w:r w:rsidRPr="00D03F1F">
              <w:rPr>
                <w:rFonts w:eastAsia="Calibri" w:cs="Calibri"/>
                <w:color w:val="000000" w:themeColor="text1"/>
              </w:rPr>
              <w:t xml:space="preserve"> as an alternative to harmful punitive legal measures</w:t>
            </w:r>
            <w:r w:rsidRPr="1BF2F0B1">
              <w:rPr>
                <w:rFonts w:eastAsia="Calibri" w:cs="Calibri"/>
                <w:color w:val="000000" w:themeColor="text1"/>
              </w:rPr>
              <w:t>, and drives policy and systems change work to shift the current juvenile legal system</w:t>
            </w:r>
            <w:r>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74ECF943"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$29,480,000 </w:t>
            </w:r>
          </w:p>
        </w:tc>
      </w:tr>
      <w:tr w:rsidR="00692128" w:rsidRPr="00D1408B" w14:paraId="18CA3952" w14:textId="77777777" w:rsidTr="003420B4">
        <w:trPr>
          <w:trHeight w:val="480"/>
        </w:trPr>
        <w:tc>
          <w:tcPr>
            <w:tcW w:w="8175"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vAlign w:val="center"/>
          </w:tcPr>
          <w:p w14:paraId="6556FB09" w14:textId="67B6B82D" w:rsidR="00692128" w:rsidRPr="00D1408B" w:rsidRDefault="00692128" w:rsidP="008B3157">
            <w:pPr>
              <w:shd w:val="clear" w:color="auto" w:fill="FFFFFF" w:themeFill="background1"/>
              <w:spacing w:line="240" w:lineRule="auto"/>
              <w:rPr>
                <w:rFonts w:eastAsia="Times New Roman" w:cs="Calibri"/>
                <w:b/>
                <w:bCs/>
                <w:color w:val="000000"/>
              </w:rPr>
            </w:pPr>
            <w:r>
              <w:rPr>
                <w:rFonts w:eastAsia="Times New Roman" w:cs="Calibri"/>
                <w:b/>
                <w:bCs/>
                <w:color w:val="000000"/>
              </w:rPr>
              <w:t>Transitions to Adulthood</w:t>
            </w:r>
            <w:r w:rsidRPr="00D03F1F">
              <w:rPr>
                <w:rFonts w:eastAsia="Calibri" w:cs="Calibri"/>
                <w:color w:val="000000" w:themeColor="text1"/>
              </w:rPr>
              <w:t xml:space="preserve"> helps young people </w:t>
            </w:r>
            <w:r>
              <w:rPr>
                <w:rFonts w:eastAsia="Calibri" w:cs="Calibri"/>
                <w:color w:val="000000" w:themeColor="text1"/>
              </w:rPr>
              <w:t xml:space="preserve">who face major barriers to </w:t>
            </w:r>
            <w:r w:rsidRPr="00D03F1F">
              <w:rPr>
                <w:rFonts w:eastAsia="Calibri" w:cs="Calibri"/>
                <w:color w:val="000000" w:themeColor="text1"/>
              </w:rPr>
              <w:t>meet their education and employment goals</w:t>
            </w:r>
            <w:r>
              <w:rPr>
                <w:rFonts w:eastAsia="Calibri" w:cs="Calibri"/>
                <w:color w:val="000000" w:themeColor="text1"/>
              </w:rPr>
              <w:t>.</w:t>
            </w:r>
          </w:p>
        </w:tc>
        <w:tc>
          <w:tcPr>
            <w:tcW w:w="1530" w:type="dxa"/>
            <w:tcBorders>
              <w:top w:val="nil"/>
              <w:left w:val="nil"/>
              <w:bottom w:val="single" w:sz="12" w:space="0" w:color="FFD966" w:themeColor="accent4" w:themeTint="99"/>
              <w:right w:val="single" w:sz="12" w:space="0" w:color="FFD966" w:themeColor="accent4" w:themeTint="99"/>
            </w:tcBorders>
            <w:shd w:val="clear" w:color="auto" w:fill="auto"/>
            <w:noWrap/>
            <w:vAlign w:val="center"/>
          </w:tcPr>
          <w:p w14:paraId="54E964BB"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983071">
              <w:rPr>
                <w:rFonts w:eastAsia="Times New Roman" w:cs="Calibri"/>
                <w:b/>
                <w:bCs/>
                <w:color w:val="000000"/>
              </w:rPr>
              <w:t>$30,019,000</w:t>
            </w:r>
          </w:p>
        </w:tc>
      </w:tr>
      <w:tr w:rsidR="00692128" w:rsidRPr="00D1408B" w14:paraId="32D41D79" w14:textId="77777777" w:rsidTr="003420B4">
        <w:trPr>
          <w:trHeight w:val="480"/>
        </w:trPr>
        <w:tc>
          <w:tcPr>
            <w:tcW w:w="8175"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vAlign w:val="center"/>
            <w:hideMark/>
          </w:tcPr>
          <w:p w14:paraId="2105BB09" w14:textId="3A5BF6AE"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Child and Adolescent Immunizations</w:t>
            </w:r>
            <w:r>
              <w:rPr>
                <w:rFonts w:eastAsia="Calibri" w:cs="Calibri"/>
                <w:color w:val="000000" w:themeColor="text1"/>
              </w:rPr>
              <w:t xml:space="preserve"> addresses</w:t>
            </w:r>
            <w:r w:rsidRPr="3863ED53" w:rsidDel="00A4044A">
              <w:rPr>
                <w:rFonts w:eastAsia="Calibri" w:cs="Calibri"/>
                <w:color w:val="000000" w:themeColor="text1"/>
              </w:rPr>
              <w:t xml:space="preserve"> </w:t>
            </w:r>
            <w:r w:rsidRPr="3863ED53">
              <w:rPr>
                <w:rFonts w:eastAsia="Calibri" w:cs="Calibri"/>
                <w:color w:val="000000" w:themeColor="text1"/>
              </w:rPr>
              <w:t xml:space="preserve">systemic barriers to vaccine delivery, and </w:t>
            </w:r>
            <w:r w:rsidR="004142CC">
              <w:rPr>
                <w:rFonts w:eastAsia="Calibri" w:cs="Calibri"/>
                <w:color w:val="000000" w:themeColor="text1"/>
              </w:rPr>
              <w:t xml:space="preserve">communities’ </w:t>
            </w:r>
            <w:r w:rsidRPr="3863ED53">
              <w:rPr>
                <w:rFonts w:eastAsia="Calibri" w:cs="Calibri"/>
                <w:color w:val="000000" w:themeColor="text1"/>
              </w:rPr>
              <w:t xml:space="preserve">emergent and changing basic healthcare needs </w:t>
            </w:r>
            <w:r w:rsidRPr="003D25D8">
              <w:rPr>
                <w:rFonts w:eastAsia="Calibri" w:cs="Calibri"/>
              </w:rPr>
              <w:t>by gathering key stakeholders</w:t>
            </w:r>
            <w:r w:rsidR="0049480A">
              <w:rPr>
                <w:rFonts w:eastAsia="Calibri" w:cs="Calibri"/>
              </w:rPr>
              <w:t xml:space="preserve"> and </w:t>
            </w:r>
            <w:r w:rsidR="008F6C8C">
              <w:rPr>
                <w:rFonts w:eastAsia="Calibri" w:cs="Calibri"/>
              </w:rPr>
              <w:t>implementing</w:t>
            </w:r>
            <w:r w:rsidRPr="003D25D8">
              <w:rPr>
                <w:rFonts w:eastAsia="Calibri" w:cs="Calibri"/>
              </w:rPr>
              <w:t xml:space="preserve"> quality improvement </w:t>
            </w:r>
            <w:r w:rsidR="00FC1E2F">
              <w:rPr>
                <w:rFonts w:eastAsia="Calibri" w:cs="Calibri"/>
              </w:rPr>
              <w:t>in</w:t>
            </w:r>
            <w:r w:rsidRPr="003D25D8">
              <w:rPr>
                <w:rFonts w:eastAsia="Calibri" w:cs="Calibri"/>
              </w:rPr>
              <w:t xml:space="preserve"> pediatric healthcare</w:t>
            </w:r>
            <w:r w:rsidR="0049480A">
              <w:rPr>
                <w:rFonts w:eastAsia="Calibri" w:cs="Calibri"/>
              </w:rPr>
              <w:t>.</w:t>
            </w:r>
          </w:p>
        </w:tc>
        <w:tc>
          <w:tcPr>
            <w:tcW w:w="1530"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73E4FD3E"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$2,853,000 </w:t>
            </w:r>
          </w:p>
        </w:tc>
      </w:tr>
    </w:tbl>
    <w:p w14:paraId="39325E16" w14:textId="77777777" w:rsidR="009C4F03" w:rsidRDefault="009C4F03" w:rsidP="00B20C7D">
      <w:pPr>
        <w:shd w:val="clear" w:color="auto" w:fill="FFFFFF" w:themeFill="background1"/>
        <w:spacing w:line="240" w:lineRule="auto"/>
      </w:pPr>
    </w:p>
    <w:p w14:paraId="72A4F67A" w14:textId="3464EB78" w:rsidR="00BF44DA" w:rsidRPr="003420B4" w:rsidRDefault="000A67D3" w:rsidP="003420B4">
      <w:pPr>
        <w:rPr>
          <w:rFonts w:asciiTheme="minorHAnsi" w:eastAsiaTheme="majorEastAsia" w:hAnsiTheme="minorHAnsi" w:cstheme="minorHAnsi"/>
          <w:b/>
          <w:sz w:val="20"/>
          <w:szCs w:val="20"/>
        </w:rPr>
      </w:pPr>
      <w:r>
        <w:rPr>
          <w:rFonts w:asciiTheme="minorHAnsi" w:eastAsiaTheme="majorEastAsia" w:hAnsiTheme="minorHAnsi" w:cstheme="minorHAnsi"/>
          <w:b/>
          <w:bCs/>
        </w:rPr>
        <w:t xml:space="preserve">Youth and Family Homelessness Prevention Initiative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bCs/>
          <w:i/>
          <w:iCs/>
        </w:rPr>
        <w:t>Funding Estimate: $29,241,000</w:t>
      </w:r>
    </w:p>
    <w:p w14:paraId="54E47904" w14:textId="22410027" w:rsidR="00F13EA9" w:rsidRDefault="00F13EA9" w:rsidP="003420B4">
      <w:pPr>
        <w:shd w:val="clear" w:color="auto" w:fill="FFFFFF" w:themeFill="background1"/>
        <w:rPr>
          <w:rFonts w:eastAsia="Calibri" w:cs="Calibri"/>
          <w:color w:val="000000" w:themeColor="text1"/>
        </w:rPr>
      </w:pPr>
      <w:r>
        <w:rPr>
          <w:rFonts w:eastAsia="Calibri" w:cs="Calibri"/>
          <w:color w:val="000000" w:themeColor="text1"/>
        </w:rPr>
        <w:t xml:space="preserve">The </w:t>
      </w:r>
      <w:r w:rsidRPr="00D03F1F">
        <w:rPr>
          <w:rFonts w:eastAsia="Calibri" w:cs="Calibri"/>
          <w:color w:val="000000" w:themeColor="text1"/>
        </w:rPr>
        <w:t xml:space="preserve">Youth and Family Homelessness Prevention Initiative (YFHPI) prevents </w:t>
      </w:r>
      <w:r>
        <w:rPr>
          <w:rFonts w:eastAsia="Calibri" w:cs="Calibri"/>
          <w:color w:val="000000" w:themeColor="text1"/>
        </w:rPr>
        <w:t>youth</w:t>
      </w:r>
      <w:r w:rsidRPr="00D03F1F">
        <w:rPr>
          <w:rFonts w:eastAsia="Calibri" w:cs="Calibri"/>
          <w:color w:val="000000" w:themeColor="text1"/>
        </w:rPr>
        <w:t xml:space="preserve"> and families </w:t>
      </w:r>
      <w:r>
        <w:rPr>
          <w:rFonts w:eastAsia="Calibri" w:cs="Calibri"/>
          <w:color w:val="000000" w:themeColor="text1"/>
        </w:rPr>
        <w:t xml:space="preserve">with children </w:t>
      </w:r>
      <w:r w:rsidRPr="00D03F1F">
        <w:rPr>
          <w:rFonts w:eastAsia="Calibri" w:cs="Calibri"/>
          <w:color w:val="000000" w:themeColor="text1"/>
        </w:rPr>
        <w:t>from becoming homeless by intervening quickly with landlords and housing providers to assist with maintaining permanent housing</w:t>
      </w:r>
      <w:r>
        <w:rPr>
          <w:rFonts w:eastAsia="Calibri" w:cs="Calibri"/>
          <w:color w:val="000000" w:themeColor="text1"/>
        </w:rPr>
        <w:t>.</w:t>
      </w:r>
      <w:r w:rsidR="005E1E94">
        <w:rPr>
          <w:rFonts w:eastAsia="Calibri" w:cs="Calibri"/>
          <w:color w:val="000000" w:themeColor="text1"/>
        </w:rPr>
        <w:t xml:space="preserve"> YFHPI is implemented through diverse community partners</w:t>
      </w:r>
      <w:r w:rsidR="004805C7">
        <w:rPr>
          <w:rFonts w:eastAsia="Calibri" w:cs="Calibri"/>
          <w:color w:val="000000" w:themeColor="text1"/>
        </w:rPr>
        <w:t xml:space="preserve">. The program </w:t>
      </w:r>
      <w:r w:rsidR="005E1E94">
        <w:rPr>
          <w:rFonts w:eastAsia="Calibri" w:cs="Calibri"/>
          <w:color w:val="000000" w:themeColor="text1"/>
        </w:rPr>
        <w:t xml:space="preserve">combines case management with financial assistance where necessary to </w:t>
      </w:r>
      <w:r w:rsidR="004805C7">
        <w:rPr>
          <w:rFonts w:eastAsia="Calibri" w:cs="Calibri"/>
          <w:color w:val="000000" w:themeColor="text1"/>
        </w:rPr>
        <w:t xml:space="preserve">enable </w:t>
      </w:r>
      <w:r w:rsidR="005E1E94">
        <w:rPr>
          <w:rFonts w:eastAsia="Calibri" w:cs="Calibri"/>
          <w:color w:val="000000" w:themeColor="text1"/>
        </w:rPr>
        <w:t xml:space="preserve">families </w:t>
      </w:r>
      <w:r w:rsidR="004805C7">
        <w:rPr>
          <w:rFonts w:eastAsia="Calibri" w:cs="Calibri"/>
          <w:color w:val="000000" w:themeColor="text1"/>
        </w:rPr>
        <w:t xml:space="preserve">to </w:t>
      </w:r>
      <w:r w:rsidR="005E1E94">
        <w:rPr>
          <w:rFonts w:eastAsia="Calibri" w:cs="Calibri"/>
          <w:color w:val="000000" w:themeColor="text1"/>
        </w:rPr>
        <w:t xml:space="preserve">maintain long-term housing stability. </w:t>
      </w:r>
    </w:p>
    <w:p w14:paraId="477C4FE6" w14:textId="77777777" w:rsidR="00F13EA9" w:rsidRDefault="00F13EA9" w:rsidP="003420B4">
      <w:pPr>
        <w:shd w:val="clear" w:color="auto" w:fill="FFFFFF" w:themeFill="background1"/>
        <w:rPr>
          <w:rFonts w:eastAsia="Calibri" w:cs="Calibri"/>
          <w:color w:val="000000" w:themeColor="text1"/>
        </w:rPr>
      </w:pPr>
    </w:p>
    <w:p w14:paraId="11B9210B" w14:textId="769913FD" w:rsidR="00BF44DA" w:rsidDel="00E92827" w:rsidRDefault="000A67D3" w:rsidP="00D47FE2">
      <w:pPr>
        <w:rPr>
          <w:rFonts w:eastAsia="Times New Roman" w:cs="Calibri"/>
          <w:b/>
          <w:i/>
        </w:rPr>
      </w:pPr>
      <w:r>
        <w:rPr>
          <w:rFonts w:asciiTheme="minorHAnsi" w:eastAsiaTheme="majorEastAsia" w:hAnsiTheme="minorHAnsi" w:cstheme="minorHAnsi"/>
          <w:b/>
          <w:bCs/>
        </w:rPr>
        <w:lastRenderedPageBreak/>
        <w:t xml:space="preserve">Communities of Opportunity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bCs/>
          <w:i/>
          <w:iCs/>
        </w:rPr>
        <w:t>Funding Estimate:  $46,534,000</w:t>
      </w:r>
    </w:p>
    <w:p w14:paraId="5EAD064A" w14:textId="57A5ECC0" w:rsidR="00E92827" w:rsidRDefault="008B7BA9" w:rsidP="003420B4">
      <w:pPr>
        <w:rPr>
          <w:rFonts w:eastAsia="Calibri" w:cs="Calibri"/>
          <w:color w:val="000000" w:themeColor="text1"/>
        </w:rPr>
      </w:pPr>
      <w:r w:rsidRPr="2D017921">
        <w:rPr>
          <w:rFonts w:eastAsia="Calibri" w:cs="Calibri"/>
          <w:color w:val="000000" w:themeColor="text1"/>
        </w:rPr>
        <w:t xml:space="preserve">COO </w:t>
      </w:r>
      <w:r>
        <w:rPr>
          <w:rFonts w:eastAsia="Calibri" w:cs="Calibri"/>
          <w:color w:val="000000" w:themeColor="text1"/>
        </w:rPr>
        <w:t>is</w:t>
      </w:r>
      <w:r w:rsidRPr="2D017921">
        <w:rPr>
          <w:rFonts w:eastAsia="Calibri" w:cs="Calibri"/>
          <w:color w:val="000000" w:themeColor="text1"/>
        </w:rPr>
        <w:t xml:space="preserve"> a network of residents, communities, decision-makers, and funders who believe every community can be a healthy, thriving community and that equity and racial justice are both necessary and achievable. </w:t>
      </w:r>
      <w:r w:rsidRPr="00354EFE">
        <w:rPr>
          <w:rFonts w:eastAsia="Calibri" w:cs="Calibri"/>
          <w:i/>
          <w:color w:val="000000" w:themeColor="text1"/>
        </w:rPr>
        <w:t>Best Starts</w:t>
      </w:r>
      <w:r w:rsidRPr="2D017921">
        <w:rPr>
          <w:rFonts w:eastAsia="Calibri" w:cs="Calibri"/>
          <w:color w:val="000000" w:themeColor="text1"/>
        </w:rPr>
        <w:t xml:space="preserve"> understands that the conditions in communities play an important role in contributing to healthy, thriving children and families</w:t>
      </w:r>
      <w:r w:rsidR="00DA1166">
        <w:rPr>
          <w:rFonts w:eastAsia="Calibri" w:cs="Calibri"/>
          <w:color w:val="000000" w:themeColor="text1"/>
        </w:rPr>
        <w:t>.</w:t>
      </w:r>
      <w:r w:rsidR="00F57AA6">
        <w:rPr>
          <w:rFonts w:eastAsia="Calibri" w:cs="Calibri"/>
          <w:color w:val="000000" w:themeColor="text1"/>
        </w:rPr>
        <w:t xml:space="preserve"> </w:t>
      </w:r>
      <w:r w:rsidR="00F57AA6" w:rsidRPr="00A63D01">
        <w:rPr>
          <w:rFonts w:eastAsia="Calibri" w:cs="Calibri"/>
          <w:color w:val="000000" w:themeColor="text1"/>
        </w:rPr>
        <w:t xml:space="preserve">COO works to secure additional funding sources to its program strategies; thus, it is important to retain flexibility in allocating amounts to the program areas. </w:t>
      </w:r>
      <w:r w:rsidR="00F57AA6">
        <w:rPr>
          <w:rFonts w:eastAsia="Calibri" w:cs="Calibri"/>
          <w:color w:val="000000" w:themeColor="text1"/>
        </w:rPr>
        <w:t xml:space="preserve"> </w:t>
      </w:r>
      <w:r w:rsidR="00F57AA6" w:rsidRPr="00A63D01">
        <w:rPr>
          <w:rFonts w:eastAsia="Calibri" w:cs="Calibri"/>
          <w:color w:val="000000" w:themeColor="text1"/>
        </w:rPr>
        <w:t xml:space="preserve">Each program strategy </w:t>
      </w:r>
      <w:r w:rsidR="00F57AA6">
        <w:rPr>
          <w:rFonts w:eastAsia="Calibri" w:cs="Calibri"/>
          <w:color w:val="000000" w:themeColor="text1"/>
        </w:rPr>
        <w:t xml:space="preserve">outlined in Table </w:t>
      </w:r>
      <w:r w:rsidR="0068237D">
        <w:rPr>
          <w:rFonts w:eastAsia="Calibri" w:cs="Calibri"/>
          <w:color w:val="000000" w:themeColor="text1"/>
        </w:rPr>
        <w:t>4</w:t>
      </w:r>
      <w:r w:rsidR="00F57AA6">
        <w:rPr>
          <w:rFonts w:eastAsia="Calibri" w:cs="Calibri"/>
          <w:color w:val="000000" w:themeColor="text1"/>
        </w:rPr>
        <w:t xml:space="preserve"> </w:t>
      </w:r>
      <w:r w:rsidR="00F57AA6" w:rsidRPr="00A63D01">
        <w:rPr>
          <w:rFonts w:eastAsia="Calibri" w:cs="Calibri"/>
          <w:color w:val="000000" w:themeColor="text1"/>
        </w:rPr>
        <w:t>below includes an estimated funding range, expressed as a percentage of the total COO funding.</w:t>
      </w:r>
      <w:r w:rsidR="00F1116A">
        <w:rPr>
          <w:rStyle w:val="FootnoteReference"/>
          <w:rFonts w:eastAsia="Calibri" w:cs="Calibri"/>
          <w:color w:val="000000" w:themeColor="text1"/>
        </w:rPr>
        <w:footnoteReference w:id="25"/>
      </w:r>
    </w:p>
    <w:p w14:paraId="68388615" w14:textId="56A084BB" w:rsidR="00254EB0" w:rsidRPr="00254EB0" w:rsidRDefault="00254EB0" w:rsidP="003420B4">
      <w:pPr>
        <w:pStyle w:val="Caption"/>
        <w:keepNext/>
        <w:spacing w:after="0" w:line="259" w:lineRule="auto"/>
      </w:pPr>
    </w:p>
    <w:p w14:paraId="34F4302E" w14:textId="08F21BC1" w:rsidR="00100AD5" w:rsidRDefault="00100AD5" w:rsidP="00100AD5">
      <w:pPr>
        <w:pStyle w:val="Caption"/>
        <w:keepNext/>
      </w:pPr>
      <w:r>
        <w:t xml:space="preserve">Table </w:t>
      </w:r>
      <w:fldSimple w:instr=" SEQ Table \* ARABIC ">
        <w:r w:rsidR="00B8538C">
          <w:rPr>
            <w:noProof/>
          </w:rPr>
          <w:t>4</w:t>
        </w:r>
      </w:fldSimple>
      <w:r>
        <w:t xml:space="preserve">: </w:t>
      </w:r>
      <w:r w:rsidRPr="004C1EDF">
        <w:t>Communities of Opportunity Strategies Funding Estimates</w:t>
      </w:r>
    </w:p>
    <w:tbl>
      <w:tblPr>
        <w:tblW w:w="9615" w:type="dxa"/>
        <w:tblLook w:val="04A0" w:firstRow="1" w:lastRow="0" w:firstColumn="1" w:lastColumn="0" w:noHBand="0" w:noVBand="1"/>
      </w:tblPr>
      <w:tblGrid>
        <w:gridCol w:w="6375"/>
        <w:gridCol w:w="3240"/>
      </w:tblGrid>
      <w:tr w:rsidR="005E1E94" w:rsidRPr="00023DB4" w14:paraId="70A3CFB4" w14:textId="77777777" w:rsidTr="003420B4">
        <w:trPr>
          <w:trHeight w:val="267"/>
        </w:trPr>
        <w:tc>
          <w:tcPr>
            <w:tcW w:w="6375"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27FB770D" w14:textId="12CA7798" w:rsidR="005E1E94" w:rsidRPr="003420B4" w:rsidRDefault="005E1E94" w:rsidP="00023DB4">
            <w:pPr>
              <w:spacing w:line="240" w:lineRule="auto"/>
              <w:rPr>
                <w:rFonts w:eastAsia="Times New Roman" w:cs="Calibri"/>
                <w:b/>
                <w:bCs/>
                <w:i/>
                <w:iCs/>
              </w:rPr>
            </w:pPr>
            <w:r w:rsidRPr="003420B4">
              <w:rPr>
                <w:rFonts w:eastAsia="Times New Roman" w:cs="Calibri"/>
                <w:b/>
                <w:bCs/>
                <w:i/>
                <w:iCs/>
              </w:rPr>
              <w:t>Strategy</w:t>
            </w:r>
          </w:p>
        </w:tc>
        <w:tc>
          <w:tcPr>
            <w:tcW w:w="3240" w:type="dxa"/>
            <w:tcBorders>
              <w:top w:val="single" w:sz="12" w:space="0" w:color="FFD966"/>
              <w:left w:val="nil"/>
              <w:bottom w:val="single" w:sz="8" w:space="0" w:color="FFD966"/>
              <w:right w:val="single" w:sz="12" w:space="0" w:color="FFD966"/>
            </w:tcBorders>
            <w:shd w:val="clear" w:color="000000" w:fill="D9E1F2"/>
            <w:noWrap/>
            <w:vAlign w:val="center"/>
            <w:hideMark/>
          </w:tcPr>
          <w:p w14:paraId="7512E338" w14:textId="77777777" w:rsidR="005E1E94" w:rsidRPr="003420B4" w:rsidRDefault="005E1E94" w:rsidP="003420B4">
            <w:pPr>
              <w:spacing w:line="240" w:lineRule="auto"/>
              <w:jc w:val="right"/>
              <w:rPr>
                <w:rFonts w:eastAsia="Times New Roman" w:cs="Calibri"/>
                <w:b/>
                <w:bCs/>
                <w:i/>
                <w:iCs/>
              </w:rPr>
            </w:pPr>
            <w:r w:rsidRPr="003420B4">
              <w:rPr>
                <w:rFonts w:eastAsia="Times New Roman" w:cs="Calibri"/>
                <w:b/>
                <w:i/>
                <w:iCs/>
              </w:rPr>
              <w:t>2022-2027</w:t>
            </w:r>
            <w:r w:rsidRPr="003420B4">
              <w:rPr>
                <w:rFonts w:eastAsia="Times New Roman" w:cs="Calibri"/>
                <w:b/>
                <w:bCs/>
                <w:i/>
                <w:iCs/>
              </w:rPr>
              <w:t xml:space="preserve"> Funding Estimate</w:t>
            </w:r>
          </w:p>
        </w:tc>
      </w:tr>
      <w:tr w:rsidR="005E1E94" w:rsidRPr="00EF61F1" w14:paraId="353DADCA" w14:textId="77777777" w:rsidTr="003420B4">
        <w:trPr>
          <w:trHeight w:val="480"/>
        </w:trPr>
        <w:tc>
          <w:tcPr>
            <w:tcW w:w="6375" w:type="dxa"/>
            <w:tcBorders>
              <w:top w:val="nil"/>
              <w:left w:val="single" w:sz="12" w:space="0" w:color="FFD966"/>
              <w:bottom w:val="single" w:sz="8" w:space="0" w:color="FFD966"/>
              <w:right w:val="single" w:sz="8" w:space="0" w:color="FFD966"/>
            </w:tcBorders>
            <w:shd w:val="clear" w:color="auto" w:fill="auto"/>
            <w:vAlign w:val="center"/>
            <w:hideMark/>
          </w:tcPr>
          <w:p w14:paraId="3993CF04" w14:textId="3BFED526" w:rsidR="005E1E94" w:rsidRPr="00EF61F1" w:rsidRDefault="005E1E94" w:rsidP="00480D3F">
            <w:pPr>
              <w:spacing w:line="240" w:lineRule="auto"/>
              <w:rPr>
                <w:rFonts w:eastAsia="Times New Roman" w:cs="Calibri"/>
                <w:b/>
                <w:bCs/>
                <w:color w:val="000000"/>
              </w:rPr>
            </w:pPr>
            <w:r>
              <w:rPr>
                <w:rFonts w:eastAsia="Calibri" w:cs="Calibri"/>
                <w:b/>
                <w:color w:val="000000" w:themeColor="text1"/>
              </w:rPr>
              <w:t>P</w:t>
            </w:r>
            <w:r w:rsidRPr="00D03F1F">
              <w:rPr>
                <w:rFonts w:eastAsia="Calibri" w:cs="Calibri"/>
                <w:b/>
                <w:color w:val="000000" w:themeColor="text1"/>
              </w:rPr>
              <w:t>artnerships in place-based and cultural communities</w:t>
            </w:r>
            <w:r w:rsidR="00480D3F">
              <w:rPr>
                <w:rFonts w:eastAsia="Calibri" w:cs="Calibri"/>
                <w:color w:val="000000" w:themeColor="text1"/>
              </w:rPr>
              <w:t xml:space="preserve"> s</w:t>
            </w:r>
            <w:r w:rsidRPr="00D03F1F">
              <w:rPr>
                <w:rFonts w:eastAsia="Calibri" w:cs="Calibri"/>
                <w:color w:val="000000" w:themeColor="text1"/>
              </w:rPr>
              <w:t>upporting local solutions</w:t>
            </w:r>
          </w:p>
        </w:tc>
        <w:tc>
          <w:tcPr>
            <w:tcW w:w="3240" w:type="dxa"/>
            <w:tcBorders>
              <w:top w:val="nil"/>
              <w:left w:val="nil"/>
              <w:bottom w:val="single" w:sz="8" w:space="0" w:color="FFD966"/>
              <w:right w:val="single" w:sz="12" w:space="0" w:color="FFD966"/>
            </w:tcBorders>
            <w:shd w:val="clear" w:color="auto" w:fill="auto"/>
            <w:noWrap/>
            <w:vAlign w:val="center"/>
            <w:hideMark/>
          </w:tcPr>
          <w:p w14:paraId="7679AF0E" w14:textId="226F0EA2" w:rsidR="005E1E94" w:rsidRPr="00EF61F1" w:rsidRDefault="005E1E94" w:rsidP="003420B4">
            <w:pPr>
              <w:spacing w:line="240" w:lineRule="auto"/>
              <w:jc w:val="right"/>
              <w:rPr>
                <w:rFonts w:eastAsia="Times New Roman" w:cs="Calibri"/>
                <w:b/>
                <w:bCs/>
                <w:color w:val="000000"/>
              </w:rPr>
            </w:pPr>
            <w:r>
              <w:rPr>
                <w:rFonts w:eastAsia="Times New Roman" w:cs="Calibri"/>
                <w:b/>
                <w:bCs/>
                <w:color w:val="000000"/>
              </w:rPr>
              <w:t>40-45</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of </w:t>
            </w:r>
            <w:r w:rsidR="00065F25">
              <w:rPr>
                <w:rFonts w:eastAsia="Times New Roman" w:cs="Calibri"/>
                <w:b/>
                <w:bCs/>
                <w:color w:val="000000"/>
              </w:rPr>
              <w:t>COO</w:t>
            </w:r>
            <w:r>
              <w:rPr>
                <w:rFonts w:eastAsia="Times New Roman" w:cs="Calibri"/>
                <w:b/>
                <w:bCs/>
                <w:color w:val="000000"/>
              </w:rPr>
              <w:t xml:space="preserve"> funding</w:t>
            </w:r>
          </w:p>
        </w:tc>
      </w:tr>
      <w:tr w:rsidR="005E1E94" w:rsidRPr="00EF61F1" w14:paraId="383616FE" w14:textId="77777777" w:rsidTr="003420B4">
        <w:trPr>
          <w:trHeight w:val="232"/>
        </w:trPr>
        <w:tc>
          <w:tcPr>
            <w:tcW w:w="6375" w:type="dxa"/>
            <w:tcBorders>
              <w:top w:val="nil"/>
              <w:left w:val="single" w:sz="12" w:space="0" w:color="FFD966"/>
              <w:bottom w:val="single" w:sz="8" w:space="0" w:color="FFD966"/>
              <w:right w:val="single" w:sz="8" w:space="0" w:color="FFD966"/>
            </w:tcBorders>
            <w:shd w:val="clear" w:color="auto" w:fill="auto"/>
            <w:vAlign w:val="center"/>
            <w:hideMark/>
          </w:tcPr>
          <w:p w14:paraId="1A40E20C" w14:textId="227EEBD2" w:rsidR="005E1E94" w:rsidRPr="00EF61F1" w:rsidRDefault="005E1E94" w:rsidP="006C1806">
            <w:pPr>
              <w:spacing w:line="240" w:lineRule="auto"/>
              <w:rPr>
                <w:rFonts w:eastAsia="Times New Roman" w:cs="Calibri"/>
                <w:b/>
                <w:bCs/>
                <w:color w:val="000000"/>
              </w:rPr>
            </w:pPr>
            <w:r>
              <w:rPr>
                <w:rFonts w:eastAsia="Calibri" w:cs="Calibri"/>
                <w:b/>
                <w:color w:val="000000" w:themeColor="text1"/>
              </w:rPr>
              <w:t>P</w:t>
            </w:r>
            <w:r w:rsidRPr="00D03F1F">
              <w:rPr>
                <w:rFonts w:eastAsia="Calibri" w:cs="Calibri"/>
                <w:b/>
                <w:color w:val="000000" w:themeColor="text1"/>
              </w:rPr>
              <w:t>olicies and systems change</w:t>
            </w:r>
            <w:r w:rsidR="00480D3F">
              <w:rPr>
                <w:rFonts w:eastAsia="Calibri" w:cs="Calibri"/>
                <w:b/>
                <w:color w:val="000000" w:themeColor="text1"/>
              </w:rPr>
              <w:t xml:space="preserve"> </w:t>
            </w:r>
            <w:r w:rsidR="0092312A">
              <w:rPr>
                <w:rFonts w:eastAsia="Calibri" w:cs="Calibri"/>
                <w:bCs/>
                <w:color w:val="000000" w:themeColor="text1"/>
              </w:rPr>
              <w:t>for</w:t>
            </w:r>
            <w:r w:rsidR="00843160">
              <w:rPr>
                <w:rFonts w:eastAsia="Calibri" w:cs="Calibri"/>
                <w:color w:val="000000" w:themeColor="text1"/>
              </w:rPr>
              <w:t xml:space="preserve"> racial, economic, and health </w:t>
            </w:r>
            <w:r w:rsidRPr="00D03F1F">
              <w:rPr>
                <w:rFonts w:eastAsia="Calibri" w:cs="Calibri"/>
                <w:color w:val="000000" w:themeColor="text1"/>
              </w:rPr>
              <w:t>equity</w:t>
            </w:r>
          </w:p>
        </w:tc>
        <w:tc>
          <w:tcPr>
            <w:tcW w:w="3240" w:type="dxa"/>
            <w:tcBorders>
              <w:top w:val="nil"/>
              <w:left w:val="nil"/>
              <w:bottom w:val="single" w:sz="8" w:space="0" w:color="FFD966"/>
              <w:right w:val="single" w:sz="12" w:space="0" w:color="FFD966"/>
            </w:tcBorders>
            <w:shd w:val="clear" w:color="auto" w:fill="auto"/>
            <w:noWrap/>
            <w:vAlign w:val="center"/>
            <w:hideMark/>
          </w:tcPr>
          <w:p w14:paraId="462C9AA9" w14:textId="2BA6E623" w:rsidR="005E1E94" w:rsidRPr="00EF61F1" w:rsidRDefault="005E1E94" w:rsidP="003420B4">
            <w:pPr>
              <w:spacing w:line="240" w:lineRule="auto"/>
              <w:jc w:val="right"/>
              <w:rPr>
                <w:rFonts w:eastAsia="Times New Roman" w:cs="Calibri"/>
                <w:b/>
                <w:bCs/>
                <w:color w:val="000000"/>
              </w:rPr>
            </w:pPr>
            <w:r>
              <w:rPr>
                <w:rFonts w:eastAsia="Times New Roman" w:cs="Calibri"/>
                <w:b/>
                <w:bCs/>
                <w:color w:val="000000"/>
              </w:rPr>
              <w:t>40-45</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of </w:t>
            </w:r>
            <w:r w:rsidR="00065F25">
              <w:rPr>
                <w:rFonts w:eastAsia="Times New Roman" w:cs="Calibri"/>
                <w:b/>
                <w:bCs/>
                <w:color w:val="000000"/>
              </w:rPr>
              <w:t>COO</w:t>
            </w:r>
            <w:r>
              <w:rPr>
                <w:rFonts w:eastAsia="Times New Roman" w:cs="Calibri"/>
                <w:b/>
                <w:bCs/>
                <w:color w:val="000000"/>
              </w:rPr>
              <w:t xml:space="preserve"> funding</w:t>
            </w:r>
          </w:p>
        </w:tc>
      </w:tr>
      <w:tr w:rsidR="005E1E94" w:rsidRPr="00EF61F1" w14:paraId="5B4C4177" w14:textId="77777777" w:rsidTr="003420B4">
        <w:trPr>
          <w:trHeight w:val="480"/>
        </w:trPr>
        <w:tc>
          <w:tcPr>
            <w:tcW w:w="6375" w:type="dxa"/>
            <w:tcBorders>
              <w:top w:val="nil"/>
              <w:left w:val="single" w:sz="12" w:space="0" w:color="FFD966"/>
              <w:bottom w:val="single" w:sz="8" w:space="0" w:color="FFD966"/>
              <w:right w:val="single" w:sz="8" w:space="0" w:color="FFD966"/>
            </w:tcBorders>
            <w:shd w:val="clear" w:color="auto" w:fill="auto"/>
            <w:vAlign w:val="center"/>
            <w:hideMark/>
          </w:tcPr>
          <w:p w14:paraId="0E1CE0B3" w14:textId="055F6661" w:rsidR="005E1E94" w:rsidRPr="00EF61F1" w:rsidRDefault="005E1E94" w:rsidP="006C1806">
            <w:pPr>
              <w:spacing w:line="240" w:lineRule="auto"/>
              <w:rPr>
                <w:rFonts w:eastAsia="Times New Roman" w:cs="Calibri"/>
                <w:b/>
                <w:bCs/>
                <w:color w:val="000000"/>
              </w:rPr>
            </w:pPr>
            <w:r w:rsidRPr="003A058D">
              <w:rPr>
                <w:rFonts w:eastAsia="Calibri" w:cs="Calibri"/>
                <w:b/>
                <w:bCs/>
                <w:color w:val="000000" w:themeColor="text1"/>
              </w:rPr>
              <w:t>Capacity building in community-based groups</w:t>
            </w:r>
            <w:r w:rsidR="001F1291">
              <w:rPr>
                <w:rFonts w:eastAsia="Calibri" w:cs="Calibri"/>
                <w:color w:val="000000" w:themeColor="text1"/>
              </w:rPr>
              <w:t>, t</w:t>
            </w:r>
            <w:r w:rsidRPr="00D03F1F">
              <w:rPr>
                <w:rFonts w:eastAsia="Calibri" w:cs="Calibri"/>
                <w:color w:val="000000" w:themeColor="text1"/>
              </w:rPr>
              <w:t xml:space="preserve">esting innovative models </w:t>
            </w:r>
            <w:r w:rsidR="001F1291">
              <w:rPr>
                <w:rFonts w:eastAsia="Calibri" w:cs="Calibri"/>
                <w:color w:val="000000" w:themeColor="text1"/>
              </w:rPr>
              <w:t>and</w:t>
            </w:r>
            <w:r>
              <w:rPr>
                <w:rFonts w:eastAsia="Calibri" w:cs="Calibri"/>
                <w:color w:val="000000" w:themeColor="text1"/>
              </w:rPr>
              <w:t xml:space="preserve"> </w:t>
            </w:r>
            <w:r w:rsidRPr="00D03F1F">
              <w:rPr>
                <w:rFonts w:eastAsia="Calibri" w:cs="Calibri"/>
                <w:color w:val="000000" w:themeColor="text1"/>
              </w:rPr>
              <w:t>leverag</w:t>
            </w:r>
            <w:r>
              <w:rPr>
                <w:rFonts w:eastAsia="Calibri" w:cs="Calibri"/>
                <w:color w:val="000000" w:themeColor="text1"/>
              </w:rPr>
              <w:t>ing</w:t>
            </w:r>
            <w:r w:rsidRPr="00D03F1F">
              <w:rPr>
                <w:rFonts w:eastAsia="Calibri" w:cs="Calibri"/>
                <w:color w:val="000000" w:themeColor="text1"/>
              </w:rPr>
              <w:t xml:space="preserve"> collective knowledge to accelerate change</w:t>
            </w:r>
          </w:p>
        </w:tc>
        <w:tc>
          <w:tcPr>
            <w:tcW w:w="3240" w:type="dxa"/>
            <w:tcBorders>
              <w:top w:val="nil"/>
              <w:left w:val="nil"/>
              <w:bottom w:val="single" w:sz="8" w:space="0" w:color="FFD966"/>
              <w:right w:val="single" w:sz="12" w:space="0" w:color="FFD966"/>
            </w:tcBorders>
            <w:shd w:val="clear" w:color="auto" w:fill="auto"/>
            <w:noWrap/>
            <w:vAlign w:val="center"/>
            <w:hideMark/>
          </w:tcPr>
          <w:p w14:paraId="04E4DF04" w14:textId="46A6BD98" w:rsidR="005E1E94" w:rsidRPr="00EF61F1" w:rsidRDefault="005E1E94" w:rsidP="003420B4">
            <w:pPr>
              <w:spacing w:line="240" w:lineRule="auto"/>
              <w:jc w:val="right"/>
              <w:rPr>
                <w:rFonts w:eastAsia="Times New Roman" w:cs="Calibri"/>
                <w:b/>
                <w:bCs/>
                <w:color w:val="000000"/>
              </w:rPr>
            </w:pPr>
            <w:r>
              <w:rPr>
                <w:rFonts w:eastAsia="Times New Roman" w:cs="Calibri"/>
                <w:b/>
                <w:bCs/>
                <w:color w:val="000000"/>
              </w:rPr>
              <w:t>Minimum 10</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and up to </w:t>
            </w:r>
            <w:r w:rsidR="0039008D">
              <w:rPr>
                <w:rFonts w:eastAsia="Times New Roman" w:cs="Calibri"/>
                <w:b/>
                <w:bCs/>
                <w:color w:val="000000"/>
              </w:rPr>
              <w:t>15</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of </w:t>
            </w:r>
            <w:r w:rsidR="00065F25">
              <w:rPr>
                <w:rFonts w:eastAsia="Times New Roman" w:cs="Calibri"/>
                <w:b/>
                <w:bCs/>
                <w:color w:val="000000"/>
              </w:rPr>
              <w:t>COO</w:t>
            </w:r>
            <w:r>
              <w:rPr>
                <w:rFonts w:eastAsia="Times New Roman" w:cs="Calibri"/>
                <w:b/>
                <w:bCs/>
                <w:color w:val="000000"/>
              </w:rPr>
              <w:t xml:space="preserve"> funding</w:t>
            </w:r>
          </w:p>
        </w:tc>
      </w:tr>
    </w:tbl>
    <w:p w14:paraId="4A21190B" w14:textId="77777777" w:rsidR="005E1E94" w:rsidRDefault="005E1E94" w:rsidP="005E1E94">
      <w:pPr>
        <w:shd w:val="clear" w:color="auto" w:fill="FFFFFF" w:themeFill="background1"/>
        <w:spacing w:line="240" w:lineRule="auto"/>
      </w:pPr>
    </w:p>
    <w:p w14:paraId="1432FF03" w14:textId="414F2774" w:rsidR="00A2539A" w:rsidRPr="003420B4" w:rsidRDefault="00A2539A" w:rsidP="00A2539A">
      <w:pPr>
        <w:rPr>
          <w:rFonts w:asciiTheme="minorHAnsi" w:eastAsiaTheme="majorEastAsia" w:hAnsiTheme="minorHAnsi" w:cstheme="minorHAnsi"/>
          <w:b/>
          <w:sz w:val="20"/>
          <w:szCs w:val="20"/>
        </w:rPr>
      </w:pPr>
      <w:r>
        <w:rPr>
          <w:rFonts w:asciiTheme="minorHAnsi" w:eastAsiaTheme="majorEastAsia" w:hAnsiTheme="minorHAnsi" w:cstheme="minorHAnsi"/>
          <w:b/>
          <w:bCs/>
        </w:rPr>
        <w:t xml:space="preserve">Capital Grants Program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i/>
          <w:iCs/>
        </w:rPr>
        <w:t>Funding Estimate: $50,000,000</w:t>
      </w:r>
    </w:p>
    <w:p w14:paraId="72CA8925" w14:textId="379F806E" w:rsidR="005E1E94" w:rsidRDefault="005E1E94" w:rsidP="005E1E94">
      <w:pPr>
        <w:contextualSpacing/>
        <w:rPr>
          <w:rFonts w:eastAsia="Calibri" w:cs="Calibri"/>
        </w:rPr>
      </w:pPr>
      <w:r w:rsidRPr="65049D61">
        <w:rPr>
          <w:rFonts w:eastAsia="Calibri" w:cs="Calibri"/>
          <w:i/>
          <w:iCs/>
        </w:rPr>
        <w:t>Best Starts’</w:t>
      </w:r>
      <w:r w:rsidRPr="4BD402C6">
        <w:rPr>
          <w:rFonts w:eastAsia="Calibri" w:cs="Calibri"/>
        </w:rPr>
        <w:t xml:space="preserve"> Capital </w:t>
      </w:r>
      <w:r w:rsidR="00F376E6">
        <w:rPr>
          <w:rFonts w:eastAsia="Calibri" w:cs="Calibri"/>
        </w:rPr>
        <w:t xml:space="preserve">Grants </w:t>
      </w:r>
      <w:r w:rsidRPr="4BD402C6">
        <w:rPr>
          <w:rFonts w:eastAsia="Calibri" w:cs="Calibri"/>
        </w:rPr>
        <w:t xml:space="preserve">Program will provide </w:t>
      </w:r>
      <w:r>
        <w:rPr>
          <w:rFonts w:eastAsia="Calibri" w:cs="Calibri"/>
        </w:rPr>
        <w:t>contracts</w:t>
      </w:r>
      <w:r w:rsidRPr="4BD402C6">
        <w:rPr>
          <w:rFonts w:eastAsia="Calibri" w:cs="Calibri"/>
        </w:rPr>
        <w:t xml:space="preserve"> for building repairs,</w:t>
      </w:r>
      <w:r w:rsidRPr="4BD402C6">
        <w:rPr>
          <w:rFonts w:eastAsia="Calibri" w:cs="Calibri"/>
          <w:color w:val="00B050"/>
        </w:rPr>
        <w:t xml:space="preserve"> </w:t>
      </w:r>
      <w:r w:rsidR="009655D4">
        <w:rPr>
          <w:rFonts w:eastAsia="Calibri" w:cs="Calibri"/>
        </w:rPr>
        <w:t>renovations</w:t>
      </w:r>
      <w:r w:rsidRPr="65049D61">
        <w:rPr>
          <w:rFonts w:eastAsia="Calibri" w:cs="Calibri"/>
        </w:rPr>
        <w:t xml:space="preserve"> and new construction or expansion to </w:t>
      </w:r>
      <w:r>
        <w:rPr>
          <w:rFonts w:eastAsia="Calibri" w:cs="Calibri"/>
        </w:rPr>
        <w:t>improve</w:t>
      </w:r>
      <w:r w:rsidRPr="65049D61">
        <w:rPr>
          <w:rFonts w:eastAsia="Calibri" w:cs="Calibri"/>
        </w:rPr>
        <w:t xml:space="preserve"> access </w:t>
      </w:r>
      <w:r>
        <w:rPr>
          <w:rFonts w:eastAsia="Calibri" w:cs="Calibri"/>
        </w:rPr>
        <w:t xml:space="preserve">to </w:t>
      </w:r>
      <w:r w:rsidRPr="65049D61">
        <w:rPr>
          <w:rFonts w:eastAsia="Calibri" w:cs="Calibri"/>
        </w:rPr>
        <w:t>high quality programs and services for low</w:t>
      </w:r>
      <w:r>
        <w:rPr>
          <w:rFonts w:eastAsia="Calibri" w:cs="Calibri"/>
        </w:rPr>
        <w:t>-</w:t>
      </w:r>
      <w:r w:rsidRPr="65049D61">
        <w:rPr>
          <w:rFonts w:eastAsia="Calibri" w:cs="Calibri"/>
        </w:rPr>
        <w:t>income children, youth, families and Black, Indigenous, People of Color (BIPOC)</w:t>
      </w:r>
      <w:r w:rsidR="00081616">
        <w:rPr>
          <w:rFonts w:eastAsia="Calibri" w:cs="Calibri"/>
        </w:rPr>
        <w:t>.</w:t>
      </w:r>
      <w:r w:rsidR="008461EB">
        <w:rPr>
          <w:rFonts w:eastAsia="Calibri" w:cs="Calibri"/>
        </w:rPr>
        <w:t xml:space="preserve"> </w:t>
      </w:r>
      <w:r w:rsidRPr="65049D61">
        <w:rPr>
          <w:rFonts w:eastAsia="Calibri" w:cs="Calibri"/>
        </w:rPr>
        <w:t>The program will focus on equitable community</w:t>
      </w:r>
      <w:r>
        <w:rPr>
          <w:rFonts w:eastAsia="Calibri" w:cs="Calibri"/>
        </w:rPr>
        <w:t>-</w:t>
      </w:r>
      <w:r w:rsidRPr="65049D61">
        <w:rPr>
          <w:rFonts w:eastAsia="Calibri" w:cs="Calibri"/>
        </w:rPr>
        <w:t>driven development to ensure projects are aligned with and serve the community’s needs.</w:t>
      </w:r>
      <w:r w:rsidRPr="65049D61" w:rsidDel="006773C6">
        <w:rPr>
          <w:rFonts w:eastAsia="Calibri" w:cs="Calibri"/>
        </w:rPr>
        <w:t xml:space="preserve"> </w:t>
      </w:r>
      <w:r w:rsidRPr="65049D61">
        <w:rPr>
          <w:rFonts w:eastAsia="Calibri" w:cs="Calibri"/>
        </w:rPr>
        <w:t>Eligible</w:t>
      </w:r>
      <w:r w:rsidRPr="65049D61" w:rsidDel="005F03BD">
        <w:rPr>
          <w:rFonts w:eastAsia="Calibri" w:cs="Calibri"/>
        </w:rPr>
        <w:t xml:space="preserve"> </w:t>
      </w:r>
      <w:r>
        <w:rPr>
          <w:rFonts w:eastAsia="Calibri" w:cs="Calibri"/>
        </w:rPr>
        <w:t>projects</w:t>
      </w:r>
      <w:r w:rsidRPr="65049D61">
        <w:rPr>
          <w:rFonts w:eastAsia="Calibri" w:cs="Calibri"/>
        </w:rPr>
        <w:t xml:space="preserve"> </w:t>
      </w:r>
      <w:r w:rsidR="006D3A7E">
        <w:t>may</w:t>
      </w:r>
      <w:r w:rsidRPr="65049D61">
        <w:rPr>
          <w:rFonts w:eastAsia="Calibri" w:cs="Calibri"/>
        </w:rPr>
        <w:t xml:space="preserve"> include</w:t>
      </w:r>
      <w:r>
        <w:rPr>
          <w:rFonts w:eastAsia="Calibri" w:cs="Calibri"/>
        </w:rPr>
        <w:t>,</w:t>
      </w:r>
      <w:r w:rsidRPr="65049D61">
        <w:rPr>
          <w:rFonts w:eastAsia="Calibri" w:cs="Calibri"/>
        </w:rPr>
        <w:t xml:space="preserve"> but are not limited to</w:t>
      </w:r>
      <w:r>
        <w:rPr>
          <w:rFonts w:eastAsia="Calibri" w:cs="Calibri"/>
        </w:rPr>
        <w:t>,</w:t>
      </w:r>
      <w:r w:rsidRPr="65049D61">
        <w:rPr>
          <w:rFonts w:eastAsia="Calibri" w:cs="Calibri"/>
        </w:rPr>
        <w:t xml:space="preserve"> </w:t>
      </w:r>
      <w:r w:rsidR="006D3A7E">
        <w:t>recreational, early learning, and child care facilities and housing for youth, young adults, and families</w:t>
      </w:r>
      <w:r>
        <w:rPr>
          <w:rFonts w:eastAsia="Calibri" w:cs="Calibri"/>
        </w:rPr>
        <w:t>.</w:t>
      </w:r>
      <w:r w:rsidR="009E4BEB">
        <w:rPr>
          <w:rStyle w:val="FootnoteReference"/>
        </w:rPr>
        <w:footnoteReference w:id="26"/>
      </w:r>
      <w:r>
        <w:rPr>
          <w:rFonts w:eastAsia="Calibri" w:cs="Calibri"/>
        </w:rPr>
        <w:t xml:space="preserve"> </w:t>
      </w:r>
      <w:r w:rsidR="00EE18EE">
        <w:rPr>
          <w:rFonts w:eastAsia="Calibri" w:cs="Calibri"/>
        </w:rPr>
        <w:t>As directed by Ordinance 19267, f</w:t>
      </w:r>
      <w:r>
        <w:rPr>
          <w:rFonts w:eastAsia="Calibri" w:cs="Calibri"/>
        </w:rPr>
        <w:t>unding will</w:t>
      </w:r>
      <w:r w:rsidRPr="65049D61">
        <w:rPr>
          <w:rFonts w:eastAsia="Calibri" w:cs="Calibri"/>
        </w:rPr>
        <w:t xml:space="preserve"> be available for </w:t>
      </w:r>
      <w:r w:rsidR="00EE18EE">
        <w:rPr>
          <w:rFonts w:eastAsia="Calibri" w:cs="Calibri"/>
        </w:rPr>
        <w:t>c</w:t>
      </w:r>
      <w:r w:rsidRPr="65049D61">
        <w:rPr>
          <w:rFonts w:eastAsia="Calibri" w:cs="Calibri"/>
        </w:rPr>
        <w:t xml:space="preserve">apital </w:t>
      </w:r>
      <w:r>
        <w:rPr>
          <w:rFonts w:eastAsia="Calibri" w:cs="Calibri"/>
        </w:rPr>
        <w:t>contracts</w:t>
      </w:r>
      <w:r w:rsidRPr="65049D61" w:rsidDel="00413991">
        <w:rPr>
          <w:rFonts w:eastAsia="Calibri" w:cs="Calibri"/>
        </w:rPr>
        <w:t xml:space="preserve"> </w:t>
      </w:r>
      <w:r>
        <w:rPr>
          <w:rFonts w:eastAsia="Calibri" w:cs="Calibri"/>
        </w:rPr>
        <w:t>when</w:t>
      </w:r>
      <w:r w:rsidRPr="65049D61">
        <w:rPr>
          <w:rFonts w:eastAsia="Calibri" w:cs="Calibri"/>
        </w:rPr>
        <w:t xml:space="preserve"> </w:t>
      </w:r>
      <w:r w:rsidRPr="00C90C7B">
        <w:rPr>
          <w:rFonts w:eastAsia="Calibri" w:cs="Calibri"/>
          <w:i/>
        </w:rPr>
        <w:t>Best Starts</w:t>
      </w:r>
      <w:r>
        <w:rPr>
          <w:rFonts w:eastAsia="Calibri" w:cs="Calibri"/>
        </w:rPr>
        <w:t xml:space="preserve"> levy </w:t>
      </w:r>
      <w:r w:rsidRPr="65049D61">
        <w:rPr>
          <w:rFonts w:eastAsia="Calibri" w:cs="Calibri"/>
        </w:rPr>
        <w:t>revenues are anticipated above $822</w:t>
      </w:r>
      <w:r w:rsidR="00824485">
        <w:rPr>
          <w:rFonts w:eastAsia="Calibri" w:cs="Calibri"/>
        </w:rPr>
        <w:t xml:space="preserve"> million</w:t>
      </w:r>
      <w:r w:rsidRPr="65049D61">
        <w:rPr>
          <w:rFonts w:eastAsia="Calibri" w:cs="Calibri"/>
        </w:rPr>
        <w:t>.</w:t>
      </w:r>
      <w:r w:rsidR="00B547C2">
        <w:rPr>
          <w:rStyle w:val="FootnoteReference"/>
          <w:rFonts w:eastAsia="Calibri" w:cs="Calibri"/>
        </w:rPr>
        <w:footnoteReference w:id="27"/>
      </w:r>
      <w:r w:rsidRPr="65049D61">
        <w:rPr>
          <w:rFonts w:eastAsia="Calibri" w:cs="Calibri"/>
        </w:rPr>
        <w:t xml:space="preserve"> Revenue forecasts will be evaluated annually to determine the amount of funding available. </w:t>
      </w:r>
      <w:r w:rsidRPr="4BD402C6">
        <w:rPr>
          <w:rFonts w:eastAsia="Calibri" w:cs="Calibri"/>
        </w:rPr>
        <w:t>If projections are less, the</w:t>
      </w:r>
      <w:r>
        <w:rPr>
          <w:rFonts w:eastAsia="Calibri" w:cs="Calibri"/>
        </w:rPr>
        <w:t>n the</w:t>
      </w:r>
      <w:r w:rsidRPr="4BD402C6">
        <w:rPr>
          <w:rFonts w:eastAsia="Calibri" w:cs="Calibri"/>
        </w:rPr>
        <w:t xml:space="preserve"> </w:t>
      </w:r>
      <w:r>
        <w:rPr>
          <w:rFonts w:eastAsia="Calibri" w:cs="Calibri"/>
        </w:rPr>
        <w:t>C</w:t>
      </w:r>
      <w:r w:rsidRPr="4BD402C6">
        <w:rPr>
          <w:rFonts w:eastAsia="Calibri" w:cs="Calibri"/>
        </w:rPr>
        <w:t xml:space="preserve">apital </w:t>
      </w:r>
      <w:r>
        <w:rPr>
          <w:rFonts w:eastAsia="Calibri" w:cs="Calibri"/>
        </w:rPr>
        <w:t>G</w:t>
      </w:r>
      <w:r w:rsidRPr="4BD402C6">
        <w:rPr>
          <w:rFonts w:eastAsia="Calibri" w:cs="Calibri"/>
        </w:rPr>
        <w:t xml:space="preserve">rants </w:t>
      </w:r>
      <w:r>
        <w:rPr>
          <w:rFonts w:eastAsia="Calibri" w:cs="Calibri"/>
        </w:rPr>
        <w:t>P</w:t>
      </w:r>
      <w:r w:rsidRPr="4BD402C6">
        <w:rPr>
          <w:rFonts w:eastAsia="Calibri" w:cs="Calibri"/>
        </w:rPr>
        <w:t>rogram will be reduced accordingly.</w:t>
      </w:r>
    </w:p>
    <w:p w14:paraId="5EFC3B96" w14:textId="77777777" w:rsidR="005E1E94" w:rsidRDefault="005E1E94" w:rsidP="005E1E94">
      <w:pPr>
        <w:shd w:val="clear" w:color="auto" w:fill="FFFFFF" w:themeFill="background1"/>
        <w:spacing w:line="240" w:lineRule="auto"/>
      </w:pPr>
    </w:p>
    <w:p w14:paraId="625407C9" w14:textId="0EAFCB0B" w:rsidR="008C204A" w:rsidRPr="003420B4" w:rsidRDefault="00A2539A" w:rsidP="003420B4">
      <w:pPr>
        <w:rPr>
          <w:rFonts w:asciiTheme="minorHAnsi" w:eastAsiaTheme="majorEastAsia" w:hAnsiTheme="minorHAnsi" w:cstheme="minorHAnsi"/>
          <w:b/>
        </w:rPr>
      </w:pPr>
      <w:r>
        <w:rPr>
          <w:rFonts w:asciiTheme="minorHAnsi" w:eastAsiaTheme="majorEastAsia" w:hAnsiTheme="minorHAnsi" w:cstheme="minorHAnsi"/>
          <w:b/>
          <w:bCs/>
        </w:rPr>
        <w:t xml:space="preserve">Technical Assistance and Capacity Building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i/>
          <w:iCs/>
        </w:rPr>
        <w:t>Funding Estimate: $11,750,000</w:t>
      </w:r>
    </w:p>
    <w:p w14:paraId="4CBB92C5" w14:textId="3DE56F0B" w:rsidR="005E1E94" w:rsidRDefault="005E1E94" w:rsidP="005E1E94">
      <w:pPr>
        <w:contextualSpacing/>
        <w:rPr>
          <w:rFonts w:eastAsia="Calibri" w:cs="Calibri"/>
          <w: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recognizes that many organizations, and the communities they serve, have historically experienced barriers to funding opportunities from government agencies such as King County. To address this, </w:t>
      </w:r>
      <w:r w:rsidRPr="00D03F1F">
        <w:rPr>
          <w:rFonts w:eastAsia="Calibri" w:cs="Calibri"/>
          <w:i/>
          <w:color w:val="000000" w:themeColor="text1"/>
        </w:rPr>
        <w:t>Best Starts</w:t>
      </w:r>
      <w:r w:rsidRPr="00D03F1F">
        <w:rPr>
          <w:rFonts w:eastAsia="Calibri" w:cs="Calibri"/>
          <w:color w:val="000000" w:themeColor="text1"/>
        </w:rPr>
        <w:t xml:space="preserve"> provides free technical assistance to remove linguistic, cultural, and procedural </w:t>
      </w:r>
      <w:r w:rsidR="00497072">
        <w:rPr>
          <w:rFonts w:eastAsia="Calibri" w:cs="Calibri"/>
          <w:color w:val="000000" w:themeColor="text1"/>
        </w:rPr>
        <w:t>obstacles</w:t>
      </w:r>
      <w:r w:rsidR="00497072" w:rsidRPr="00D03F1F">
        <w:rPr>
          <w:rFonts w:eastAsia="Calibri" w:cs="Calibri"/>
          <w:color w:val="000000" w:themeColor="text1"/>
        </w:rPr>
        <w:t xml:space="preserve"> </w:t>
      </w:r>
      <w:r w:rsidRPr="00D03F1F">
        <w:rPr>
          <w:rFonts w:eastAsia="Calibri" w:cs="Calibri"/>
          <w:color w:val="000000" w:themeColor="text1"/>
        </w:rPr>
        <w:t xml:space="preserve">that might prevent qualified organizations from seeking </w:t>
      </w:r>
      <w:r w:rsidRPr="00321800">
        <w:rPr>
          <w:rFonts w:eastAsia="Calibri" w:cs="Calibri"/>
          <w:i/>
          <w:iCs/>
          <w:color w:val="000000" w:themeColor="text1"/>
        </w:rPr>
        <w:t>Best Starts</w:t>
      </w:r>
      <w:r w:rsidRPr="00D03F1F">
        <w:rPr>
          <w:rFonts w:eastAsia="Calibri" w:cs="Calibri"/>
          <w:color w:val="000000" w:themeColor="text1"/>
        </w:rPr>
        <w:t xml:space="preserve"> funding</w:t>
      </w:r>
      <w:r w:rsidR="00081616">
        <w:rPr>
          <w:rFonts w:eastAsia="Calibri" w:cs="Calibri"/>
          <w:color w:val="000000" w:themeColor="text1"/>
        </w:rPr>
        <w:t>.</w:t>
      </w:r>
    </w:p>
    <w:p w14:paraId="52FA66DB" w14:textId="77777777" w:rsidR="005E1E94" w:rsidRPr="00D03F1F" w:rsidRDefault="005E1E94" w:rsidP="005E1E94">
      <w:pPr>
        <w:contextualSpacing/>
        <w:rPr>
          <w:rFonts w:eastAsia="Calibri" w:cs="Calibri"/>
          <w:color w:val="000000" w:themeColor="text1"/>
        </w:rPr>
      </w:pPr>
    </w:p>
    <w:p w14:paraId="67FFE3CF" w14:textId="7FA49BAA" w:rsidR="005E1E94" w:rsidRPr="00D03F1F" w:rsidRDefault="005E1E94" w:rsidP="005E1E94">
      <w:pPr>
        <w:contextualSpacing/>
        <w:rPr>
          <w:rFonts w:eastAsia="Calibri" w:cs="Calibr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Capacity Building Support (CB) </w:t>
      </w:r>
      <w:r w:rsidR="00240DB6">
        <w:rPr>
          <w:rFonts w:eastAsia="Calibri" w:cs="Calibri"/>
          <w:color w:val="000000" w:themeColor="text1"/>
        </w:rPr>
        <w:t xml:space="preserve">is available to </w:t>
      </w:r>
      <w:r w:rsidR="00240DB6" w:rsidRPr="00D03F1F">
        <w:rPr>
          <w:rFonts w:eastAsia="Calibri" w:cs="Calibri"/>
          <w:i/>
          <w:color w:val="000000" w:themeColor="text1"/>
        </w:rPr>
        <w:t>Best Starts</w:t>
      </w:r>
      <w:r w:rsidR="00240DB6" w:rsidRPr="00D03F1F">
        <w:rPr>
          <w:rFonts w:eastAsia="Calibri" w:cs="Calibri"/>
          <w:color w:val="000000" w:themeColor="text1"/>
        </w:rPr>
        <w:t>-awarded organizations</w:t>
      </w:r>
      <w:r w:rsidR="00240DB6" w:rsidRPr="00D03F1F" w:rsidDel="00240DB6">
        <w:rPr>
          <w:rFonts w:eastAsia="Calibri" w:cs="Calibri"/>
          <w:color w:val="000000" w:themeColor="text1"/>
        </w:rPr>
        <w:t xml:space="preserve"> </w:t>
      </w:r>
      <w:r w:rsidR="00240DB6">
        <w:rPr>
          <w:rFonts w:eastAsia="Calibri" w:cs="Calibri"/>
          <w:color w:val="000000" w:themeColor="text1"/>
        </w:rPr>
        <w:t>to provide and co-create</w:t>
      </w:r>
      <w:r w:rsidRPr="00D03F1F">
        <w:rPr>
          <w:rFonts w:eastAsia="Calibri" w:cs="Calibri"/>
          <w:color w:val="000000" w:themeColor="text1"/>
        </w:rPr>
        <w:t xml:space="preserve"> information, tools, </w:t>
      </w:r>
      <w:r w:rsidR="00061F0A">
        <w:rPr>
          <w:rFonts w:eastAsia="Calibri" w:cs="Calibri"/>
          <w:color w:val="000000" w:themeColor="text1"/>
        </w:rPr>
        <w:t xml:space="preserve">and </w:t>
      </w:r>
      <w:r w:rsidRPr="00D03F1F">
        <w:rPr>
          <w:rFonts w:eastAsia="Calibri" w:cs="Calibri"/>
          <w:color w:val="000000" w:themeColor="text1"/>
        </w:rPr>
        <w:t>resources to strengthen the</w:t>
      </w:r>
      <w:r w:rsidR="00240DB6">
        <w:rPr>
          <w:rFonts w:eastAsia="Calibri" w:cs="Calibri"/>
          <w:color w:val="000000" w:themeColor="text1"/>
        </w:rPr>
        <w:t>ir</w:t>
      </w:r>
      <w:r w:rsidRPr="00D03F1F">
        <w:rPr>
          <w:rFonts w:eastAsia="Calibri" w:cs="Calibri"/>
          <w:color w:val="000000" w:themeColor="text1"/>
        </w:rPr>
        <w:t xml:space="preserve"> infrastructure</w:t>
      </w:r>
      <w:r w:rsidR="00D262BB">
        <w:rPr>
          <w:rFonts w:eastAsia="Calibri" w:cs="Calibri"/>
          <w:color w:val="000000" w:themeColor="text1"/>
        </w:rPr>
        <w:t>, address service gaps,</w:t>
      </w:r>
      <w:r w:rsidR="002054A2">
        <w:rPr>
          <w:rFonts w:eastAsia="Calibri" w:cs="Calibri"/>
          <w:color w:val="000000" w:themeColor="text1"/>
        </w:rPr>
        <w:t xml:space="preserve"> </w:t>
      </w:r>
      <w:r w:rsidR="002054A2">
        <w:rPr>
          <w:rFonts w:eastAsia="Calibri" w:cs="Calibri"/>
          <w:color w:val="000000" w:themeColor="text1"/>
        </w:rPr>
        <w:lastRenderedPageBreak/>
        <w:t>and</w:t>
      </w:r>
      <w:r>
        <w:rPr>
          <w:rFonts w:eastAsia="Calibri" w:cs="Calibri"/>
          <w:color w:val="000000" w:themeColor="text1"/>
        </w:rPr>
        <w:t xml:space="preserve"> build capacity</w:t>
      </w:r>
      <w:r w:rsidRPr="00D03F1F">
        <w:rPr>
          <w:rFonts w:eastAsia="Calibri" w:cs="Calibri"/>
          <w:color w:val="000000" w:themeColor="text1"/>
        </w:rPr>
        <w:t xml:space="preserve">. </w:t>
      </w:r>
      <w:r w:rsidRPr="10A3FFFA">
        <w:rPr>
          <w:rFonts w:eastAsia="Calibri" w:cs="Calibri"/>
          <w:color w:val="000000" w:themeColor="text1"/>
        </w:rPr>
        <w:t>Capacity builders offer individualized, responsive coaching and training to support organizations’ capabilities.</w:t>
      </w:r>
      <w:r w:rsidR="00D028AF">
        <w:rPr>
          <w:rStyle w:val="FootnoteReference"/>
          <w:rFonts w:eastAsia="Calibri" w:cs="Calibri"/>
          <w:color w:val="000000" w:themeColor="text1"/>
        </w:rPr>
        <w:footnoteReference w:id="28"/>
      </w:r>
      <w:r w:rsidRPr="10A3FFFA">
        <w:rPr>
          <w:rFonts w:eastAsia="Calibri" w:cs="Calibri"/>
          <w:color w:val="000000" w:themeColor="text1"/>
        </w:rPr>
        <w:t xml:space="preserve"> </w:t>
      </w:r>
    </w:p>
    <w:p w14:paraId="71F9715B" w14:textId="77777777" w:rsidR="005E1E94" w:rsidRDefault="005E1E94" w:rsidP="005E1E94">
      <w:pPr>
        <w:shd w:val="clear" w:color="auto" w:fill="FFFFFF" w:themeFill="background1"/>
        <w:spacing w:line="240" w:lineRule="auto"/>
      </w:pPr>
    </w:p>
    <w:p w14:paraId="441CABF8" w14:textId="25A1787E" w:rsidR="00857914" w:rsidRPr="003420B4" w:rsidRDefault="00857914" w:rsidP="00857914">
      <w:pPr>
        <w:rPr>
          <w:rFonts w:asciiTheme="minorHAnsi" w:eastAsiaTheme="majorEastAsia" w:hAnsiTheme="minorHAnsi" w:cstheme="minorHAnsi"/>
          <w:b/>
          <w:bCs/>
          <w:sz w:val="20"/>
          <w:szCs w:val="20"/>
        </w:rPr>
      </w:pPr>
      <w:r>
        <w:rPr>
          <w:rFonts w:asciiTheme="minorHAnsi" w:eastAsiaTheme="majorEastAsia" w:hAnsiTheme="minorHAnsi" w:cstheme="minorHAnsi"/>
          <w:b/>
          <w:bCs/>
        </w:rPr>
        <w:t xml:space="preserve">Data and Evaluation | </w:t>
      </w:r>
      <w:r w:rsidRPr="003420B4">
        <w:rPr>
          <w:rFonts w:eastAsia="Times New Roman" w:cs="Calibri"/>
          <w:b/>
          <w:i/>
          <w:iCs/>
        </w:rPr>
        <w:t>2022-2027</w:t>
      </w:r>
      <w:r w:rsidRPr="003420B4">
        <w:rPr>
          <w:rFonts w:eastAsia="Times New Roman" w:cs="Calibri"/>
          <w:b/>
          <w:bCs/>
          <w:i/>
          <w:iCs/>
        </w:rPr>
        <w:t xml:space="preserve"> Funding Estimate: $29,100,000</w:t>
      </w:r>
    </w:p>
    <w:p w14:paraId="7C82B908" w14:textId="1A810AA7" w:rsidR="005E1E94" w:rsidRDefault="008A5AB2" w:rsidP="008529FF">
      <w:pPr>
        <w:contextualSpacing/>
        <w:rPr>
          <w:rFonts w:cs="Calibri"/>
        </w:rPr>
      </w:pPr>
      <w:r w:rsidRPr="00D03F1F">
        <w:rPr>
          <w:rFonts w:cs="Calibri"/>
          <w:i/>
        </w:rPr>
        <w:t>Best Starts</w:t>
      </w:r>
      <w:r w:rsidRPr="00D03F1F">
        <w:rPr>
          <w:rFonts w:cs="Calibri"/>
        </w:rPr>
        <w:t xml:space="preserve"> </w:t>
      </w:r>
      <w:r>
        <w:rPr>
          <w:rFonts w:cs="Calibri"/>
        </w:rPr>
        <w:t>evaluation investments</w:t>
      </w:r>
      <w:r w:rsidRPr="00D03F1F">
        <w:rPr>
          <w:rFonts w:cs="Calibri"/>
        </w:rPr>
        <w:t xml:space="preserve"> will support </w:t>
      </w:r>
      <w:r>
        <w:rPr>
          <w:rFonts w:cs="Calibri"/>
        </w:rPr>
        <w:t xml:space="preserve">a team of </w:t>
      </w:r>
      <w:r>
        <w:rPr>
          <w:rFonts w:eastAsia="Times New Roman"/>
        </w:rPr>
        <w:t>highly technical and skilled staff</w:t>
      </w:r>
      <w:r w:rsidRPr="00D03F1F">
        <w:rPr>
          <w:rFonts w:cs="Calibri"/>
        </w:rPr>
        <w:t xml:space="preserve">, </w:t>
      </w:r>
      <w:r>
        <w:rPr>
          <w:rFonts w:eastAsia="Times New Roman"/>
        </w:rPr>
        <w:t>the development and maintenance of robust data systems</w:t>
      </w:r>
      <w:r w:rsidRPr="00D03F1F">
        <w:rPr>
          <w:rFonts w:cs="Calibri"/>
        </w:rPr>
        <w:t xml:space="preserve">, and </w:t>
      </w:r>
      <w:r>
        <w:rPr>
          <w:rFonts w:eastAsia="Times New Roman"/>
        </w:rPr>
        <w:t xml:space="preserve">partnerships with external evaluators with deep expertise. With this investment, </w:t>
      </w:r>
      <w:r>
        <w:rPr>
          <w:rFonts w:eastAsia="Times New Roman"/>
          <w:i/>
          <w:iCs/>
        </w:rPr>
        <w:t>Best Starts</w:t>
      </w:r>
      <w:r>
        <w:rPr>
          <w:rFonts w:eastAsia="Times New Roman"/>
        </w:rPr>
        <w:t xml:space="preserve"> will continue to develop insight that enables providers, communities, and policymakers to make more data-informed decisions and engage in continuous quality improvement</w:t>
      </w:r>
      <w:r w:rsidR="00F33A95">
        <w:rPr>
          <w:rFonts w:eastAsia="Times New Roman"/>
        </w:rPr>
        <w:t>.</w:t>
      </w:r>
      <w:r w:rsidR="008A1CAD">
        <w:rPr>
          <w:rFonts w:cs="Calibri"/>
          <w:i/>
        </w:rPr>
        <w:t xml:space="preserve"> </w:t>
      </w:r>
      <w:r w:rsidR="005E1E94" w:rsidRPr="00D03F1F">
        <w:rPr>
          <w:rFonts w:cs="Calibri"/>
          <w:i/>
        </w:rPr>
        <w:t>Best Starts</w:t>
      </w:r>
      <w:r w:rsidR="005E1E94" w:rsidRPr="00D03F1F">
        <w:rPr>
          <w:rFonts w:cs="Calibri"/>
        </w:rPr>
        <w:t xml:space="preserve"> </w:t>
      </w:r>
      <w:r w:rsidR="00C86E9A">
        <w:rPr>
          <w:rFonts w:cs="Calibri"/>
        </w:rPr>
        <w:t xml:space="preserve">assesses its results </w:t>
      </w:r>
      <w:r w:rsidR="005E1E94" w:rsidRPr="00D03F1F">
        <w:rPr>
          <w:rFonts w:cs="Calibri"/>
        </w:rPr>
        <w:t>begin</w:t>
      </w:r>
      <w:r w:rsidR="00C86E9A">
        <w:rPr>
          <w:rFonts w:cs="Calibri"/>
        </w:rPr>
        <w:t>ning</w:t>
      </w:r>
      <w:r w:rsidR="005E1E94" w:rsidRPr="00D03F1F">
        <w:rPr>
          <w:rFonts w:cs="Calibri"/>
        </w:rPr>
        <w:t xml:space="preserve"> with Results Based Accountability</w:t>
      </w:r>
      <w:r w:rsidR="005E1E94">
        <w:rPr>
          <w:rFonts w:cs="Calibri"/>
        </w:rPr>
        <w:t xml:space="preserve"> (RBA)</w:t>
      </w:r>
      <w:r w:rsidR="005E1E94" w:rsidRPr="00D03F1F">
        <w:rPr>
          <w:rFonts w:cs="Calibri"/>
        </w:rPr>
        <w:t xml:space="preserve">, and supplements </w:t>
      </w:r>
      <w:r w:rsidR="00C86E9A">
        <w:rPr>
          <w:rFonts w:cs="Calibri"/>
        </w:rPr>
        <w:t>RBA</w:t>
      </w:r>
      <w:r w:rsidR="005E1E94" w:rsidRPr="00D03F1F">
        <w:rPr>
          <w:rFonts w:cs="Calibri"/>
        </w:rPr>
        <w:t xml:space="preserve"> with additional evaluation activities. The resulting framework includes</w:t>
      </w:r>
      <w:r w:rsidR="00B4058D">
        <w:rPr>
          <w:rFonts w:cs="Calibri"/>
        </w:rPr>
        <w:t xml:space="preserve"> population indicators, performance measurement</w:t>
      </w:r>
      <w:r w:rsidR="005F64D8">
        <w:rPr>
          <w:rFonts w:cs="Calibri"/>
        </w:rPr>
        <w:t xml:space="preserve">, and in-depth evaluation for a subset of strategies. </w:t>
      </w:r>
    </w:p>
    <w:p w14:paraId="3E015873" w14:textId="77777777" w:rsidR="005E1E94" w:rsidRDefault="005E1E94" w:rsidP="005E1E94">
      <w:pPr>
        <w:rPr>
          <w:b/>
          <w:bCs/>
        </w:rPr>
      </w:pPr>
    </w:p>
    <w:p w14:paraId="3D147102" w14:textId="0BD46E76" w:rsidR="005E1E94" w:rsidRDefault="005E1E94" w:rsidP="003420B4">
      <w:r w:rsidRPr="00804163">
        <w:rPr>
          <w:rFonts w:eastAsia="Calibri" w:cs="Calibri"/>
        </w:rPr>
        <w:t xml:space="preserve">The Executive will </w:t>
      </w:r>
      <w:r w:rsidRPr="00C62FC7">
        <w:rPr>
          <w:rFonts w:eastAsia="Calibri" w:cs="Calibri"/>
        </w:rPr>
        <w:t>provide</w:t>
      </w:r>
      <w:r w:rsidRPr="00910BE7">
        <w:rPr>
          <w:rFonts w:eastAsia="Calibri" w:cs="Calibri"/>
        </w:rPr>
        <w:t xml:space="preserve"> the </w:t>
      </w:r>
      <w:r w:rsidRPr="00405273">
        <w:rPr>
          <w:rFonts w:eastAsia="Calibri" w:cs="Calibri"/>
          <w:i/>
        </w:rPr>
        <w:t>Best Starts</w:t>
      </w:r>
      <w:r w:rsidRPr="001931F1">
        <w:rPr>
          <w:rFonts w:eastAsia="Calibri" w:cs="Calibri"/>
          <w:b/>
        </w:rPr>
        <w:t xml:space="preserve"> </w:t>
      </w:r>
      <w:r w:rsidRPr="001931F1">
        <w:rPr>
          <w:rFonts w:eastAsia="Calibri" w:cs="Calibri"/>
        </w:rPr>
        <w:t>A</w:t>
      </w:r>
      <w:r w:rsidRPr="00075BA5">
        <w:rPr>
          <w:rFonts w:eastAsia="Calibri" w:cs="Calibri"/>
        </w:rPr>
        <w:t>nnual Report</w:t>
      </w:r>
      <w:r w:rsidRPr="00E51AA9">
        <w:rPr>
          <w:rFonts w:eastAsia="Calibri" w:cs="Calibri"/>
        </w:rPr>
        <w:t xml:space="preserve"> </w:t>
      </w:r>
      <w:r w:rsidRPr="00777AEA">
        <w:rPr>
          <w:rFonts w:cs="Calibri"/>
        </w:rPr>
        <w:t>on Levy Expenditures, Services, and Outcomes</w:t>
      </w:r>
      <w:r w:rsidRPr="00804163">
        <w:rPr>
          <w:rFonts w:eastAsia="Calibri" w:cs="Calibri"/>
        </w:rPr>
        <w:t xml:space="preserve"> (</w:t>
      </w:r>
      <w:r w:rsidRPr="00C62FC7">
        <w:rPr>
          <w:rFonts w:eastAsia="Calibri" w:cs="Calibri"/>
          <w:i/>
        </w:rPr>
        <w:t>Best Starts</w:t>
      </w:r>
      <w:r w:rsidRPr="00910BE7">
        <w:rPr>
          <w:rFonts w:eastAsia="Calibri" w:cs="Calibri"/>
        </w:rPr>
        <w:t xml:space="preserve"> Annual Report) no later than July 1</w:t>
      </w:r>
      <w:r w:rsidRPr="00405273">
        <w:rPr>
          <w:rFonts w:eastAsia="Calibri" w:cs="Calibri"/>
        </w:rPr>
        <w:t xml:space="preserve">5 </w:t>
      </w:r>
      <w:r w:rsidR="00B54F42">
        <w:rPr>
          <w:rFonts w:eastAsia="Calibri" w:cs="Calibri"/>
        </w:rPr>
        <w:t>each</w:t>
      </w:r>
      <w:r w:rsidRPr="001931F1">
        <w:rPr>
          <w:rFonts w:eastAsia="Calibri" w:cs="Calibri"/>
        </w:rPr>
        <w:t xml:space="preserve"> year</w:t>
      </w:r>
      <w:r w:rsidR="00971606" w:rsidRPr="001931F1">
        <w:rPr>
          <w:rFonts w:eastAsia="Calibri" w:cs="Calibri"/>
        </w:rPr>
        <w:t xml:space="preserve"> </w:t>
      </w:r>
      <w:r w:rsidR="00481F47" w:rsidRPr="00075BA5">
        <w:rPr>
          <w:rFonts w:eastAsia="Calibri" w:cs="Calibri"/>
        </w:rPr>
        <w:t>from 2023 through 2028,</w:t>
      </w:r>
      <w:r w:rsidR="00827551" w:rsidRPr="00E51AA9">
        <w:rPr>
          <w:rFonts w:eastAsia="Calibri" w:cs="Calibri"/>
        </w:rPr>
        <w:t xml:space="preserve"> covering </w:t>
      </w:r>
      <w:r w:rsidR="00827551" w:rsidRPr="00777AEA">
        <w:rPr>
          <w:rFonts w:eastAsia="Calibri" w:cs="Calibri"/>
        </w:rPr>
        <w:t>the prior calendar year</w:t>
      </w:r>
      <w:r w:rsidRPr="00777AEA">
        <w:rPr>
          <w:rFonts w:eastAsia="Calibri" w:cs="Calibri"/>
        </w:rPr>
        <w:t>.</w:t>
      </w:r>
      <w:r>
        <w:rPr>
          <w:rStyle w:val="FootnoteReference"/>
          <w:rFonts w:eastAsia="Calibri" w:cs="Calibri"/>
        </w:rPr>
        <w:footnoteReference w:id="29"/>
      </w:r>
      <w:r w:rsidRPr="00804163">
        <w:rPr>
          <w:rFonts w:eastAsia="Calibri" w:cs="Calibri"/>
        </w:rPr>
        <w:t xml:space="preserve"> </w:t>
      </w:r>
      <w:r w:rsidRPr="00C16724">
        <w:rPr>
          <w:rFonts w:eastAsia="Calibri" w:cs="Calibri"/>
          <w:i/>
        </w:rPr>
        <w:t>Best Starts</w:t>
      </w:r>
      <w:r w:rsidRPr="00777AEA">
        <w:rPr>
          <w:rFonts w:eastAsia="Calibri" w:cs="Calibri"/>
        </w:rPr>
        <w:t xml:space="preserve"> Annual Reports will provide data for</w:t>
      </w:r>
      <w:r w:rsidR="005F5D92" w:rsidRPr="00777AEA">
        <w:rPr>
          <w:rFonts w:eastAsia="Calibri" w:cs="Calibri"/>
        </w:rPr>
        <w:t xml:space="preserve"> the</w:t>
      </w:r>
      <w:r w:rsidRPr="00777AEA">
        <w:rPr>
          <w:rFonts w:eastAsia="Calibri" w:cs="Calibri"/>
        </w:rPr>
        <w:t xml:space="preserve"> </w:t>
      </w:r>
      <w:r w:rsidR="00F1715E" w:rsidRPr="00777AEA">
        <w:rPr>
          <w:rFonts w:cs="Calibri"/>
        </w:rPr>
        <w:t xml:space="preserve">Investing </w:t>
      </w:r>
      <w:r w:rsidR="00A5423B" w:rsidRPr="00777AEA">
        <w:rPr>
          <w:rFonts w:cs="Calibri"/>
        </w:rPr>
        <w:t>Early</w:t>
      </w:r>
      <w:r w:rsidRPr="00777AEA">
        <w:rPr>
          <w:rFonts w:cs="Calibri"/>
        </w:rPr>
        <w:t xml:space="preserve">, </w:t>
      </w:r>
      <w:r w:rsidR="00A5423B" w:rsidRPr="00777AEA">
        <w:rPr>
          <w:rFonts w:cs="Calibri"/>
        </w:rPr>
        <w:t>Sustain the Gain</w:t>
      </w:r>
      <w:r w:rsidRPr="00777AEA">
        <w:rPr>
          <w:rFonts w:cs="Calibri"/>
        </w:rPr>
        <w:t xml:space="preserve">, COO, YFHPI, child care, </w:t>
      </w:r>
      <w:r w:rsidR="00F81B2B" w:rsidRPr="00777AEA">
        <w:rPr>
          <w:rFonts w:cs="Calibri"/>
        </w:rPr>
        <w:t xml:space="preserve">capital </w:t>
      </w:r>
      <w:r w:rsidR="009521B5" w:rsidRPr="00777AEA">
        <w:rPr>
          <w:rFonts w:cs="Calibri"/>
        </w:rPr>
        <w:t>grant</w:t>
      </w:r>
      <w:r w:rsidR="0026241D" w:rsidRPr="00777AEA">
        <w:rPr>
          <w:rFonts w:cs="Calibri"/>
        </w:rPr>
        <w:t>s</w:t>
      </w:r>
      <w:r w:rsidR="00F81B2B" w:rsidRPr="00777AEA">
        <w:rPr>
          <w:rFonts w:cs="Calibri"/>
        </w:rPr>
        <w:t xml:space="preserve">, </w:t>
      </w:r>
      <w:r w:rsidRPr="00777AEA">
        <w:rPr>
          <w:rFonts w:cs="Calibri"/>
        </w:rPr>
        <w:t>and technical assistance</w:t>
      </w:r>
      <w:r w:rsidR="009E1F5C">
        <w:rPr>
          <w:rFonts w:cs="Calibri"/>
        </w:rPr>
        <w:t xml:space="preserve"> </w:t>
      </w:r>
      <w:r w:rsidR="00E71BD0" w:rsidRPr="00777AEA">
        <w:rPr>
          <w:rFonts w:cs="Calibri"/>
        </w:rPr>
        <w:t xml:space="preserve">and capacity building </w:t>
      </w:r>
      <w:r w:rsidRPr="00777AEA">
        <w:rPr>
          <w:rFonts w:cs="Calibri"/>
        </w:rPr>
        <w:t>strateg</w:t>
      </w:r>
      <w:r w:rsidR="00971E3E" w:rsidRPr="00777AEA">
        <w:rPr>
          <w:rFonts w:cs="Calibri"/>
        </w:rPr>
        <w:t>y area</w:t>
      </w:r>
      <w:r w:rsidRPr="00777AEA">
        <w:rPr>
          <w:rFonts w:cs="Calibri"/>
        </w:rPr>
        <w:t>s, and</w:t>
      </w:r>
      <w:r w:rsidRPr="00804163">
        <w:rPr>
          <w:rFonts w:eastAsia="Calibri" w:cs="Calibri"/>
        </w:rPr>
        <w:t xml:space="preserve"> </w:t>
      </w:r>
      <w:r w:rsidR="00E71BD0" w:rsidRPr="00C62FC7">
        <w:rPr>
          <w:rFonts w:eastAsia="Calibri" w:cs="Calibri"/>
        </w:rPr>
        <w:t xml:space="preserve">will </w:t>
      </w:r>
      <w:r w:rsidR="009E1F5C">
        <w:rPr>
          <w:rFonts w:eastAsia="Calibri" w:cs="Calibri"/>
        </w:rPr>
        <w:t>phase in</w:t>
      </w:r>
      <w:r w:rsidR="00DD5C10" w:rsidRPr="00777AEA">
        <w:rPr>
          <w:rFonts w:eastAsia="Calibri" w:cs="Calibri"/>
        </w:rPr>
        <w:t xml:space="preserve"> </w:t>
      </w:r>
      <w:r w:rsidR="00CC271E">
        <w:rPr>
          <w:rFonts w:eastAsia="Calibri" w:cs="Calibri"/>
        </w:rPr>
        <w:t xml:space="preserve">the </w:t>
      </w:r>
      <w:r w:rsidR="009D489F">
        <w:rPr>
          <w:rFonts w:eastAsia="Calibri" w:cs="Calibri"/>
        </w:rPr>
        <w:t>additio</w:t>
      </w:r>
      <w:r w:rsidR="00B54F42">
        <w:rPr>
          <w:rFonts w:eastAsia="Calibri" w:cs="Calibri"/>
        </w:rPr>
        <w:t>nal</w:t>
      </w:r>
      <w:r w:rsidR="00DD5C10" w:rsidRPr="00777AEA">
        <w:rPr>
          <w:rFonts w:eastAsia="Calibri" w:cs="Calibri"/>
        </w:rPr>
        <w:t xml:space="preserve"> geographic detail </w:t>
      </w:r>
      <w:r w:rsidRPr="00777AEA">
        <w:rPr>
          <w:rFonts w:eastAsia="Calibri" w:cs="Calibri"/>
        </w:rPr>
        <w:t>required by Ordinance 19</w:t>
      </w:r>
      <w:r w:rsidR="00D0500C" w:rsidRPr="00777AEA">
        <w:rPr>
          <w:rFonts w:eastAsia="Calibri" w:cs="Calibri"/>
        </w:rPr>
        <w:t>26</w:t>
      </w:r>
      <w:r w:rsidRPr="00777AEA">
        <w:rPr>
          <w:rFonts w:eastAsia="Calibri" w:cs="Calibri"/>
        </w:rPr>
        <w:t>7</w:t>
      </w:r>
      <w:r w:rsidR="00BC0765" w:rsidRPr="00777AEA">
        <w:rPr>
          <w:rFonts w:eastAsia="Calibri" w:cs="Calibri"/>
        </w:rPr>
        <w:t xml:space="preserve"> </w:t>
      </w:r>
      <w:r w:rsidR="000E6D16" w:rsidRPr="00777AEA">
        <w:rPr>
          <w:rFonts w:eastAsia="Calibri" w:cs="Calibri"/>
        </w:rPr>
        <w:t xml:space="preserve">starting </w:t>
      </w:r>
      <w:r w:rsidR="00777AEA" w:rsidRPr="003420B4">
        <w:rPr>
          <w:rFonts w:eastAsia="Calibri" w:cs="Calibri"/>
        </w:rPr>
        <w:t>in</w:t>
      </w:r>
      <w:r w:rsidR="00BC0765" w:rsidRPr="00777AEA">
        <w:rPr>
          <w:rFonts w:eastAsia="Calibri" w:cs="Calibri"/>
        </w:rPr>
        <w:t xml:space="preserve"> 20</w:t>
      </w:r>
      <w:r w:rsidR="000E6D16" w:rsidRPr="00777AEA">
        <w:rPr>
          <w:rFonts w:eastAsia="Calibri" w:cs="Calibri"/>
        </w:rPr>
        <w:t>23 and 2024</w:t>
      </w:r>
      <w:r w:rsidR="009452E5">
        <w:t>.</w:t>
      </w:r>
      <w:r w:rsidR="00D642BF">
        <w:rPr>
          <w:rStyle w:val="FootnoteReference"/>
          <w:rFonts w:eastAsia="Calibri" w:cs="Calibri"/>
        </w:rPr>
        <w:footnoteReference w:id="30"/>
      </w:r>
    </w:p>
    <w:p w14:paraId="544038D0" w14:textId="77777777" w:rsidR="005E1E94" w:rsidRPr="00D03F1F" w:rsidRDefault="005E1E94" w:rsidP="005E1E94">
      <w:pPr>
        <w:pStyle w:val="ListParagraph"/>
        <w:rPr>
          <w:rFonts w:eastAsia="Calibri" w:cs="Calibri"/>
        </w:rPr>
      </w:pPr>
    </w:p>
    <w:p w14:paraId="41595613" w14:textId="35A22B78" w:rsidR="00382179" w:rsidRDefault="00382179" w:rsidP="00E356DD">
      <w:pPr>
        <w:shd w:val="clear" w:color="auto" w:fill="FFFFFF" w:themeFill="background1"/>
        <w:spacing w:line="240" w:lineRule="auto"/>
        <w:rPr>
          <w:b/>
          <w:bCs/>
        </w:rPr>
      </w:pPr>
      <w:r>
        <w:rPr>
          <w:b/>
          <w:bCs/>
        </w:rPr>
        <w:t>Investment Considerations</w:t>
      </w:r>
    </w:p>
    <w:p w14:paraId="072C2991" w14:textId="77777777" w:rsidR="00382179" w:rsidRDefault="00382179" w:rsidP="003420B4">
      <w:pPr>
        <w:shd w:val="clear" w:color="auto" w:fill="FFFFFF" w:themeFill="background1"/>
        <w:rPr>
          <w:i/>
          <w:iCs/>
        </w:rPr>
      </w:pPr>
    </w:p>
    <w:p w14:paraId="549CD128" w14:textId="7BF1D2AD" w:rsidR="005E1E94" w:rsidRPr="00B76277" w:rsidRDefault="005E1E94" w:rsidP="003420B4">
      <w:pPr>
        <w:shd w:val="clear" w:color="auto" w:fill="FFFFFF" w:themeFill="background1"/>
        <w:rPr>
          <w:i/>
        </w:rPr>
      </w:pPr>
      <w:r w:rsidRPr="00B76277">
        <w:rPr>
          <w:i/>
        </w:rPr>
        <w:t>Investment Flexibility</w:t>
      </w:r>
    </w:p>
    <w:p w14:paraId="1F10BFFA" w14:textId="1F4A772A" w:rsidR="005E1E94" w:rsidRDefault="00E907E4" w:rsidP="003420B4">
      <w:pPr>
        <w:shd w:val="clear" w:color="auto" w:fill="FFFFFF" w:themeFill="background1"/>
        <w:rPr>
          <w:rFonts w:eastAsiaTheme="majorEastAsia" w:cs="Calibri"/>
          <w:color w:val="000000" w:themeColor="text1"/>
        </w:rPr>
      </w:pPr>
      <w:r>
        <w:rPr>
          <w:rFonts w:eastAsiaTheme="majorEastAsia" w:cs="Calibri"/>
          <w:color w:val="000000" w:themeColor="text1"/>
        </w:rPr>
        <w:t xml:space="preserve">During the COVID-19 pandemic in 2020 and 2021, </w:t>
      </w:r>
      <w:r w:rsidRPr="00354EFE">
        <w:rPr>
          <w:rFonts w:eastAsiaTheme="majorEastAsia" w:cs="Calibri"/>
          <w:i/>
          <w:color w:val="000000" w:themeColor="text1"/>
        </w:rPr>
        <w:t>Best Starts</w:t>
      </w:r>
      <w:r>
        <w:rPr>
          <w:rFonts w:eastAsiaTheme="majorEastAsia" w:cs="Calibri"/>
          <w:color w:val="000000" w:themeColor="text1"/>
        </w:rPr>
        <w:t xml:space="preserve"> worked with partners to revise scopes of work within contracts to enable community agencies to be more flexible to meet the needs of families. </w:t>
      </w:r>
      <w:r w:rsidRPr="00767E04">
        <w:rPr>
          <w:rFonts w:eastAsiaTheme="majorEastAsia" w:cs="Calibri"/>
          <w:color w:val="000000" w:themeColor="text1"/>
        </w:rPr>
        <w:t>Through community conversations held in October and November 2020</w:t>
      </w:r>
      <w:r w:rsidR="00175650">
        <w:rPr>
          <w:rFonts w:eastAsiaTheme="majorEastAsia" w:cs="Calibri"/>
          <w:color w:val="000000" w:themeColor="text1"/>
        </w:rPr>
        <w:t>,</w:t>
      </w:r>
      <w:r>
        <w:rPr>
          <w:rFonts w:eastAsiaTheme="majorEastAsia" w:cs="Calibri"/>
          <w:color w:val="000000" w:themeColor="text1"/>
        </w:rPr>
        <w:t xml:space="preserve"> </w:t>
      </w:r>
      <w:r w:rsidRPr="00767E04">
        <w:rPr>
          <w:rFonts w:eastAsiaTheme="majorEastAsia" w:cs="Calibri"/>
          <w:i/>
          <w:iCs/>
          <w:color w:val="000000" w:themeColor="text1"/>
        </w:rPr>
        <w:t>Best Starts</w:t>
      </w:r>
      <w:r w:rsidRPr="00767E04">
        <w:rPr>
          <w:rFonts w:eastAsiaTheme="majorEastAsia" w:cs="Calibri"/>
          <w:color w:val="000000" w:themeColor="text1"/>
        </w:rPr>
        <w:t xml:space="preserve"> partners expressed that the flexible funding during the COVID-19 pandemic was essential </w:t>
      </w:r>
      <w:r>
        <w:rPr>
          <w:rFonts w:eastAsiaTheme="majorEastAsia" w:cs="Calibri"/>
          <w:color w:val="000000" w:themeColor="text1"/>
        </w:rPr>
        <w:t>for them to survive</w:t>
      </w:r>
      <w:r w:rsidRPr="00767E04">
        <w:rPr>
          <w:rFonts w:eastAsiaTheme="majorEastAsia" w:cs="Calibri"/>
          <w:color w:val="000000" w:themeColor="text1"/>
        </w:rPr>
        <w:t xml:space="preserve"> unprecedented times.</w:t>
      </w:r>
      <w:r w:rsidRPr="71D2A87E">
        <w:rPr>
          <w:rStyle w:val="FootnoteReference"/>
          <w:rFonts w:eastAsiaTheme="majorEastAsia" w:cs="Calibri"/>
          <w:color w:val="000000" w:themeColor="text1"/>
        </w:rPr>
        <w:footnoteReference w:id="31"/>
      </w:r>
      <w:r w:rsidRPr="00767E04">
        <w:rPr>
          <w:rFonts w:eastAsiaTheme="majorEastAsia" w:cs="Calibri"/>
          <w:color w:val="000000" w:themeColor="text1"/>
        </w:rPr>
        <w:t xml:space="preserve"> </w:t>
      </w:r>
      <w:r w:rsidR="007A262C">
        <w:rPr>
          <w:rFonts w:eastAsiaTheme="majorEastAsia" w:cs="Calibri"/>
          <w:color w:val="000000" w:themeColor="text1"/>
        </w:rPr>
        <w:t xml:space="preserve">Therefore, </w:t>
      </w:r>
      <w:r w:rsidR="007A262C" w:rsidRPr="00061C91">
        <w:rPr>
          <w:rFonts w:eastAsiaTheme="majorEastAsia" w:cs="Calibri"/>
          <w:i/>
          <w:color w:val="000000" w:themeColor="text1"/>
        </w:rPr>
        <w:t>Best Starts</w:t>
      </w:r>
      <w:r w:rsidR="007A262C">
        <w:rPr>
          <w:rFonts w:eastAsiaTheme="majorEastAsia" w:cs="Calibri"/>
          <w:color w:val="000000" w:themeColor="text1"/>
        </w:rPr>
        <w:t xml:space="preserve"> intends to </w:t>
      </w:r>
      <w:r w:rsidR="005E1E94" w:rsidRPr="00767E04">
        <w:rPr>
          <w:rFonts w:eastAsiaTheme="majorEastAsia" w:cs="Calibri"/>
          <w:color w:val="000000" w:themeColor="text1"/>
        </w:rPr>
        <w:t xml:space="preserve">continue </w:t>
      </w:r>
      <w:r w:rsidR="008A5532">
        <w:rPr>
          <w:rFonts w:eastAsiaTheme="majorEastAsia" w:cs="Calibri"/>
          <w:color w:val="000000" w:themeColor="text1"/>
        </w:rPr>
        <w:t xml:space="preserve">that type of flexibility </w:t>
      </w:r>
      <w:r w:rsidR="005E1E94" w:rsidRPr="00767E04">
        <w:rPr>
          <w:rFonts w:eastAsiaTheme="majorEastAsia" w:cs="Calibri"/>
          <w:color w:val="000000" w:themeColor="text1"/>
        </w:rPr>
        <w:t>as communities rebuild from the pandemic in the coming years</w:t>
      </w:r>
      <w:r w:rsidR="005E1E94">
        <w:rPr>
          <w:rFonts w:eastAsiaTheme="majorEastAsia" w:cs="Calibri"/>
          <w:color w:val="000000" w:themeColor="text1"/>
        </w:rPr>
        <w:t>.</w:t>
      </w:r>
    </w:p>
    <w:p w14:paraId="60A1A87E" w14:textId="77777777" w:rsidR="005E1E94" w:rsidRDefault="005E1E94" w:rsidP="003420B4">
      <w:pPr>
        <w:shd w:val="clear" w:color="auto" w:fill="FFFFFF" w:themeFill="background1"/>
        <w:rPr>
          <w:rFonts w:eastAsiaTheme="majorEastAsia" w:cs="Calibri"/>
          <w:color w:val="000000" w:themeColor="text1"/>
        </w:rPr>
      </w:pPr>
    </w:p>
    <w:p w14:paraId="3F89BFDB" w14:textId="0A7C896D" w:rsidR="005E1E94" w:rsidRPr="00061C91" w:rsidRDefault="005E1E94" w:rsidP="00571400">
      <w:pPr>
        <w:rPr>
          <w:i/>
        </w:rPr>
      </w:pPr>
      <w:r w:rsidRPr="00061C91">
        <w:rPr>
          <w:i/>
        </w:rPr>
        <w:t xml:space="preserve">Geographic Distribution </w:t>
      </w:r>
      <w:r w:rsidR="0091662C" w:rsidRPr="00061C91">
        <w:rPr>
          <w:i/>
        </w:rPr>
        <w:t>and</w:t>
      </w:r>
      <w:r w:rsidRPr="00061C91">
        <w:rPr>
          <w:i/>
        </w:rPr>
        <w:t xml:space="preserve"> Targeted Universalism</w:t>
      </w:r>
    </w:p>
    <w:p w14:paraId="75587366" w14:textId="3AE2A625" w:rsidR="005E1E94" w:rsidRPr="00E06579" w:rsidRDefault="005E1E94" w:rsidP="003420B4">
      <w:pPr>
        <w:shd w:val="clear" w:color="auto" w:fill="FFFFFF" w:themeFill="background1"/>
        <w:rPr>
          <w:rFonts w:eastAsia="Calibri"/>
          <w:color w:val="000000" w:themeColor="text1"/>
        </w:rPr>
      </w:pPr>
      <w:r w:rsidRPr="00767E04">
        <w:rPr>
          <w:rFonts w:eastAsia="Calibri" w:cs="Calibri"/>
          <w:i/>
          <w:iCs/>
          <w:color w:val="000000" w:themeColor="text1"/>
        </w:rPr>
        <w:t>Best Starts</w:t>
      </w:r>
      <w:r w:rsidRPr="00767E04">
        <w:rPr>
          <w:rFonts w:eastAsia="Calibri"/>
          <w:color w:val="000000" w:themeColor="text1"/>
        </w:rPr>
        <w:t xml:space="preserve"> is committed to directly addressing regional, racial, and economic disparities in King County and </w:t>
      </w:r>
      <w:r w:rsidR="006E0263">
        <w:rPr>
          <w:rFonts w:eastAsia="Calibri"/>
          <w:color w:val="000000" w:themeColor="text1"/>
        </w:rPr>
        <w:t xml:space="preserve">addressing </w:t>
      </w:r>
      <w:r w:rsidRPr="00767E04">
        <w:rPr>
          <w:rFonts w:eastAsia="Calibri"/>
          <w:color w:val="000000" w:themeColor="text1"/>
        </w:rPr>
        <w:t>the systems that create these disparities. To</w:t>
      </w:r>
      <w:r w:rsidRPr="00767E04" w:rsidDel="00AA1679">
        <w:rPr>
          <w:rFonts w:eastAsia="Calibri"/>
          <w:color w:val="000000" w:themeColor="text1"/>
        </w:rPr>
        <w:t xml:space="preserve"> </w:t>
      </w:r>
      <w:r w:rsidRPr="00767E04">
        <w:rPr>
          <w:rFonts w:eastAsia="Calibri"/>
          <w:color w:val="000000" w:themeColor="text1"/>
        </w:rPr>
        <w:t xml:space="preserve">do this, </w:t>
      </w:r>
      <w:r w:rsidRPr="00767E04">
        <w:rPr>
          <w:rFonts w:eastAsia="Calibri" w:cs="Calibri"/>
          <w:i/>
          <w:iCs/>
          <w:color w:val="000000" w:themeColor="text1"/>
        </w:rPr>
        <w:t>Best Starts</w:t>
      </w:r>
      <w:r w:rsidRPr="00767E04">
        <w:rPr>
          <w:rFonts w:eastAsia="Calibri"/>
          <w:i/>
          <w:iCs/>
          <w:color w:val="000000" w:themeColor="text1"/>
        </w:rPr>
        <w:t xml:space="preserve"> </w:t>
      </w:r>
      <w:r w:rsidRPr="00767E04">
        <w:rPr>
          <w:rFonts w:eastAsia="Calibri"/>
          <w:color w:val="000000" w:themeColor="text1"/>
        </w:rPr>
        <w:t xml:space="preserve">services are </w:t>
      </w:r>
      <w:r w:rsidR="00E225FA">
        <w:rPr>
          <w:rFonts w:eastAsia="Calibri"/>
          <w:color w:val="000000" w:themeColor="text1"/>
        </w:rPr>
        <w:t>planned</w:t>
      </w:r>
      <w:r w:rsidR="00E225FA" w:rsidRPr="00767E04">
        <w:rPr>
          <w:rFonts w:eastAsia="Calibri"/>
          <w:color w:val="000000" w:themeColor="text1"/>
        </w:rPr>
        <w:t xml:space="preserve"> </w:t>
      </w:r>
      <w:r>
        <w:rPr>
          <w:rFonts w:eastAsia="Calibri"/>
          <w:color w:val="000000" w:themeColor="text1"/>
        </w:rPr>
        <w:t xml:space="preserve">with </w:t>
      </w:r>
      <w:r w:rsidRPr="00767E04">
        <w:rPr>
          <w:rFonts w:eastAsia="Calibri"/>
          <w:color w:val="000000" w:themeColor="text1"/>
        </w:rPr>
        <w:t>geographic</w:t>
      </w:r>
      <w:r>
        <w:rPr>
          <w:rFonts w:eastAsia="Calibri"/>
          <w:color w:val="000000" w:themeColor="text1"/>
        </w:rPr>
        <w:t xml:space="preserve"> </w:t>
      </w:r>
      <w:r w:rsidR="00E225FA">
        <w:rPr>
          <w:rFonts w:eastAsia="Calibri"/>
          <w:color w:val="000000" w:themeColor="text1"/>
        </w:rPr>
        <w:t xml:space="preserve">distribution </w:t>
      </w:r>
      <w:r w:rsidR="00CC131B">
        <w:rPr>
          <w:rFonts w:eastAsia="Calibri"/>
          <w:color w:val="000000" w:themeColor="text1"/>
        </w:rPr>
        <w:t xml:space="preserve">throughout the county </w:t>
      </w:r>
      <w:r>
        <w:rPr>
          <w:rFonts w:eastAsia="Calibri"/>
          <w:color w:val="000000" w:themeColor="text1"/>
        </w:rPr>
        <w:t>and racial</w:t>
      </w:r>
      <w:r w:rsidRPr="00767E04">
        <w:rPr>
          <w:rFonts w:eastAsia="Calibri"/>
          <w:color w:val="000000" w:themeColor="text1"/>
        </w:rPr>
        <w:t xml:space="preserve"> </w:t>
      </w:r>
      <w:r>
        <w:rPr>
          <w:rFonts w:eastAsia="Calibri"/>
          <w:color w:val="000000" w:themeColor="text1"/>
        </w:rPr>
        <w:t xml:space="preserve">equity </w:t>
      </w:r>
      <w:r w:rsidRPr="00767E04">
        <w:rPr>
          <w:rFonts w:eastAsia="Calibri"/>
          <w:color w:val="000000" w:themeColor="text1"/>
        </w:rPr>
        <w:t>and social justice (ESJ)</w:t>
      </w:r>
      <w:r>
        <w:rPr>
          <w:rFonts w:eastAsia="Calibri"/>
          <w:color w:val="000000" w:themeColor="text1"/>
        </w:rPr>
        <w:t xml:space="preserve"> in mind</w:t>
      </w:r>
      <w:r w:rsidRPr="00767E04">
        <w:rPr>
          <w:rFonts w:eastAsia="Calibri"/>
          <w:color w:val="000000" w:themeColor="text1"/>
        </w:rPr>
        <w:t>, respond</w:t>
      </w:r>
      <w:r>
        <w:rPr>
          <w:rFonts w:eastAsia="Calibri"/>
          <w:color w:val="000000" w:themeColor="text1"/>
        </w:rPr>
        <w:t>ing</w:t>
      </w:r>
      <w:r w:rsidRPr="00767E04">
        <w:rPr>
          <w:rFonts w:eastAsia="Calibri"/>
          <w:color w:val="000000" w:themeColor="text1"/>
        </w:rPr>
        <w:t xml:space="preserve"> to </w:t>
      </w:r>
      <w:r>
        <w:rPr>
          <w:rFonts w:eastAsia="Calibri"/>
          <w:color w:val="000000" w:themeColor="text1"/>
        </w:rPr>
        <w:t>the</w:t>
      </w:r>
      <w:r w:rsidRPr="00767E04">
        <w:rPr>
          <w:rFonts w:eastAsia="Calibri"/>
          <w:color w:val="000000" w:themeColor="text1"/>
        </w:rPr>
        <w:t xml:space="preserve"> community</w:t>
      </w:r>
      <w:r>
        <w:rPr>
          <w:rFonts w:eastAsia="Calibri"/>
          <w:color w:val="000000" w:themeColor="text1"/>
        </w:rPr>
        <w:t>’s</w:t>
      </w:r>
      <w:r w:rsidRPr="00767E04">
        <w:rPr>
          <w:rFonts w:eastAsia="Calibri"/>
          <w:color w:val="000000" w:themeColor="text1"/>
        </w:rPr>
        <w:t xml:space="preserve"> ideas and feedback, and reflect</w:t>
      </w:r>
      <w:r>
        <w:rPr>
          <w:rFonts w:eastAsia="Calibri"/>
          <w:color w:val="000000" w:themeColor="text1"/>
        </w:rPr>
        <w:t>ing</w:t>
      </w:r>
      <w:r w:rsidRPr="00767E04">
        <w:rPr>
          <w:rFonts w:eastAsia="Calibri"/>
          <w:color w:val="000000" w:themeColor="text1"/>
        </w:rPr>
        <w:t xml:space="preserve"> the results of competitive procurement processes</w:t>
      </w:r>
      <w:r>
        <w:rPr>
          <w:rFonts w:eastAsia="Calibri"/>
          <w:color w:val="000000" w:themeColor="text1"/>
        </w:rPr>
        <w:t>.</w:t>
      </w:r>
      <w:r w:rsidR="002F5857" w:rsidRPr="1984AE1C">
        <w:rPr>
          <w:rStyle w:val="FootnoteReference"/>
          <w:rFonts w:eastAsia="Calibri"/>
          <w:color w:val="000000" w:themeColor="text1"/>
        </w:rPr>
        <w:footnoteReference w:id="32"/>
      </w:r>
      <w:r w:rsidR="00DB2294">
        <w:rPr>
          <w:rFonts w:eastAsia="Calibri"/>
          <w:color w:val="000000" w:themeColor="text1"/>
        </w:rPr>
        <w:t xml:space="preserve"> </w:t>
      </w:r>
      <w:r>
        <w:rPr>
          <w:rFonts w:eastAsia="Calibri"/>
          <w:color w:val="000000" w:themeColor="text1"/>
        </w:rPr>
        <w:t xml:space="preserve">To </w:t>
      </w:r>
      <w:r w:rsidR="00BC012B">
        <w:rPr>
          <w:rFonts w:eastAsia="Calibri"/>
          <w:color w:val="000000" w:themeColor="text1"/>
        </w:rPr>
        <w:t>achieve these aims</w:t>
      </w:r>
      <w:r>
        <w:rPr>
          <w:rFonts w:eastAsia="Calibri"/>
          <w:color w:val="000000" w:themeColor="text1"/>
        </w:rPr>
        <w:t>,</w:t>
      </w:r>
      <w:r>
        <w:rPr>
          <w:rFonts w:eastAsia="Calibri"/>
        </w:rPr>
        <w:t xml:space="preserve"> a </w:t>
      </w:r>
      <w:r w:rsidRPr="00767E04">
        <w:rPr>
          <w:rFonts w:eastAsia="Calibri"/>
        </w:rPr>
        <w:t>targeted universalism</w:t>
      </w:r>
      <w:r w:rsidR="009F10A3">
        <w:rPr>
          <w:rStyle w:val="FootnoteReference"/>
          <w:rFonts w:eastAsia="Calibri"/>
        </w:rPr>
        <w:footnoteReference w:id="33"/>
      </w:r>
      <w:r w:rsidRPr="00767E04">
        <w:rPr>
          <w:rFonts w:eastAsia="Calibri"/>
        </w:rPr>
        <w:t xml:space="preserve"> approach guides </w:t>
      </w:r>
      <w:r w:rsidRPr="00767E04">
        <w:rPr>
          <w:rFonts w:eastAsia="Calibri" w:cs="Calibri"/>
          <w:i/>
          <w:iCs/>
        </w:rPr>
        <w:t>Best Starts</w:t>
      </w:r>
      <w:r w:rsidRPr="00767E04">
        <w:rPr>
          <w:rFonts w:eastAsia="Calibri"/>
          <w:i/>
          <w:iCs/>
        </w:rPr>
        <w:t>’</w:t>
      </w:r>
      <w:r w:rsidRPr="00767E04">
        <w:rPr>
          <w:rFonts w:eastAsia="Calibri"/>
        </w:rPr>
        <w:t xml:space="preserve"> service distribution</w:t>
      </w:r>
      <w:r w:rsidR="001E4C74">
        <w:rPr>
          <w:rFonts w:eastAsia="Calibri"/>
        </w:rPr>
        <w:t>; this</w:t>
      </w:r>
      <w:r w:rsidDel="001E4C74">
        <w:rPr>
          <w:rFonts w:eastAsia="Calibri"/>
        </w:rPr>
        <w:t xml:space="preserve"> </w:t>
      </w:r>
      <w:r w:rsidR="001E4C74">
        <w:rPr>
          <w:rFonts w:eastAsia="Calibri"/>
        </w:rPr>
        <w:t>approach</w:t>
      </w:r>
      <w:r>
        <w:rPr>
          <w:rFonts w:eastAsia="Calibri"/>
        </w:rPr>
        <w:t xml:space="preserve"> recognize</w:t>
      </w:r>
      <w:r w:rsidR="001E4C74">
        <w:rPr>
          <w:rFonts w:eastAsia="Calibri"/>
        </w:rPr>
        <w:t>s</w:t>
      </w:r>
      <w:r>
        <w:rPr>
          <w:rFonts w:eastAsia="Calibri"/>
        </w:rPr>
        <w:t xml:space="preserve"> that services must be focused where the need is </w:t>
      </w:r>
      <w:r w:rsidR="002D775B">
        <w:rPr>
          <w:rFonts w:eastAsia="Calibri"/>
        </w:rPr>
        <w:t>greatest</w:t>
      </w:r>
      <w:r w:rsidRPr="00767E04">
        <w:rPr>
          <w:rFonts w:eastAsia="Calibri"/>
        </w:rPr>
        <w:t xml:space="preserve">. </w:t>
      </w:r>
    </w:p>
    <w:p w14:paraId="63056BBA" w14:textId="77EDC437" w:rsidR="005E1E94" w:rsidRPr="00061C91" w:rsidRDefault="005E1E94" w:rsidP="003420B4">
      <w:pPr>
        <w:contextualSpacing/>
        <w:rPr>
          <w:rFonts w:eastAsia="Calibri" w:cs="Calibri"/>
          <w:i/>
        </w:rPr>
      </w:pPr>
      <w:r w:rsidRPr="00061C91">
        <w:rPr>
          <w:rFonts w:eastAsia="Calibri" w:cs="Calibri"/>
          <w:i/>
        </w:rPr>
        <w:lastRenderedPageBreak/>
        <w:t>Prorationing</w:t>
      </w:r>
    </w:p>
    <w:p w14:paraId="21A52170" w14:textId="6BF585F1" w:rsidR="005E1E94" w:rsidRPr="00BB1403" w:rsidRDefault="00244CAB" w:rsidP="003420B4">
      <w:pPr>
        <w:contextualSpacing/>
        <w:rPr>
          <w:rFonts w:cs="Calibri"/>
        </w:rPr>
      </w:pPr>
      <w:r w:rsidRPr="00D03F1F">
        <w:rPr>
          <w:rFonts w:cs="Calibri"/>
        </w:rPr>
        <w:t xml:space="preserve">Current modeling </w:t>
      </w:r>
      <w:r>
        <w:rPr>
          <w:rFonts w:cs="Calibri"/>
        </w:rPr>
        <w:t xml:space="preserve">as of mid-2021 </w:t>
      </w:r>
      <w:r w:rsidRPr="00D03F1F">
        <w:rPr>
          <w:rFonts w:cs="Calibri"/>
        </w:rPr>
        <w:t>suggest</w:t>
      </w:r>
      <w:r w:rsidR="006F7A05">
        <w:rPr>
          <w:rFonts w:cs="Calibri"/>
        </w:rPr>
        <w:t>s</w:t>
      </w:r>
      <w:r w:rsidRPr="00D03F1F">
        <w:rPr>
          <w:rFonts w:cs="Calibri"/>
        </w:rPr>
        <w:t xml:space="preserve"> </w:t>
      </w:r>
      <w:r w:rsidR="00212746">
        <w:rPr>
          <w:rFonts w:cs="Calibri"/>
        </w:rPr>
        <w:t xml:space="preserve">that </w:t>
      </w:r>
      <w:r w:rsidR="006F7A05">
        <w:rPr>
          <w:rFonts w:cs="Calibri"/>
        </w:rPr>
        <w:t>no</w:t>
      </w:r>
      <w:r w:rsidR="00212746">
        <w:rPr>
          <w:rFonts w:cs="Calibri"/>
        </w:rPr>
        <w:t xml:space="preserve"> related metropolitan park, fire, or local hospital district </w:t>
      </w:r>
      <w:r w:rsidRPr="00D03F1F">
        <w:rPr>
          <w:rFonts w:cs="Calibri"/>
        </w:rPr>
        <w:t xml:space="preserve">prorationing will occur during </w:t>
      </w:r>
      <w:r w:rsidR="00212746" w:rsidRPr="003420B4">
        <w:rPr>
          <w:rFonts w:cs="Calibri"/>
          <w:i/>
          <w:iCs/>
        </w:rPr>
        <w:t>Best Starts’</w:t>
      </w:r>
      <w:r w:rsidR="00212746">
        <w:rPr>
          <w:rFonts w:cs="Calibri"/>
        </w:rPr>
        <w:t xml:space="preserve"> </w:t>
      </w:r>
      <w:r>
        <w:rPr>
          <w:rFonts w:cs="Calibri"/>
        </w:rPr>
        <w:t>2022-2027</w:t>
      </w:r>
      <w:r w:rsidRPr="00D03F1F">
        <w:rPr>
          <w:rFonts w:cs="Calibri"/>
        </w:rPr>
        <w:t xml:space="preserve"> levy period given current levy rates countywide</w:t>
      </w:r>
      <w:r>
        <w:rPr>
          <w:rFonts w:cs="Calibri"/>
        </w:rPr>
        <w:t>.</w:t>
      </w:r>
      <w:r w:rsidR="00212746" w:rsidRPr="00212746">
        <w:rPr>
          <w:rStyle w:val="FootnoteReference"/>
          <w:rFonts w:cs="Calibri"/>
        </w:rPr>
        <w:t xml:space="preserve"> </w:t>
      </w:r>
      <w:r w:rsidR="00B15B09">
        <w:t xml:space="preserve">If prorationing occurs, </w:t>
      </w:r>
      <w:r w:rsidR="00B15B09" w:rsidRPr="006D6C89">
        <w:rPr>
          <w:rFonts w:cs="Calibri"/>
          <w:i/>
          <w:iCs/>
        </w:rPr>
        <w:t>Best Starts</w:t>
      </w:r>
      <w:r w:rsidR="00B15B09">
        <w:rPr>
          <w:rFonts w:cs="Calibri"/>
        </w:rPr>
        <w:t xml:space="preserve"> will partner with jurisdictions to identify eligible services to fund </w:t>
      </w:r>
      <w:r w:rsidR="00B73994">
        <w:rPr>
          <w:rFonts w:cs="Calibri"/>
        </w:rPr>
        <w:t xml:space="preserve">that </w:t>
      </w:r>
      <w:r w:rsidR="00B15B09" w:rsidRPr="00D03F1F">
        <w:rPr>
          <w:rFonts w:cs="Calibri"/>
        </w:rPr>
        <w:t xml:space="preserve">improve health </w:t>
      </w:r>
      <w:r w:rsidR="007E40AB" w:rsidRPr="00D03F1F">
        <w:rPr>
          <w:rFonts w:cs="Calibri"/>
        </w:rPr>
        <w:t>and wellbeing outcomes of children</w:t>
      </w:r>
      <w:r w:rsidR="00401FCE">
        <w:rPr>
          <w:rFonts w:cs="Calibri"/>
        </w:rPr>
        <w:t>, youth, families, and communities</w:t>
      </w:r>
      <w:r w:rsidR="007E40AB" w:rsidRPr="00D03F1F">
        <w:rPr>
          <w:rFonts w:cs="Calibri"/>
        </w:rPr>
        <w:t>.</w:t>
      </w:r>
      <w:r w:rsidR="00212746" w:rsidRPr="00D03F1F">
        <w:rPr>
          <w:rStyle w:val="FootnoteReference"/>
          <w:rFonts w:cs="Calibri"/>
        </w:rPr>
        <w:footnoteReference w:id="34"/>
      </w:r>
      <w:r w:rsidR="00212746">
        <w:rPr>
          <w:rFonts w:cs="Calibri"/>
          <w:vertAlign w:val="superscript"/>
        </w:rPr>
        <w:t>,</w:t>
      </w:r>
      <w:r w:rsidR="00212746" w:rsidRPr="00122060">
        <w:rPr>
          <w:rStyle w:val="FootnoteReference"/>
          <w:rFonts w:cs="Calibri"/>
        </w:rPr>
        <w:footnoteReference w:id="35"/>
      </w:r>
      <w:r w:rsidR="00212746">
        <w:rPr>
          <w:rFonts w:cs="Calibri"/>
        </w:rPr>
        <w:t xml:space="preserve"> </w:t>
      </w:r>
      <w:r w:rsidR="009A2884">
        <w:rPr>
          <w:rFonts w:cs="Calibri"/>
        </w:rPr>
        <w:t xml:space="preserve"> </w:t>
      </w:r>
    </w:p>
    <w:p w14:paraId="6B0218C7" w14:textId="77777777" w:rsidR="00740754" w:rsidRDefault="00740754" w:rsidP="003420B4">
      <w:pPr>
        <w:shd w:val="clear" w:color="auto" w:fill="FFFFFF" w:themeFill="background1"/>
        <w:rPr>
          <w:b/>
          <w:bCs/>
        </w:rPr>
      </w:pPr>
    </w:p>
    <w:p w14:paraId="57007D6F" w14:textId="61B68B88" w:rsidR="005E1E94" w:rsidRPr="00343EE4" w:rsidRDefault="005E1E94" w:rsidP="005E1E94">
      <w:pPr>
        <w:shd w:val="clear" w:color="auto" w:fill="FFFFFF" w:themeFill="background1"/>
        <w:spacing w:line="240" w:lineRule="auto"/>
        <w:rPr>
          <w:b/>
          <w:bCs/>
        </w:rPr>
      </w:pPr>
      <w:r w:rsidRPr="00343EE4">
        <w:rPr>
          <w:b/>
          <w:bCs/>
        </w:rPr>
        <w:t xml:space="preserve">Conclusion </w:t>
      </w:r>
    </w:p>
    <w:p w14:paraId="43FB3993" w14:textId="64ACAF86" w:rsidR="00F741C3" w:rsidRDefault="005E1E94" w:rsidP="00F741C3">
      <w:pPr>
        <w:pStyle w:val="CommentText"/>
        <w:rPr>
          <w:rFonts w:cs="Calibri"/>
        </w:rPr>
      </w:pPr>
      <w:r w:rsidRPr="63F1F6BC">
        <w:t xml:space="preserve">The </w:t>
      </w:r>
      <w:r w:rsidRPr="00D03F1F">
        <w:rPr>
          <w:rFonts w:cs="Calibri"/>
          <w:i/>
        </w:rPr>
        <w:t xml:space="preserve">Best Starts for </w:t>
      </w:r>
      <w:r w:rsidRPr="00D03F1F">
        <w:rPr>
          <w:rFonts w:cs="Calibri"/>
          <w:i/>
          <w:iCs/>
        </w:rPr>
        <w:t>Kids</w:t>
      </w:r>
      <w:r w:rsidRPr="63F1F6BC">
        <w:t xml:space="preserve"> </w:t>
      </w:r>
      <w:r>
        <w:t>l</w:t>
      </w:r>
      <w:r w:rsidRPr="63F1F6BC">
        <w:t xml:space="preserve">evy </w:t>
      </w:r>
      <w:r w:rsidR="00A637EA">
        <w:t xml:space="preserve">and the programs and services it supports </w:t>
      </w:r>
      <w:r>
        <w:t>reflect</w:t>
      </w:r>
      <w:r w:rsidRPr="63F1F6BC">
        <w:t xml:space="preserve"> the fundamental belie</w:t>
      </w:r>
      <w:r>
        <w:t>fs</w:t>
      </w:r>
      <w:r w:rsidRPr="63F1F6BC">
        <w:t xml:space="preserve"> that King County is a region of considerable opportunity</w:t>
      </w:r>
      <w:r w:rsidR="00C7750A">
        <w:t>;</w:t>
      </w:r>
      <w:r w:rsidRPr="63F1F6BC">
        <w:t xml:space="preserve"> that all residents benefit when </w:t>
      </w:r>
      <w:r>
        <w:t xml:space="preserve">the King County community supports </w:t>
      </w:r>
      <w:r w:rsidRPr="63F1F6BC">
        <w:t>each child, youth, and young adult</w:t>
      </w:r>
      <w:r w:rsidRPr="63F1F6BC" w:rsidDel="00E1643F">
        <w:t xml:space="preserve"> </w:t>
      </w:r>
      <w:r w:rsidRPr="63F1F6BC">
        <w:t>to achieve their fullest potential</w:t>
      </w:r>
      <w:r w:rsidR="00C7750A">
        <w:t>;</w:t>
      </w:r>
      <w:r>
        <w:t xml:space="preserve"> and that lives</w:t>
      </w:r>
      <w:r w:rsidRPr="63F1F6BC">
        <w:t xml:space="preserve"> of health, prosperity and purpose must be within reach for every King County resident</w:t>
      </w:r>
      <w:r w:rsidR="00791013">
        <w:t xml:space="preserve">. </w:t>
      </w:r>
      <w:r w:rsidR="006D1ECF">
        <w:rPr>
          <w:rFonts w:cs="Calibri"/>
        </w:rPr>
        <w:t xml:space="preserve">To </w:t>
      </w:r>
      <w:r w:rsidR="00BC7000">
        <w:rPr>
          <w:rFonts w:cs="Calibri"/>
        </w:rPr>
        <w:t>create</w:t>
      </w:r>
      <w:r w:rsidR="006D1ECF">
        <w:rPr>
          <w:rFonts w:cs="Calibri"/>
        </w:rPr>
        <w:t xml:space="preserve"> these opportunities for King County’s young people,</w:t>
      </w:r>
      <w:r w:rsidR="006D1ECF">
        <w:t xml:space="preserve"> </w:t>
      </w:r>
      <w:r w:rsidR="00FC0F4A">
        <w:rPr>
          <w:rFonts w:cs="Calibri"/>
        </w:rPr>
        <w:t>i</w:t>
      </w:r>
      <w:r w:rsidR="00A1678A">
        <w:t>n 2022-2027</w:t>
      </w:r>
      <w:r w:rsidR="000B2F64">
        <w:t xml:space="preserve"> </w:t>
      </w:r>
      <w:r w:rsidRPr="00354EFE">
        <w:rPr>
          <w:rFonts w:cs="Calibri"/>
          <w:i/>
        </w:rPr>
        <w:t>Best Starts</w:t>
      </w:r>
      <w:r>
        <w:rPr>
          <w:rFonts w:cs="Calibri"/>
        </w:rPr>
        <w:t xml:space="preserve"> will maintain</w:t>
      </w:r>
      <w:r w:rsidR="000E1F7D">
        <w:rPr>
          <w:rFonts w:cs="Calibri"/>
        </w:rPr>
        <w:t xml:space="preserve"> its </w:t>
      </w:r>
      <w:r w:rsidR="4095DEAC" w:rsidRPr="2E7EBA44">
        <w:rPr>
          <w:rFonts w:cs="Calibri"/>
        </w:rPr>
        <w:t>investment</w:t>
      </w:r>
      <w:r w:rsidRPr="2E7EBA44">
        <w:rPr>
          <w:rFonts w:cs="Calibri"/>
        </w:rPr>
        <w:t>s</w:t>
      </w:r>
      <w:r w:rsidR="00382179">
        <w:rPr>
          <w:rFonts w:cs="Calibri"/>
        </w:rPr>
        <w:t xml:space="preserve"> strategies</w:t>
      </w:r>
      <w:r w:rsidR="005255B9">
        <w:rPr>
          <w:rFonts w:cs="Calibri"/>
        </w:rPr>
        <w:t xml:space="preserve"> from the first 2016-2</w:t>
      </w:r>
      <w:r w:rsidR="00C608AC">
        <w:rPr>
          <w:rFonts w:cs="Calibri"/>
        </w:rPr>
        <w:t>02</w:t>
      </w:r>
      <w:r w:rsidR="005255B9">
        <w:rPr>
          <w:rFonts w:cs="Calibri"/>
        </w:rPr>
        <w:t>1 levy</w:t>
      </w:r>
      <w:r>
        <w:rPr>
          <w:rFonts w:cs="Calibri"/>
        </w:rPr>
        <w:t xml:space="preserve"> while</w:t>
      </w:r>
      <w:r w:rsidR="000B2F64">
        <w:rPr>
          <w:rFonts w:cs="Calibri"/>
        </w:rPr>
        <w:t xml:space="preserve"> expanding upon these successes to</w:t>
      </w:r>
      <w:r>
        <w:rPr>
          <w:rFonts w:cs="Calibri"/>
        </w:rPr>
        <w:t xml:space="preserve"> build new programming such as child care subsides, and increasing </w:t>
      </w:r>
      <w:r w:rsidR="00396E3B">
        <w:rPr>
          <w:rFonts w:cs="Calibri"/>
        </w:rPr>
        <w:t>funding for</w:t>
      </w:r>
      <w:r>
        <w:rPr>
          <w:rFonts w:cs="Calibri"/>
        </w:rPr>
        <w:t xml:space="preserve"> programs for older youth</w:t>
      </w:r>
      <w:r w:rsidR="00E51396">
        <w:rPr>
          <w:rFonts w:cs="Calibri"/>
        </w:rPr>
        <w:t>, and capital investments in facilities serving children and youth</w:t>
      </w:r>
      <w:r w:rsidR="00F741C3">
        <w:rPr>
          <w:rFonts w:cs="Calibri"/>
        </w:rPr>
        <w:t>.</w:t>
      </w:r>
      <w:r w:rsidR="005C59B9">
        <w:rPr>
          <w:rFonts w:cs="Calibri"/>
        </w:rPr>
        <w:t xml:space="preserve"> To assure transparency and accountability, </w:t>
      </w:r>
      <w:r w:rsidR="005C59B9" w:rsidRPr="00D46709">
        <w:rPr>
          <w:rFonts w:cs="Calibri"/>
          <w:i/>
          <w:iCs/>
        </w:rPr>
        <w:t>Best Starts</w:t>
      </w:r>
      <w:r w:rsidR="005C59B9">
        <w:rPr>
          <w:rFonts w:cs="Calibri"/>
        </w:rPr>
        <w:t xml:space="preserve"> will report on its outcomes, expenditures, and program implementation annually.</w:t>
      </w:r>
    </w:p>
    <w:p w14:paraId="06E924A8" w14:textId="35583DF9" w:rsidR="00281B0A" w:rsidRPr="00DC07CA" w:rsidRDefault="00763EE9" w:rsidP="00DC07CA">
      <w:pPr>
        <w:shd w:val="clear" w:color="auto" w:fill="FFFFFF" w:themeFill="background1"/>
        <w:spacing w:line="240" w:lineRule="auto"/>
        <w:rPr>
          <w:rFonts w:eastAsiaTheme="majorEastAsia" w:cstheme="majorBidi"/>
          <w:color w:val="002060"/>
          <w:sz w:val="24"/>
          <w:szCs w:val="24"/>
        </w:rPr>
      </w:pPr>
      <w:r>
        <w:br w:type="page"/>
      </w:r>
    </w:p>
    <w:p w14:paraId="42FA4910" w14:textId="5E1D4E30" w:rsidR="00D40E3F" w:rsidRPr="0048273D" w:rsidRDefault="00CC7287" w:rsidP="00354EFE">
      <w:pPr>
        <w:pStyle w:val="Heading1"/>
        <w:spacing w:before="0"/>
        <w:ind w:left="1080"/>
        <w:contextualSpacing/>
        <w:rPr>
          <w:b/>
        </w:rPr>
      </w:pPr>
      <w:bookmarkStart w:id="8" w:name="_Toc85188533"/>
      <w:r w:rsidRPr="0048273D">
        <w:rPr>
          <w:b/>
        </w:rPr>
        <w:lastRenderedPageBreak/>
        <w:t>II.</w:t>
      </w:r>
      <w:r w:rsidRPr="0048273D">
        <w:rPr>
          <w:b/>
          <w:i/>
        </w:rPr>
        <w:t xml:space="preserve"> </w:t>
      </w:r>
      <w:r w:rsidR="00C10C3C" w:rsidRPr="00F23E24">
        <w:rPr>
          <w:b/>
        </w:rPr>
        <w:t>Best Starts for Kids</w:t>
      </w:r>
      <w:r w:rsidR="00C10C3C" w:rsidRPr="0048273D">
        <w:rPr>
          <w:b/>
        </w:rPr>
        <w:t xml:space="preserve"> </w:t>
      </w:r>
      <w:r w:rsidR="001F01E5" w:rsidRPr="0048273D">
        <w:rPr>
          <w:b/>
        </w:rPr>
        <w:t>Introduction</w:t>
      </w:r>
      <w:bookmarkEnd w:id="8"/>
    </w:p>
    <w:p w14:paraId="2F95FE36" w14:textId="77777777" w:rsidR="00C716A3" w:rsidRDefault="00C716A3" w:rsidP="00122D84">
      <w:pPr>
        <w:rPr>
          <w:b/>
          <w:bCs/>
        </w:rPr>
      </w:pPr>
    </w:p>
    <w:p w14:paraId="62E1A060" w14:textId="4FD11D3F" w:rsidR="008E5904" w:rsidRPr="00122D84" w:rsidRDefault="005473FD" w:rsidP="00122D84">
      <w:pPr>
        <w:rPr>
          <w:b/>
          <w:bCs/>
        </w:rPr>
      </w:pPr>
      <w:r w:rsidRPr="00122D84">
        <w:rPr>
          <w:b/>
          <w:bCs/>
        </w:rPr>
        <w:t>History, Values and Framework</w:t>
      </w:r>
      <w:r w:rsidR="008E5904" w:rsidRPr="00122D84">
        <w:rPr>
          <w:b/>
          <w:bCs/>
        </w:rPr>
        <w:t xml:space="preserve"> </w:t>
      </w:r>
    </w:p>
    <w:p w14:paraId="3E13E441" w14:textId="4FD69E5E" w:rsidR="004A5DEB" w:rsidRPr="0064402B" w:rsidRDefault="00FB155B" w:rsidP="004A5DEB">
      <w:pPr>
        <w:contextualSpacing/>
      </w:pPr>
      <w:bookmarkStart w:id="9" w:name="_Hlk74680362"/>
      <w:r w:rsidRPr="00D03F1F">
        <w:rPr>
          <w:rFonts w:eastAsia="Calibri" w:cs="Calibri"/>
          <w:i/>
        </w:rPr>
        <w:t>Best Starts</w:t>
      </w:r>
      <w:r w:rsidR="000F7CBA" w:rsidRPr="00D03F1F">
        <w:rPr>
          <w:rFonts w:eastAsia="Calibri" w:cs="Calibri"/>
          <w:i/>
        </w:rPr>
        <w:t xml:space="preserve"> for Kids</w:t>
      </w:r>
      <w:r w:rsidR="002F7D81" w:rsidRPr="00D03F1F">
        <w:rPr>
          <w:rFonts w:eastAsia="Calibri" w:cs="Calibri"/>
        </w:rPr>
        <w:t xml:space="preserve"> </w:t>
      </w:r>
      <w:r w:rsidR="00773CB7">
        <w:rPr>
          <w:rFonts w:eastAsia="Calibri" w:cs="Calibri"/>
        </w:rPr>
        <w:t>(</w:t>
      </w:r>
      <w:r w:rsidR="00D1133C" w:rsidRPr="00D1133C">
        <w:rPr>
          <w:rFonts w:eastAsia="Calibri" w:cs="Calibri"/>
          <w:i/>
          <w:iCs/>
        </w:rPr>
        <w:t>Best Starts</w:t>
      </w:r>
      <w:r w:rsidR="00773CB7">
        <w:rPr>
          <w:rFonts w:eastAsia="Calibri" w:cs="Calibri"/>
        </w:rPr>
        <w:t xml:space="preserve">) </w:t>
      </w:r>
      <w:r w:rsidR="002F7D81" w:rsidRPr="00D03F1F">
        <w:rPr>
          <w:rFonts w:eastAsia="Calibri" w:cs="Calibri"/>
        </w:rPr>
        <w:t xml:space="preserve">is King County’s community-driven initiative to </w:t>
      </w:r>
      <w:r w:rsidR="0FBF14CD" w:rsidRPr="00D03F1F">
        <w:rPr>
          <w:rFonts w:eastAsia="Calibri" w:cs="Calibri"/>
        </w:rPr>
        <w:t xml:space="preserve">support every baby born </w:t>
      </w:r>
      <w:r w:rsidR="00E61FCD">
        <w:rPr>
          <w:rFonts w:eastAsia="Calibri" w:cs="Calibri"/>
        </w:rPr>
        <w:t>and</w:t>
      </w:r>
      <w:r w:rsidR="00E61FCD" w:rsidRPr="00D03F1F">
        <w:rPr>
          <w:rFonts w:eastAsia="Calibri" w:cs="Calibri"/>
        </w:rPr>
        <w:t xml:space="preserve"> </w:t>
      </w:r>
      <w:r w:rsidR="0FBF14CD" w:rsidRPr="00D03F1F">
        <w:rPr>
          <w:rFonts w:eastAsia="Calibri" w:cs="Calibri"/>
        </w:rPr>
        <w:t>child raised in King County</w:t>
      </w:r>
      <w:r w:rsidR="002F7D81" w:rsidRPr="00D03F1F">
        <w:rPr>
          <w:rFonts w:eastAsia="Calibri" w:cs="Calibri"/>
        </w:rPr>
        <w:t xml:space="preserve"> to </w:t>
      </w:r>
      <w:r w:rsidR="00C36ABA">
        <w:rPr>
          <w:rFonts w:eastAsia="Calibri" w:cs="Calibri"/>
        </w:rPr>
        <w:t>be</w:t>
      </w:r>
      <w:r w:rsidR="0FBF14CD" w:rsidRPr="00D03F1F">
        <w:rPr>
          <w:rFonts w:eastAsia="Calibri" w:cs="Calibri"/>
        </w:rPr>
        <w:t xml:space="preserve"> happy, </w:t>
      </w:r>
      <w:r w:rsidR="002F7D81" w:rsidRPr="00D03F1F">
        <w:rPr>
          <w:rFonts w:eastAsia="Calibri" w:cs="Calibri"/>
        </w:rPr>
        <w:t>healthy, safe</w:t>
      </w:r>
      <w:r w:rsidR="00F74197" w:rsidRPr="00D03F1F">
        <w:rPr>
          <w:rFonts w:eastAsia="Calibri" w:cs="Calibri"/>
        </w:rPr>
        <w:t>,</w:t>
      </w:r>
      <w:r w:rsidR="002F7D81" w:rsidRPr="00D03F1F">
        <w:rPr>
          <w:rFonts w:eastAsia="Calibri" w:cs="Calibri"/>
        </w:rPr>
        <w:t xml:space="preserve"> and thriving</w:t>
      </w:r>
      <w:r w:rsidR="19D3C20B" w:rsidRPr="6F1CBA8E">
        <w:t>.</w:t>
      </w:r>
      <w:r w:rsidR="00BE0AEE">
        <w:t xml:space="preserve"> </w:t>
      </w:r>
      <w:r w:rsidR="002B6C52">
        <w:t>Initially approved by voters in 2015 and i</w:t>
      </w:r>
      <w:r w:rsidR="008D0126">
        <w:t xml:space="preserve">n place since </w:t>
      </w:r>
      <w:r w:rsidR="008B4407">
        <w:t>2016</w:t>
      </w:r>
      <w:r w:rsidR="008D0126">
        <w:t xml:space="preserve">, </w:t>
      </w:r>
      <w:r w:rsidR="00DE7C36" w:rsidRPr="00DE7C36">
        <w:rPr>
          <w:i/>
          <w:iCs/>
        </w:rPr>
        <w:t>Best Starts</w:t>
      </w:r>
      <w:r w:rsidR="008D0126">
        <w:t xml:space="preserve"> </w:t>
      </w:r>
      <w:r w:rsidR="00773CB7">
        <w:t>invests in</w:t>
      </w:r>
      <w:r w:rsidR="008D0126">
        <w:t xml:space="preserve"> </w:t>
      </w:r>
      <w:r w:rsidR="003F43BF">
        <w:t xml:space="preserve">comprehensive </w:t>
      </w:r>
      <w:r w:rsidR="003F43BF" w:rsidDel="001151C3">
        <w:t xml:space="preserve">supports </w:t>
      </w:r>
      <w:r w:rsidR="002E1818">
        <w:t xml:space="preserve">for </w:t>
      </w:r>
      <w:r w:rsidR="000D5447">
        <w:t>children,</w:t>
      </w:r>
      <w:r w:rsidR="007C5AEB">
        <w:t xml:space="preserve"> </w:t>
      </w:r>
      <w:r w:rsidR="00734E59">
        <w:t xml:space="preserve">youth, </w:t>
      </w:r>
      <w:r w:rsidR="000D5447">
        <w:t>young adults</w:t>
      </w:r>
      <w:r w:rsidR="00AC44BA">
        <w:t>,</w:t>
      </w:r>
      <w:r w:rsidR="000D5447">
        <w:t xml:space="preserve"> and </w:t>
      </w:r>
      <w:r w:rsidR="00734E59">
        <w:t>families and</w:t>
      </w:r>
      <w:r w:rsidR="000D5447">
        <w:t xml:space="preserve"> caregivers,</w:t>
      </w:r>
      <w:r w:rsidR="003F43BF">
        <w:t xml:space="preserve"> </w:t>
      </w:r>
      <w:r w:rsidR="00E61FCD">
        <w:t>catalyzing</w:t>
      </w:r>
      <w:r w:rsidR="0008487C">
        <w:t xml:space="preserve"> strong starts in early childhood</w:t>
      </w:r>
      <w:r w:rsidR="00773CB7">
        <w:t>,</w:t>
      </w:r>
      <w:r w:rsidR="006A4FCF">
        <w:t xml:space="preserve"> and </w:t>
      </w:r>
      <w:r w:rsidR="0008487C">
        <w:t>sustain</w:t>
      </w:r>
      <w:r w:rsidR="00E61FCD">
        <w:t>ing</w:t>
      </w:r>
      <w:r w:rsidR="0008487C">
        <w:t xml:space="preserve"> those gains </w:t>
      </w:r>
      <w:r w:rsidR="00C764BB">
        <w:t xml:space="preserve">as </w:t>
      </w:r>
      <w:r w:rsidR="006F001E">
        <w:t>children</w:t>
      </w:r>
      <w:r w:rsidR="00C764BB">
        <w:t xml:space="preserve"> progress to adulthood</w:t>
      </w:r>
      <w:r w:rsidR="009E4D8A">
        <w:t>.</w:t>
      </w:r>
      <w:r w:rsidR="004C281A">
        <w:t xml:space="preserve"> </w:t>
      </w:r>
      <w:bookmarkEnd w:id="9"/>
      <w:r w:rsidR="000E1176">
        <w:t>By</w:t>
      </w:r>
      <w:r w:rsidR="009E6E2E">
        <w:t xml:space="preserve"> </w:t>
      </w:r>
      <w:r w:rsidR="00915DCF">
        <w:t>promot</w:t>
      </w:r>
      <w:r w:rsidR="000E1176">
        <w:t>i</w:t>
      </w:r>
      <w:r w:rsidR="0026008D">
        <w:t>ng</w:t>
      </w:r>
      <w:r w:rsidR="00915DCF">
        <w:t xml:space="preserve"> positive outcomes for </w:t>
      </w:r>
      <w:r w:rsidR="00844895">
        <w:t>children</w:t>
      </w:r>
      <w:r w:rsidR="00915DCF">
        <w:t xml:space="preserve">, </w:t>
      </w:r>
      <w:r w:rsidR="00BB518A">
        <w:t>interven</w:t>
      </w:r>
      <w:r w:rsidR="0026008D">
        <w:t>ing</w:t>
      </w:r>
      <w:r w:rsidR="00BB518A">
        <w:t xml:space="preserve"> early when </w:t>
      </w:r>
      <w:r w:rsidR="00660B57">
        <w:t>k</w:t>
      </w:r>
      <w:r w:rsidR="00844895">
        <w:t>ids</w:t>
      </w:r>
      <w:r w:rsidR="00660B57">
        <w:t xml:space="preserve"> and families need support, and build</w:t>
      </w:r>
      <w:r w:rsidR="0026008D">
        <w:t>ing</w:t>
      </w:r>
      <w:r w:rsidR="00660B57">
        <w:t xml:space="preserve"> on </w:t>
      </w:r>
      <w:r w:rsidR="0026008D">
        <w:t>family and</w:t>
      </w:r>
      <w:r w:rsidR="00660B57">
        <w:t xml:space="preserve"> community strengths</w:t>
      </w:r>
      <w:r w:rsidR="000E1176">
        <w:t>,</w:t>
      </w:r>
      <w:r w:rsidR="000E1176" w:rsidRPr="000E1176">
        <w:rPr>
          <w:i/>
          <w:iCs/>
        </w:rPr>
        <w:t xml:space="preserve"> </w:t>
      </w:r>
      <w:r w:rsidR="004A5DEB">
        <w:rPr>
          <w:i/>
        </w:rPr>
        <w:t xml:space="preserve">Best Starts </w:t>
      </w:r>
      <w:r w:rsidR="000E1176">
        <w:t>launches</w:t>
      </w:r>
      <w:r w:rsidR="004A5DEB" w:rsidRPr="26C1364F">
        <w:t xml:space="preserve"> King County’s young </w:t>
      </w:r>
      <w:r w:rsidR="000E1176">
        <w:t>people on a path to lifelong health</w:t>
      </w:r>
      <w:r w:rsidR="004A5DEB" w:rsidRPr="26C1364F">
        <w:t xml:space="preserve"> and </w:t>
      </w:r>
      <w:r w:rsidR="000E1176">
        <w:t>well-being</w:t>
      </w:r>
      <w:r w:rsidR="00660B57">
        <w:t xml:space="preserve">. </w:t>
      </w:r>
      <w:r w:rsidR="004A5DEB" w:rsidRPr="26C1364F">
        <w:t xml:space="preserve">Since </w:t>
      </w:r>
      <w:r w:rsidR="004A5DEB" w:rsidRPr="0021293C">
        <w:t xml:space="preserve">2016, </w:t>
      </w:r>
      <w:r w:rsidR="00481723">
        <w:rPr>
          <w:rFonts w:cs="Calibri"/>
          <w:i/>
        </w:rPr>
        <w:t xml:space="preserve">the </w:t>
      </w:r>
      <w:r w:rsidR="001A47BF">
        <w:rPr>
          <w:rFonts w:cs="Calibri"/>
          <w:i/>
        </w:rPr>
        <w:t>ini</w:t>
      </w:r>
      <w:r w:rsidR="00481723">
        <w:rPr>
          <w:rFonts w:cs="Calibri"/>
          <w:i/>
        </w:rPr>
        <w:t>ti</w:t>
      </w:r>
      <w:r w:rsidR="001A47BF">
        <w:rPr>
          <w:rFonts w:cs="Calibri"/>
          <w:i/>
        </w:rPr>
        <w:t>ative</w:t>
      </w:r>
      <w:r w:rsidR="004A5DEB" w:rsidRPr="26C1364F">
        <w:t xml:space="preserve"> has </w:t>
      </w:r>
      <w:r w:rsidR="001A47BF" w:rsidRPr="26C1364F">
        <w:t>pursu</w:t>
      </w:r>
      <w:r w:rsidR="001A47BF">
        <w:t>ed</w:t>
      </w:r>
      <w:r w:rsidR="004A5DEB" w:rsidRPr="26C1364F">
        <w:t xml:space="preserve"> three </w:t>
      </w:r>
      <w:r w:rsidR="000E1D1A">
        <w:t xml:space="preserve">overarching </w:t>
      </w:r>
      <w:r w:rsidR="00F46761">
        <w:t>r</w:t>
      </w:r>
      <w:r w:rsidR="004A5DEB" w:rsidRPr="26C1364F">
        <w:t>esults:</w:t>
      </w:r>
    </w:p>
    <w:p w14:paraId="1C286E87" w14:textId="77777777" w:rsidR="004A5DEB" w:rsidRPr="00900E2A" w:rsidRDefault="004A5DEB" w:rsidP="004A5DEB">
      <w:pPr>
        <w:contextualSpacing/>
        <w:rPr>
          <w:rFonts w:eastAsiaTheme="majorEastAsia"/>
        </w:rPr>
      </w:pPr>
    </w:p>
    <w:tbl>
      <w:tblPr>
        <w:tblStyle w:val="TableGrid"/>
        <w:tblW w:w="0" w:type="auto"/>
        <w:jc w:val="center"/>
        <w:tblLook w:val="04A0" w:firstRow="1" w:lastRow="0" w:firstColumn="1" w:lastColumn="0" w:noHBand="0" w:noVBand="1"/>
      </w:tblPr>
      <w:tblGrid>
        <w:gridCol w:w="8430"/>
      </w:tblGrid>
      <w:tr w:rsidR="004A5DEB" w14:paraId="32E9568F" w14:textId="77777777" w:rsidTr="00C360FA">
        <w:trPr>
          <w:jc w:val="center"/>
        </w:trPr>
        <w:tc>
          <w:tcPr>
            <w:tcW w:w="843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FFFFFF" w:themeFill="background1"/>
          </w:tcPr>
          <w:p w14:paraId="5624ED82" w14:textId="77777777" w:rsidR="004A5DEB" w:rsidRPr="00703373" w:rsidRDefault="004A5DEB" w:rsidP="00C360FA">
            <w:pPr>
              <w:contextualSpacing/>
              <w:rPr>
                <w:rFonts w:cs="Calibri"/>
                <w:b/>
                <w:i/>
                <w:color w:val="4472C4" w:themeColor="accent1"/>
              </w:rPr>
            </w:pPr>
            <w:r w:rsidRPr="00493AC0">
              <w:rPr>
                <w:rFonts w:cs="Calibri"/>
                <w:b/>
                <w:i/>
                <w:color w:val="0070C0"/>
                <w:sz w:val="28"/>
                <w:szCs w:val="28"/>
              </w:rPr>
              <w:t>Best Starts for Kids</w:t>
            </w:r>
            <w:r w:rsidRPr="00493AC0">
              <w:rPr>
                <w:rFonts w:cs="Calibri"/>
                <w:b/>
                <w:color w:val="0070C0"/>
                <w:sz w:val="28"/>
                <w:szCs w:val="28"/>
              </w:rPr>
              <w:t xml:space="preserve">’ </w:t>
            </w:r>
            <w:r w:rsidRPr="00703373">
              <w:rPr>
                <w:rFonts w:cs="Calibri"/>
                <w:b/>
                <w:bCs/>
                <w:color w:val="4472C4" w:themeColor="accent1"/>
                <w:sz w:val="28"/>
                <w:szCs w:val="28"/>
              </w:rPr>
              <w:t>Results</w:t>
            </w:r>
          </w:p>
          <w:p w14:paraId="61B88478" w14:textId="7086AFAE" w:rsidR="004A5DEB" w:rsidRPr="00BC0A29" w:rsidRDefault="004A5DEB" w:rsidP="00DF194B">
            <w:pPr>
              <w:pStyle w:val="ListParagraph"/>
              <w:numPr>
                <w:ilvl w:val="0"/>
                <w:numId w:val="84"/>
              </w:numPr>
              <w:rPr>
                <w:rFonts w:eastAsiaTheme="majorEastAsia" w:cs="Calibri"/>
                <w:b/>
                <w:bCs/>
                <w:color w:val="4472C4" w:themeColor="accent1"/>
              </w:rPr>
            </w:pPr>
            <w:r w:rsidRPr="00BC0A29">
              <w:rPr>
                <w:rFonts w:eastAsiaTheme="majorEastAsia" w:cs="Calibri"/>
                <w:b/>
                <w:bCs/>
                <w:color w:val="4472C4" w:themeColor="accent1"/>
              </w:rPr>
              <w:t>Babies are born healthy and given a foundation for a happy, healthy life</w:t>
            </w:r>
          </w:p>
          <w:p w14:paraId="7EBECD2D" w14:textId="7A0EA01E" w:rsidR="004A5DEB" w:rsidRDefault="004A5DEB" w:rsidP="00DF194B">
            <w:pPr>
              <w:pStyle w:val="ListParagraph"/>
              <w:numPr>
                <w:ilvl w:val="0"/>
                <w:numId w:val="84"/>
              </w:numPr>
              <w:rPr>
                <w:rFonts w:eastAsiaTheme="majorEastAsia" w:cs="Calibri"/>
                <w:b/>
                <w:bCs/>
                <w:color w:val="4472C4" w:themeColor="accent1"/>
              </w:rPr>
            </w:pPr>
            <w:r w:rsidRPr="00BC0A29">
              <w:rPr>
                <w:rFonts w:eastAsiaTheme="majorEastAsia" w:cs="Calibri"/>
                <w:b/>
                <w:bCs/>
                <w:color w:val="4472C4" w:themeColor="accent1"/>
              </w:rPr>
              <w:t>Young people have equitable opportunities to be safe, healthy, and thriving</w:t>
            </w:r>
          </w:p>
          <w:p w14:paraId="78D23287" w14:textId="1E218D1F" w:rsidR="004A5DEB" w:rsidRPr="00BC0A29" w:rsidRDefault="004A5DEB" w:rsidP="00DF194B">
            <w:pPr>
              <w:pStyle w:val="ListParagraph"/>
              <w:numPr>
                <w:ilvl w:val="0"/>
                <w:numId w:val="84"/>
              </w:numPr>
              <w:rPr>
                <w:rFonts w:eastAsiaTheme="majorEastAsia" w:cs="Calibri"/>
                <w:b/>
                <w:bCs/>
                <w:color w:val="4472C4" w:themeColor="accent1"/>
              </w:rPr>
            </w:pPr>
            <w:r w:rsidRPr="00BC0A29">
              <w:rPr>
                <w:rFonts w:eastAsiaTheme="majorEastAsia" w:cs="Calibri"/>
                <w:b/>
                <w:bCs/>
                <w:color w:val="4472C4" w:themeColor="accent1"/>
              </w:rPr>
              <w:t>Communities offer safe, welcoming environments for their kids</w:t>
            </w:r>
            <w:r w:rsidR="00F72B97">
              <w:rPr>
                <w:rFonts w:eastAsiaTheme="majorEastAsia" w:cs="Calibri"/>
                <w:b/>
                <w:bCs/>
                <w:color w:val="4472C4" w:themeColor="accent1"/>
              </w:rPr>
              <w:t xml:space="preserve">                  </w:t>
            </w:r>
          </w:p>
        </w:tc>
      </w:tr>
    </w:tbl>
    <w:p w14:paraId="57D676B4" w14:textId="3E7B18C3" w:rsidR="004A5DEB" w:rsidRDefault="004A5DEB" w:rsidP="005F3393">
      <w:pPr>
        <w:contextualSpacing/>
      </w:pPr>
    </w:p>
    <w:p w14:paraId="2E9FCAAA" w14:textId="57CD548B" w:rsidR="002F7D81" w:rsidRPr="00D40E3F" w:rsidRDefault="6FD3B3C7" w:rsidP="005F3393">
      <w:pPr>
        <w:contextualSpacing/>
      </w:pPr>
      <w:r w:rsidRPr="6F1CBA8E">
        <w:t>T</w:t>
      </w:r>
      <w:r w:rsidR="002F7D81" w:rsidRPr="5D6E0E0E">
        <w:t>hrough a voter-approved levy lid lift that Washington law limits to six years</w:t>
      </w:r>
      <w:r w:rsidR="7B71A3AD" w:rsidRPr="6F1CBA8E">
        <w:t>,</w:t>
      </w:r>
      <w:r w:rsidR="00592A9E" w:rsidRPr="00D03F1F">
        <w:rPr>
          <w:rStyle w:val="FootnoteReference"/>
          <w:rFonts w:cs="Calibri"/>
        </w:rPr>
        <w:footnoteReference w:id="36"/>
      </w:r>
      <w:r w:rsidR="002F7D81" w:rsidRPr="5D6E0E0E">
        <w:t xml:space="preserve"> </w:t>
      </w:r>
      <w:r w:rsidR="00FB155B" w:rsidRPr="00D03F1F">
        <w:rPr>
          <w:rFonts w:cs="Calibri"/>
          <w:i/>
        </w:rPr>
        <w:t>Best Starts</w:t>
      </w:r>
      <w:r w:rsidR="002F7D81" w:rsidRPr="00D03F1F">
        <w:rPr>
          <w:rFonts w:eastAsia="Calibri Light" w:cs="Calibri"/>
          <w:color w:val="000000" w:themeColor="text1"/>
        </w:rPr>
        <w:t xml:space="preserve"> takes a disciplined</w:t>
      </w:r>
      <w:r w:rsidR="008D44D9" w:rsidRPr="00D03F1F">
        <w:rPr>
          <w:rFonts w:eastAsia="Calibri Light" w:cs="Calibri"/>
          <w:color w:val="000000" w:themeColor="text1"/>
        </w:rPr>
        <w:t>, proactive</w:t>
      </w:r>
      <w:r w:rsidR="002F7D81" w:rsidRPr="00D03F1F">
        <w:rPr>
          <w:rFonts w:eastAsia="Calibri Light" w:cs="Calibri"/>
          <w:color w:val="000000" w:themeColor="text1"/>
        </w:rPr>
        <w:t xml:space="preserve"> approach to </w:t>
      </w:r>
      <w:r w:rsidR="001566C7" w:rsidRPr="00D03F1F">
        <w:rPr>
          <w:rFonts w:eastAsia="Calibri Light" w:cs="Calibri"/>
          <w:color w:val="000000" w:themeColor="text1"/>
        </w:rPr>
        <w:t xml:space="preserve">meet kids and families with the right support at the right time, </w:t>
      </w:r>
      <w:r w:rsidR="002F7D81" w:rsidRPr="00D03F1F">
        <w:rPr>
          <w:rFonts w:eastAsia="Calibri Light" w:cs="Calibri"/>
          <w:color w:val="000000" w:themeColor="text1"/>
        </w:rPr>
        <w:t>rather than reacting to cris</w:t>
      </w:r>
      <w:r w:rsidR="002F73CA">
        <w:rPr>
          <w:rFonts w:eastAsia="Calibri Light" w:cs="Calibri"/>
          <w:color w:val="000000" w:themeColor="text1"/>
        </w:rPr>
        <w:t>e</w:t>
      </w:r>
      <w:r w:rsidR="002F7D81" w:rsidRPr="00D03F1F">
        <w:rPr>
          <w:rFonts w:eastAsia="Calibri Light" w:cs="Calibri"/>
          <w:color w:val="000000" w:themeColor="text1"/>
        </w:rPr>
        <w:t>s.</w:t>
      </w:r>
      <w:r w:rsidR="002F7D81" w:rsidRPr="007C6669" w:rsidDel="0021293C">
        <w:rPr>
          <w:rStyle w:val="FootnoteReference"/>
          <w:rFonts w:cs="Calibri"/>
        </w:rPr>
        <w:t xml:space="preserve"> </w:t>
      </w:r>
      <w:r w:rsidR="002F7D81" w:rsidRPr="5D6E0E0E">
        <w:t xml:space="preserve">Voters approved the first </w:t>
      </w:r>
      <w:r w:rsidR="00FB155B" w:rsidRPr="00D03F1F">
        <w:rPr>
          <w:rFonts w:cs="Calibri"/>
          <w:i/>
        </w:rPr>
        <w:t>Best Starts</w:t>
      </w:r>
      <w:r w:rsidR="002F7D81" w:rsidRPr="52A98439">
        <w:rPr>
          <w:i/>
        </w:rPr>
        <w:t xml:space="preserve"> </w:t>
      </w:r>
      <w:r w:rsidR="002F7D81" w:rsidRPr="5D6E0E0E">
        <w:t>levy in 2015 with a first-year levy rate of $0.14 per $1,000 of a property’s assessed value.</w:t>
      </w:r>
      <w:r w:rsidR="007609EA" w:rsidRPr="00D03F1F">
        <w:rPr>
          <w:rStyle w:val="FootnoteReference"/>
          <w:rFonts w:cs="Calibri"/>
        </w:rPr>
        <w:footnoteReference w:id="37"/>
      </w:r>
    </w:p>
    <w:p w14:paraId="6F749D35" w14:textId="77777777" w:rsidR="00E03759" w:rsidRDefault="00E03759" w:rsidP="005F3393">
      <w:pPr>
        <w:contextualSpacing/>
      </w:pPr>
    </w:p>
    <w:p w14:paraId="47ADF238" w14:textId="7F8845CE" w:rsidR="00E03759" w:rsidRPr="00536297" w:rsidRDefault="00AF4080" w:rsidP="005F3393">
      <w:pPr>
        <w:contextualSpacing/>
        <w:rPr>
          <w:rFonts w:cs="Calibri"/>
        </w:rPr>
      </w:pPr>
      <w:r w:rsidRPr="00321800">
        <w:rPr>
          <w:rFonts w:cs="Calibri"/>
        </w:rPr>
        <w:t>Anticipating the</w:t>
      </w:r>
      <w:r w:rsidR="00A3607C">
        <w:rPr>
          <w:rFonts w:cs="Calibri"/>
        </w:rPr>
        <w:t xml:space="preserve"> </w:t>
      </w:r>
      <w:r w:rsidRPr="00321800">
        <w:rPr>
          <w:rFonts w:cs="Calibri"/>
        </w:rPr>
        <w:t>f</w:t>
      </w:r>
      <w:r w:rsidRPr="00D03F1F">
        <w:rPr>
          <w:rFonts w:cs="Calibri"/>
        </w:rPr>
        <w:t>irst</w:t>
      </w:r>
      <w:r w:rsidRPr="00321800">
        <w:rPr>
          <w:rFonts w:cs="Calibri"/>
        </w:rPr>
        <w:t xml:space="preserve"> </w:t>
      </w:r>
      <w:r w:rsidRPr="00321800">
        <w:rPr>
          <w:rFonts w:cs="Calibri"/>
          <w:i/>
        </w:rPr>
        <w:t>Best Starts</w:t>
      </w:r>
      <w:r w:rsidRPr="00321800">
        <w:rPr>
          <w:rFonts w:cs="Calibri"/>
        </w:rPr>
        <w:t xml:space="preserve"> </w:t>
      </w:r>
      <w:r w:rsidR="002B38E6">
        <w:rPr>
          <w:rFonts w:cs="Calibri"/>
        </w:rPr>
        <w:t>l</w:t>
      </w:r>
      <w:r w:rsidRPr="00321800">
        <w:rPr>
          <w:rFonts w:cs="Calibri"/>
        </w:rPr>
        <w:t>evy</w:t>
      </w:r>
      <w:r w:rsidRPr="00321800" w:rsidDel="00A3607C">
        <w:rPr>
          <w:rFonts w:cs="Calibri"/>
        </w:rPr>
        <w:t xml:space="preserve"> expiration</w:t>
      </w:r>
      <w:r w:rsidRPr="00321800">
        <w:rPr>
          <w:rFonts w:cs="Calibri"/>
        </w:rPr>
        <w:t xml:space="preserve">, the King County Council passed Motion 15651, </w:t>
      </w:r>
      <w:r w:rsidR="007F78FE" w:rsidRPr="007F78FE">
        <w:rPr>
          <w:rFonts w:cs="Calibri"/>
        </w:rPr>
        <w:t xml:space="preserve">requesting the </w:t>
      </w:r>
      <w:r w:rsidR="007F78FE">
        <w:rPr>
          <w:rFonts w:cs="Calibri"/>
        </w:rPr>
        <w:t>E</w:t>
      </w:r>
      <w:r w:rsidR="007F78FE" w:rsidRPr="007F78FE">
        <w:rPr>
          <w:rFonts w:cs="Calibri"/>
        </w:rPr>
        <w:t xml:space="preserve">xecutive to prepare an </w:t>
      </w:r>
      <w:r w:rsidR="005E2873">
        <w:rPr>
          <w:rFonts w:cs="Calibri"/>
        </w:rPr>
        <w:t>a</w:t>
      </w:r>
      <w:r w:rsidR="007F78FE" w:rsidRPr="007F78FE">
        <w:rPr>
          <w:rFonts w:cs="Calibri"/>
        </w:rPr>
        <w:t xml:space="preserve">ssessment </w:t>
      </w:r>
      <w:r w:rsidR="005E2873">
        <w:rPr>
          <w:rFonts w:cs="Calibri"/>
        </w:rPr>
        <w:t>r</w:t>
      </w:r>
      <w:r w:rsidR="007F78FE" w:rsidRPr="007F78FE">
        <w:rPr>
          <w:rFonts w:cs="Calibri"/>
        </w:rPr>
        <w:t xml:space="preserve">eport to inform </w:t>
      </w:r>
      <w:r w:rsidR="007F78FE">
        <w:rPr>
          <w:rFonts w:cs="Calibri"/>
        </w:rPr>
        <w:t>C</w:t>
      </w:r>
      <w:r w:rsidR="007F78FE" w:rsidRPr="007F78FE">
        <w:rPr>
          <w:rFonts w:cs="Calibri"/>
        </w:rPr>
        <w:t xml:space="preserve">ouncil deliberations regarding possible renewal of the </w:t>
      </w:r>
      <w:r w:rsidR="0094496B" w:rsidRPr="00B635FA">
        <w:rPr>
          <w:rFonts w:cs="Calibri"/>
          <w:i/>
          <w:iCs/>
        </w:rPr>
        <w:t>B</w:t>
      </w:r>
      <w:r w:rsidR="007F78FE" w:rsidRPr="00B635FA">
        <w:rPr>
          <w:rFonts w:cs="Calibri"/>
          <w:i/>
          <w:iCs/>
        </w:rPr>
        <w:t xml:space="preserve">est </w:t>
      </w:r>
      <w:r w:rsidR="0094496B" w:rsidRPr="00B635FA">
        <w:rPr>
          <w:rFonts w:cs="Calibri"/>
          <w:i/>
          <w:iCs/>
        </w:rPr>
        <w:t>S</w:t>
      </w:r>
      <w:r w:rsidR="007F78FE" w:rsidRPr="00B635FA">
        <w:rPr>
          <w:rFonts w:cs="Calibri"/>
          <w:i/>
          <w:iCs/>
        </w:rPr>
        <w:t xml:space="preserve">tarts for </w:t>
      </w:r>
      <w:r w:rsidR="0094496B" w:rsidRPr="00B635FA">
        <w:rPr>
          <w:rFonts w:cs="Calibri"/>
          <w:i/>
          <w:iCs/>
        </w:rPr>
        <w:t>K</w:t>
      </w:r>
      <w:r w:rsidR="007F78FE" w:rsidRPr="00B635FA">
        <w:rPr>
          <w:rFonts w:cs="Calibri"/>
          <w:i/>
          <w:iCs/>
        </w:rPr>
        <w:t>ids</w:t>
      </w:r>
      <w:r w:rsidR="007F78FE" w:rsidRPr="007F78FE">
        <w:rPr>
          <w:rFonts w:cs="Calibri"/>
        </w:rPr>
        <w:t xml:space="preserve"> levy.</w:t>
      </w:r>
      <w:r w:rsidR="0041296A" w:rsidRPr="00D03F1F">
        <w:rPr>
          <w:rStyle w:val="FootnoteReference"/>
          <w:rFonts w:cs="Calibri"/>
        </w:rPr>
        <w:footnoteReference w:id="38"/>
      </w:r>
      <w:r w:rsidR="007F78FE">
        <w:rPr>
          <w:rFonts w:cs="Calibri"/>
        </w:rPr>
        <w:t xml:space="preserve"> </w:t>
      </w:r>
      <w:r w:rsidRPr="00321800">
        <w:rPr>
          <w:rFonts w:cs="Calibri"/>
        </w:rPr>
        <w:t>In December 2020, Motion 15769</w:t>
      </w:r>
      <w:r w:rsidR="002A1156">
        <w:rPr>
          <w:rFonts w:cs="Calibri"/>
        </w:rPr>
        <w:t xml:space="preserve"> </w:t>
      </w:r>
      <w:r w:rsidRPr="00321800">
        <w:rPr>
          <w:rFonts w:cs="Calibri"/>
        </w:rPr>
        <w:t xml:space="preserve">approved the </w:t>
      </w:r>
      <w:r w:rsidRPr="00B635FA">
        <w:rPr>
          <w:rFonts w:cs="Calibri"/>
          <w:i/>
          <w:iCs/>
        </w:rPr>
        <w:t>Best Starts</w:t>
      </w:r>
      <w:r w:rsidRPr="00321800">
        <w:rPr>
          <w:rFonts w:cs="Calibri"/>
        </w:rPr>
        <w:t xml:space="preserve"> Assessment Report.</w:t>
      </w:r>
      <w:r w:rsidR="006572A1">
        <w:rPr>
          <w:rStyle w:val="FootnoteReference"/>
          <w:rFonts w:cs="Calibri"/>
        </w:rPr>
        <w:footnoteReference w:id="39"/>
      </w:r>
      <w:r w:rsidRPr="00321800">
        <w:rPr>
          <w:rFonts w:cs="Calibri"/>
        </w:rPr>
        <w:t xml:space="preserve"> </w:t>
      </w:r>
      <w:r w:rsidR="007F78FE">
        <w:rPr>
          <w:rFonts w:cs="Calibri"/>
        </w:rPr>
        <w:t xml:space="preserve"> </w:t>
      </w:r>
      <w:r w:rsidRPr="00321800">
        <w:rPr>
          <w:rFonts w:cs="Calibri"/>
        </w:rPr>
        <w:t>Building upon the findings and recommendations</w:t>
      </w:r>
      <w:r w:rsidR="007F78FE">
        <w:rPr>
          <w:rFonts w:cs="Calibri"/>
        </w:rPr>
        <w:t xml:space="preserve"> of the Assessment Report</w:t>
      </w:r>
      <w:bookmarkStart w:id="10" w:name="_Hlk74680557"/>
      <w:r w:rsidR="006E141D">
        <w:rPr>
          <w:rFonts w:cs="Calibri"/>
        </w:rPr>
        <w:t>, in January</w:t>
      </w:r>
      <w:r w:rsidR="00A17FA7">
        <w:rPr>
          <w:rFonts w:cs="Calibri"/>
        </w:rPr>
        <w:t xml:space="preserve"> 2021 </w:t>
      </w:r>
      <w:r w:rsidRPr="00321800">
        <w:rPr>
          <w:rFonts w:cs="Calibri"/>
        </w:rPr>
        <w:t xml:space="preserve">the Executive transmitted a proposed </w:t>
      </w:r>
      <w:r w:rsidR="00EF2742">
        <w:rPr>
          <w:rFonts w:cs="Calibri"/>
        </w:rPr>
        <w:t>b</w:t>
      </w:r>
      <w:r w:rsidRPr="00321800">
        <w:rPr>
          <w:rFonts w:cs="Calibri"/>
        </w:rPr>
        <w:t xml:space="preserve">allot </w:t>
      </w:r>
      <w:r w:rsidR="00EF2742">
        <w:rPr>
          <w:rFonts w:cs="Calibri"/>
        </w:rPr>
        <w:t>m</w:t>
      </w:r>
      <w:r w:rsidRPr="00321800">
        <w:rPr>
          <w:rFonts w:cs="Calibri"/>
        </w:rPr>
        <w:t xml:space="preserve">easure </w:t>
      </w:r>
      <w:r w:rsidR="00727505">
        <w:rPr>
          <w:rFonts w:cs="Calibri"/>
        </w:rPr>
        <w:t>O</w:t>
      </w:r>
      <w:r w:rsidRPr="00321800">
        <w:rPr>
          <w:rFonts w:cs="Calibri"/>
        </w:rPr>
        <w:t xml:space="preserve">rdinance </w:t>
      </w:r>
      <w:r w:rsidR="00CC3447">
        <w:rPr>
          <w:rFonts w:cs="Calibri"/>
        </w:rPr>
        <w:t xml:space="preserve">to the King County Council </w:t>
      </w:r>
      <w:r w:rsidRPr="00321800">
        <w:rPr>
          <w:rFonts w:cs="Calibri"/>
        </w:rPr>
        <w:t>to renew and replace the expiring</w:t>
      </w:r>
      <w:r w:rsidR="00737F65">
        <w:rPr>
          <w:rFonts w:cs="Calibri"/>
        </w:rPr>
        <w:t xml:space="preserve"> </w:t>
      </w:r>
      <w:r w:rsidRPr="00B635FA">
        <w:rPr>
          <w:rFonts w:cs="Calibri"/>
          <w:i/>
          <w:iCs/>
        </w:rPr>
        <w:t>Best Starts</w:t>
      </w:r>
      <w:r w:rsidRPr="00321800">
        <w:rPr>
          <w:rFonts w:cs="Calibri"/>
        </w:rPr>
        <w:t xml:space="preserve"> levy.</w:t>
      </w:r>
      <w:r w:rsidR="00F551F8">
        <w:rPr>
          <w:rStyle w:val="FootnoteReference"/>
          <w:rFonts w:cs="Calibri"/>
        </w:rPr>
        <w:footnoteReference w:id="40"/>
      </w:r>
      <w:r w:rsidR="00D0162F">
        <w:rPr>
          <w:rFonts w:cs="Calibri"/>
          <w:vertAlign w:val="superscript"/>
        </w:rPr>
        <w:t>,</w:t>
      </w:r>
      <w:r w:rsidR="00D0162F" w:rsidRPr="00D0162F">
        <w:rPr>
          <w:rStyle w:val="FootnoteReference"/>
          <w:rFonts w:cs="Calibri"/>
        </w:rPr>
        <w:t xml:space="preserve"> </w:t>
      </w:r>
      <w:r w:rsidR="00D0162F" w:rsidRPr="00D03F1F">
        <w:rPr>
          <w:rStyle w:val="FootnoteReference"/>
          <w:rFonts w:cs="Calibri"/>
        </w:rPr>
        <w:footnoteReference w:id="41"/>
      </w:r>
      <w:r w:rsidR="00D0162F" w:rsidRPr="00321800">
        <w:rPr>
          <w:rFonts w:cs="Calibri"/>
        </w:rPr>
        <w:t xml:space="preserve"> </w:t>
      </w:r>
      <w:r w:rsidR="000D05CD">
        <w:rPr>
          <w:rFonts w:cs="Calibri"/>
        </w:rPr>
        <w:t xml:space="preserve">To accompany the </w:t>
      </w:r>
      <w:r w:rsidR="00A102FF">
        <w:rPr>
          <w:rFonts w:cs="Calibri"/>
        </w:rPr>
        <w:t>O</w:t>
      </w:r>
      <w:r>
        <w:rPr>
          <w:rFonts w:cs="Calibri"/>
        </w:rPr>
        <w:t>rdinance, t</w:t>
      </w:r>
      <w:r w:rsidRPr="00321800">
        <w:rPr>
          <w:rFonts w:cs="Calibri"/>
        </w:rPr>
        <w:t>he Executive transmitted a Blue</w:t>
      </w:r>
      <w:r>
        <w:rPr>
          <w:rFonts w:cs="Calibri"/>
        </w:rPr>
        <w:t>p</w:t>
      </w:r>
      <w:r w:rsidRPr="00321800">
        <w:rPr>
          <w:rFonts w:cs="Calibri"/>
        </w:rPr>
        <w:t xml:space="preserve">rint Report summarizing the key principles </w:t>
      </w:r>
      <w:r w:rsidRPr="00321800" w:rsidDel="00737F65">
        <w:rPr>
          <w:rFonts w:cs="Calibri"/>
        </w:rPr>
        <w:t xml:space="preserve">of </w:t>
      </w:r>
      <w:r w:rsidRPr="00321800">
        <w:rPr>
          <w:rFonts w:cs="Calibri"/>
        </w:rPr>
        <w:t xml:space="preserve">the proposed </w:t>
      </w:r>
      <w:r w:rsidR="00EF2742">
        <w:rPr>
          <w:rFonts w:cs="Calibri"/>
        </w:rPr>
        <w:t>b</w:t>
      </w:r>
      <w:r w:rsidRPr="00321800">
        <w:rPr>
          <w:rFonts w:cs="Calibri"/>
        </w:rPr>
        <w:t xml:space="preserve">allot </w:t>
      </w:r>
      <w:r w:rsidR="00EF2742">
        <w:rPr>
          <w:rFonts w:cs="Calibri"/>
        </w:rPr>
        <w:t>m</w:t>
      </w:r>
      <w:r w:rsidRPr="00321800">
        <w:rPr>
          <w:rFonts w:cs="Calibri"/>
        </w:rPr>
        <w:t xml:space="preserve">easure </w:t>
      </w:r>
      <w:r w:rsidR="00727505">
        <w:rPr>
          <w:rFonts w:cs="Calibri"/>
        </w:rPr>
        <w:t>O</w:t>
      </w:r>
      <w:r w:rsidRPr="00321800">
        <w:rPr>
          <w:rFonts w:cs="Calibri"/>
        </w:rPr>
        <w:t xml:space="preserve">rdinance. </w:t>
      </w:r>
      <w:r w:rsidR="001F7A1D">
        <w:rPr>
          <w:rFonts w:cs="Calibri"/>
        </w:rPr>
        <w:t>Ordinance 19267</w:t>
      </w:r>
      <w:r w:rsidR="00727505">
        <w:rPr>
          <w:rFonts w:cs="Calibri"/>
        </w:rPr>
        <w:t xml:space="preserve"> in April 2021 authorized the placement of the measure on the ballot</w:t>
      </w:r>
      <w:r w:rsidR="001F7A1D">
        <w:rPr>
          <w:rFonts w:cs="Calibri"/>
        </w:rPr>
        <w:t>.</w:t>
      </w:r>
      <w:r w:rsidR="0026117E">
        <w:rPr>
          <w:rFonts w:cs="Calibri"/>
        </w:rPr>
        <w:t xml:space="preserve"> </w:t>
      </w:r>
      <w:r w:rsidR="0026117E">
        <w:t>King County voters approved Proposition No. 1 on August 3, 2021, authorizing the renewal of the Best Start</w:t>
      </w:r>
      <w:r w:rsidR="008714EE">
        <w:t>s</w:t>
      </w:r>
      <w:r w:rsidR="0026117E">
        <w:t xml:space="preserve"> for Kids levy, continuing for 2022 through 2027, with a first-year levy rate of $0.19 per $1,000 of a property’s assessed value.</w:t>
      </w:r>
    </w:p>
    <w:bookmarkEnd w:id="10"/>
    <w:p w14:paraId="432E9BAC" w14:textId="77777777" w:rsidR="002F7D81" w:rsidRPr="00D40E3F" w:rsidRDefault="002F7D81" w:rsidP="005F3393">
      <w:pPr>
        <w:contextualSpacing/>
      </w:pPr>
    </w:p>
    <w:p w14:paraId="56A225C0" w14:textId="30ED09E2" w:rsidR="00447789" w:rsidRDefault="002F7D81" w:rsidP="00447789">
      <w:pPr>
        <w:pStyle w:val="CommentText"/>
      </w:pPr>
      <w:bookmarkStart w:id="11" w:name="_Hlk74680645"/>
      <w:r w:rsidRPr="63F1F6BC">
        <w:lastRenderedPageBreak/>
        <w:t xml:space="preserve">The </w:t>
      </w:r>
      <w:r w:rsidR="00FB155B" w:rsidRPr="00D03F1F">
        <w:rPr>
          <w:rFonts w:cs="Calibri"/>
          <w:i/>
        </w:rPr>
        <w:t>Best Starts</w:t>
      </w:r>
      <w:r w:rsidR="000F7CBA" w:rsidRPr="00D03F1F">
        <w:rPr>
          <w:rFonts w:cs="Calibri"/>
          <w:i/>
        </w:rPr>
        <w:t xml:space="preserve"> for </w:t>
      </w:r>
      <w:r w:rsidR="000F7CBA" w:rsidRPr="00D03F1F">
        <w:rPr>
          <w:rFonts w:cs="Calibri"/>
          <w:i/>
          <w:iCs/>
        </w:rPr>
        <w:t>Kids</w:t>
      </w:r>
      <w:r w:rsidRPr="63F1F6BC">
        <w:t xml:space="preserve"> </w:t>
      </w:r>
      <w:r w:rsidR="009C0207">
        <w:t>l</w:t>
      </w:r>
      <w:r w:rsidRPr="63F1F6BC">
        <w:t xml:space="preserve">evy </w:t>
      </w:r>
      <w:r w:rsidR="00B21418">
        <w:t xml:space="preserve">and the programs and services it supports </w:t>
      </w:r>
      <w:r w:rsidR="00A235B3">
        <w:t>reflect</w:t>
      </w:r>
      <w:r w:rsidRPr="63F1F6BC">
        <w:t xml:space="preserve"> the fundamental </w:t>
      </w:r>
      <w:r w:rsidR="00447789" w:rsidRPr="63F1F6BC">
        <w:t>belie</w:t>
      </w:r>
      <w:r w:rsidR="00447789">
        <w:t>f</w:t>
      </w:r>
      <w:r w:rsidR="00447789" w:rsidDel="00230EB6">
        <w:t>s</w:t>
      </w:r>
      <w:r w:rsidRPr="63F1F6BC">
        <w:t xml:space="preserve"> that King County is a region of considerable opportunity</w:t>
      </w:r>
      <w:r w:rsidR="006828A2">
        <w:t>;</w:t>
      </w:r>
      <w:r w:rsidRPr="63F1F6BC">
        <w:t xml:space="preserve"> that all residents benefit when </w:t>
      </w:r>
      <w:r w:rsidR="00E1643F">
        <w:t xml:space="preserve">the King County community supports </w:t>
      </w:r>
      <w:r w:rsidRPr="63F1F6BC">
        <w:t>each child, youth</w:t>
      </w:r>
      <w:r w:rsidR="030901CF" w:rsidRPr="63F1F6BC">
        <w:t>,</w:t>
      </w:r>
      <w:r w:rsidRPr="63F1F6BC">
        <w:t xml:space="preserve"> and young adult</w:t>
      </w:r>
      <w:r w:rsidRPr="63F1F6BC" w:rsidDel="00E1643F">
        <w:t xml:space="preserve"> </w:t>
      </w:r>
      <w:r w:rsidRPr="63F1F6BC">
        <w:t>to achieve their fullest potential</w:t>
      </w:r>
      <w:r w:rsidR="006828A2">
        <w:t>;</w:t>
      </w:r>
      <w:r w:rsidR="00447789">
        <w:t xml:space="preserve"> and that lives</w:t>
      </w:r>
      <w:r w:rsidR="00447789" w:rsidRPr="63F1F6BC">
        <w:t xml:space="preserve"> of </w:t>
      </w:r>
      <w:r w:rsidRPr="63F1F6BC">
        <w:t>health, prosperity and purpose must be within reach for every King County resident.</w:t>
      </w:r>
    </w:p>
    <w:p w14:paraId="1A625091" w14:textId="77777777" w:rsidR="00855405" w:rsidRDefault="00855405" w:rsidP="005F3393">
      <w:pPr>
        <w:contextualSpacing/>
      </w:pPr>
    </w:p>
    <w:p w14:paraId="6E16ED00" w14:textId="6B1BDEF5" w:rsidR="002F7D81" w:rsidRDefault="002F7D81" w:rsidP="005F3393">
      <w:pPr>
        <w:contextualSpacing/>
      </w:pPr>
      <w:r w:rsidRPr="63F1F6BC">
        <w:t xml:space="preserve">Over the last </w:t>
      </w:r>
      <w:r w:rsidR="006C2497">
        <w:t>six</w:t>
      </w:r>
      <w:r w:rsidR="006C2497" w:rsidRPr="63F1F6BC">
        <w:t xml:space="preserve"> </w:t>
      </w:r>
      <w:r w:rsidRPr="63F1F6BC">
        <w:t xml:space="preserve">years, </w:t>
      </w:r>
      <w:r w:rsidR="00FB155B" w:rsidRPr="00D03F1F">
        <w:rPr>
          <w:rFonts w:cs="Calibri"/>
          <w:i/>
        </w:rPr>
        <w:t>Best Starts</w:t>
      </w:r>
      <w:r w:rsidRPr="63F1F6BC">
        <w:t xml:space="preserve"> has worked to assure that neither ZIP </w:t>
      </w:r>
      <w:r w:rsidR="0027360E">
        <w:t>C</w:t>
      </w:r>
      <w:r w:rsidRPr="63F1F6BC">
        <w:t xml:space="preserve">ode </w:t>
      </w:r>
      <w:r w:rsidR="2B25AF2E" w:rsidRPr="2DFA066B">
        <w:t>n</w:t>
      </w:r>
      <w:r w:rsidRPr="2DFA066B">
        <w:t>or</w:t>
      </w:r>
      <w:r w:rsidRPr="63F1F6BC">
        <w:t xml:space="preserve"> family income constrain people from pursuing lives of promise and possibility</w:t>
      </w:r>
      <w:r w:rsidR="00F7206D" w:rsidRPr="63F1F6BC">
        <w:t xml:space="preserve">, while </w:t>
      </w:r>
      <w:r w:rsidR="00D03F1F" w:rsidRPr="63F1F6BC">
        <w:t>advancing equity</w:t>
      </w:r>
      <w:r w:rsidR="00F7206D" w:rsidRPr="63F1F6BC">
        <w:t xml:space="preserve"> in systems and policies that affect families across King County.</w:t>
      </w:r>
      <w:r w:rsidR="00A34773">
        <w:rPr>
          <w:rStyle w:val="FootnoteReference"/>
        </w:rPr>
        <w:footnoteReference w:id="42"/>
      </w:r>
    </w:p>
    <w:p w14:paraId="7AFEC315" w14:textId="77777777" w:rsidR="000461C0" w:rsidRDefault="000461C0" w:rsidP="005F3393">
      <w:pPr>
        <w:contextualSpacing/>
      </w:pPr>
    </w:p>
    <w:p w14:paraId="0AA3DB34" w14:textId="27455531" w:rsidR="00715CF5" w:rsidRDefault="00715CF5" w:rsidP="002A718B">
      <w:r w:rsidRPr="00D03F1F">
        <w:rPr>
          <w:i/>
        </w:rPr>
        <w:t>Best Starts</w:t>
      </w:r>
      <w:r w:rsidRPr="00D03F1F">
        <w:t xml:space="preserve"> </w:t>
      </w:r>
      <w:r w:rsidR="00795EBA">
        <w:t xml:space="preserve">designed </w:t>
      </w:r>
      <w:r w:rsidRPr="00D03F1F">
        <w:t xml:space="preserve">its </w:t>
      </w:r>
      <w:r w:rsidR="00100016">
        <w:t>201</w:t>
      </w:r>
      <w:r w:rsidR="00D03E0C">
        <w:t>6</w:t>
      </w:r>
      <w:r w:rsidR="00100016">
        <w:t xml:space="preserve">-2021 </w:t>
      </w:r>
      <w:r w:rsidRPr="004A3AF6">
        <w:t>investment</w:t>
      </w:r>
      <w:r w:rsidRPr="00D03F1F">
        <w:t xml:space="preserve"> areas and strategies </w:t>
      </w:r>
      <w:r w:rsidR="008E3588">
        <w:t xml:space="preserve">through </w:t>
      </w:r>
      <w:r w:rsidR="000125CD">
        <w:t xml:space="preserve">community </w:t>
      </w:r>
      <w:r w:rsidR="00BD651E">
        <w:t>feedback</w:t>
      </w:r>
      <w:r w:rsidR="00AE67CF">
        <w:t xml:space="preserve"> </w:t>
      </w:r>
      <w:r w:rsidR="008E3588" w:rsidRPr="00D03F1F">
        <w:rPr>
          <w:rFonts w:cs="Calibri"/>
        </w:rPr>
        <w:t>and backed by research</w:t>
      </w:r>
      <w:r w:rsidR="00AE67CF">
        <w:rPr>
          <w:rFonts w:cs="Calibri"/>
        </w:rPr>
        <w:t xml:space="preserve"> on </w:t>
      </w:r>
      <w:r w:rsidR="008E3588" w:rsidRPr="00D03F1F">
        <w:rPr>
          <w:rFonts w:cs="Calibri"/>
        </w:rPr>
        <w:t xml:space="preserve">human </w:t>
      </w:r>
      <w:r w:rsidR="008E3588">
        <w:rPr>
          <w:rFonts w:cs="Calibri"/>
        </w:rPr>
        <w:t xml:space="preserve">development. </w:t>
      </w:r>
      <w:r w:rsidRPr="00D03F1F">
        <w:rPr>
          <w:i/>
        </w:rPr>
        <w:t>Best Starts</w:t>
      </w:r>
      <w:r w:rsidRPr="00D03F1F">
        <w:t xml:space="preserve"> advances each investment area through strategies and programs</w:t>
      </w:r>
      <w:r w:rsidR="00044FB0">
        <w:t xml:space="preserve"> that </w:t>
      </w:r>
      <w:r>
        <w:t xml:space="preserve">are described in section </w:t>
      </w:r>
      <w:r w:rsidR="00044FB0">
        <w:t>I</w:t>
      </w:r>
      <w:r>
        <w:t xml:space="preserve">V of </w:t>
      </w:r>
      <w:r w:rsidR="00044FB0">
        <w:t>this</w:t>
      </w:r>
      <w:r>
        <w:t xml:space="preserve"> plan</w:t>
      </w:r>
      <w:r w:rsidRPr="00D03F1F">
        <w:t xml:space="preserve">. Each investment area </w:t>
      </w:r>
      <w:r w:rsidR="00C13A1A">
        <w:t xml:space="preserve">from </w:t>
      </w:r>
      <w:r w:rsidR="00D7710D">
        <w:t>the 201</w:t>
      </w:r>
      <w:r w:rsidR="00E42A4C">
        <w:t>6</w:t>
      </w:r>
      <w:r w:rsidR="00D7710D">
        <w:t xml:space="preserve">-2021 </w:t>
      </w:r>
      <w:r w:rsidR="00D7710D" w:rsidRPr="00354EFE">
        <w:rPr>
          <w:i/>
        </w:rPr>
        <w:t>Best Starts</w:t>
      </w:r>
      <w:r w:rsidR="00D7710D">
        <w:t xml:space="preserve"> Levy </w:t>
      </w:r>
      <w:r w:rsidRPr="00D03F1F">
        <w:t>is described below</w:t>
      </w:r>
      <w:r w:rsidR="001D5CFE">
        <w:t xml:space="preserve"> in </w:t>
      </w:r>
      <w:r w:rsidR="00DD1C52">
        <w:t>T</w:t>
      </w:r>
      <w:r w:rsidR="00FF5207">
        <w:t>able</w:t>
      </w:r>
      <w:r w:rsidR="001D5CFE">
        <w:t xml:space="preserve"> </w:t>
      </w:r>
      <w:r w:rsidR="000C3AD3">
        <w:t>5</w:t>
      </w:r>
      <w:r w:rsidRPr="00D03F1F">
        <w:t>.</w:t>
      </w:r>
      <w:r w:rsidRPr="00D03F1F">
        <w:rPr>
          <w:rStyle w:val="FootnoteReference"/>
          <w:rFonts w:eastAsiaTheme="majorEastAsia" w:cs="Calibri"/>
        </w:rPr>
        <w:footnoteReference w:id="43"/>
      </w:r>
      <w:r w:rsidR="00B01466">
        <w:t xml:space="preserve"> </w:t>
      </w:r>
      <w:r w:rsidR="00B01466" w:rsidRPr="00512B6B" w:rsidDel="00BD2078">
        <w:rPr>
          <w:rFonts w:cs="Calibri"/>
          <w:color w:val="000000"/>
          <w:shd w:val="clear" w:color="auto" w:fill="FFFFFF"/>
        </w:rPr>
        <w:t xml:space="preserve">These investments areas </w:t>
      </w:r>
      <w:r w:rsidR="00B01466" w:rsidDel="00BD2078">
        <w:rPr>
          <w:rFonts w:cs="Calibri"/>
          <w:color w:val="000000"/>
          <w:shd w:val="clear" w:color="auto" w:fill="FFFFFF"/>
        </w:rPr>
        <w:t xml:space="preserve">set the foundation for </w:t>
      </w:r>
      <w:r w:rsidR="00B01466" w:rsidRPr="00512B6B" w:rsidDel="00BD2078">
        <w:rPr>
          <w:rFonts w:cs="Calibri"/>
          <w:i/>
          <w:iCs/>
          <w:color w:val="000000"/>
          <w:shd w:val="clear" w:color="auto" w:fill="FFFFFF"/>
        </w:rPr>
        <w:t>Best Starts</w:t>
      </w:r>
      <w:r w:rsidR="009B5A9D">
        <w:rPr>
          <w:rFonts w:cs="Calibri"/>
          <w:i/>
          <w:iCs/>
          <w:color w:val="000000"/>
          <w:shd w:val="clear" w:color="auto" w:fill="FFFFFF"/>
        </w:rPr>
        <w:t xml:space="preserve"> </w:t>
      </w:r>
      <w:r w:rsidR="00B01466" w:rsidDel="00BD2078">
        <w:rPr>
          <w:rFonts w:cs="Calibri"/>
          <w:color w:val="000000"/>
          <w:shd w:val="clear" w:color="auto" w:fill="FFFFFF"/>
        </w:rPr>
        <w:t>and will remain foundational</w:t>
      </w:r>
      <w:r w:rsidR="00B01466">
        <w:rPr>
          <w:rFonts w:cs="Calibri"/>
          <w:color w:val="000000"/>
          <w:shd w:val="clear" w:color="auto" w:fill="FFFFFF"/>
        </w:rPr>
        <w:t xml:space="preserve"> </w:t>
      </w:r>
      <w:r w:rsidR="0039008D">
        <w:rPr>
          <w:rFonts w:cs="Calibri"/>
          <w:color w:val="000000"/>
          <w:shd w:val="clear" w:color="auto" w:fill="FFFFFF"/>
        </w:rPr>
        <w:t>for 2022-2027</w:t>
      </w:r>
      <w:r w:rsidR="00B01466" w:rsidDel="00BD2078">
        <w:rPr>
          <w:rFonts w:cs="Calibri"/>
          <w:color w:val="000000"/>
          <w:shd w:val="clear" w:color="auto" w:fill="FFFFFF"/>
        </w:rPr>
        <w:t>.</w:t>
      </w:r>
      <w:bookmarkEnd w:id="11"/>
    </w:p>
    <w:p w14:paraId="3A8D21CD" w14:textId="77777777" w:rsidR="004B7C6F" w:rsidRDefault="004B7C6F" w:rsidP="000C3AD3">
      <w:pPr>
        <w:pStyle w:val="Caption"/>
        <w:keepNext/>
      </w:pPr>
    </w:p>
    <w:p w14:paraId="0E3D96CD" w14:textId="3FA4C776" w:rsidR="000C3AD3" w:rsidRDefault="000C3AD3" w:rsidP="000C3AD3">
      <w:pPr>
        <w:pStyle w:val="Caption"/>
        <w:keepNext/>
      </w:pPr>
      <w:r>
        <w:t xml:space="preserve">Table </w:t>
      </w:r>
      <w:fldSimple w:instr=" SEQ Table \* ARABIC ">
        <w:r w:rsidR="00B8538C">
          <w:rPr>
            <w:noProof/>
          </w:rPr>
          <w:t>5</w:t>
        </w:r>
      </w:fldSimple>
      <w:r>
        <w:t xml:space="preserve">: </w:t>
      </w:r>
      <w:r w:rsidRPr="008750E5">
        <w:t>Investment Descriptions</w:t>
      </w:r>
    </w:p>
    <w:tbl>
      <w:tblPr>
        <w:tblStyle w:val="GridTable4-Accent5"/>
        <w:tblW w:w="0" w:type="auto"/>
        <w:tblBorders>
          <w:top w:val="single" w:sz="18" w:space="0" w:color="FFC000"/>
          <w:left w:val="single" w:sz="18" w:space="0" w:color="FFC000"/>
          <w:bottom w:val="single" w:sz="18" w:space="0" w:color="FFC000"/>
          <w:right w:val="single" w:sz="18" w:space="0" w:color="FFC000"/>
          <w:insideH w:val="none" w:sz="0" w:space="0" w:color="auto"/>
          <w:insideV w:val="none" w:sz="0" w:space="0" w:color="auto"/>
        </w:tblBorders>
        <w:tblLook w:val="04A0" w:firstRow="1" w:lastRow="0" w:firstColumn="1" w:lastColumn="0" w:noHBand="0" w:noVBand="1"/>
      </w:tblPr>
      <w:tblGrid>
        <w:gridCol w:w="2619"/>
        <w:gridCol w:w="6695"/>
      </w:tblGrid>
      <w:tr w:rsidR="00A03205" w14:paraId="298F2869" w14:textId="77777777" w:rsidTr="000C3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Borders>
              <w:top w:val="none" w:sz="0" w:space="0" w:color="auto"/>
              <w:left w:val="none" w:sz="0" w:space="0" w:color="auto"/>
              <w:bottom w:val="none" w:sz="0" w:space="0" w:color="auto"/>
              <w:right w:val="none" w:sz="0" w:space="0" w:color="auto"/>
            </w:tcBorders>
            <w:vAlign w:val="center"/>
          </w:tcPr>
          <w:p w14:paraId="4B1D01E7" w14:textId="77777777" w:rsidR="00715CF5" w:rsidRPr="002C22A3" w:rsidRDefault="00715CF5" w:rsidP="0079126D">
            <w:pPr>
              <w:pStyle w:val="NoSpacing"/>
              <w:contextualSpacing/>
              <w:rPr>
                <w:rFonts w:ascii="Calibri" w:eastAsiaTheme="majorEastAsia" w:hAnsi="Calibri" w:cs="Calibri"/>
                <w:color w:val="auto"/>
                <w:sz w:val="24"/>
                <w:szCs w:val="24"/>
              </w:rPr>
            </w:pPr>
            <w:r w:rsidRPr="002C22A3">
              <w:rPr>
                <w:rFonts w:ascii="Calibri" w:eastAsiaTheme="majorEastAsia" w:hAnsi="Calibri" w:cs="Calibri"/>
                <w:color w:val="auto"/>
                <w:sz w:val="24"/>
                <w:szCs w:val="24"/>
              </w:rPr>
              <w:t>Investment Strategy</w:t>
            </w:r>
          </w:p>
        </w:tc>
        <w:tc>
          <w:tcPr>
            <w:tcW w:w="6695" w:type="dxa"/>
            <w:tcBorders>
              <w:top w:val="none" w:sz="0" w:space="0" w:color="auto"/>
              <w:left w:val="none" w:sz="0" w:space="0" w:color="auto"/>
              <w:bottom w:val="none" w:sz="0" w:space="0" w:color="auto"/>
              <w:right w:val="none" w:sz="0" w:space="0" w:color="auto"/>
            </w:tcBorders>
            <w:vAlign w:val="center"/>
          </w:tcPr>
          <w:p w14:paraId="32DED49C" w14:textId="77777777" w:rsidR="00715CF5" w:rsidRPr="002C22A3" w:rsidRDefault="00715CF5" w:rsidP="00517D97">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color w:val="auto"/>
                <w:sz w:val="24"/>
                <w:szCs w:val="24"/>
              </w:rPr>
            </w:pPr>
            <w:r w:rsidRPr="002C22A3">
              <w:rPr>
                <w:rFonts w:ascii="Calibri" w:eastAsiaTheme="majorEastAsia" w:hAnsi="Calibri" w:cs="Calibri"/>
                <w:color w:val="auto"/>
                <w:sz w:val="24"/>
                <w:szCs w:val="24"/>
              </w:rPr>
              <w:t>Description</w:t>
            </w:r>
          </w:p>
        </w:tc>
      </w:tr>
      <w:tr w:rsidR="005747D9" w14:paraId="6BD8607D" w14:textId="77777777" w:rsidTr="000C3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740DFF69" w14:textId="63D16186"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Invest</w:t>
            </w:r>
            <w:r w:rsidR="0060595C">
              <w:rPr>
                <w:rFonts w:ascii="Calibri" w:eastAsiaTheme="majorEastAsia" w:hAnsi="Calibri" w:cs="Calibri"/>
              </w:rPr>
              <w:t>ing</w:t>
            </w:r>
            <w:r w:rsidRPr="00D03F1F">
              <w:rPr>
                <w:rFonts w:ascii="Calibri" w:eastAsiaTheme="majorEastAsia" w:hAnsi="Calibri" w:cs="Calibri"/>
              </w:rPr>
              <w:t xml:space="preserve"> Early</w:t>
            </w:r>
            <w:r w:rsidRPr="00D03F1F">
              <w:rPr>
                <w:rStyle w:val="FootnoteReference"/>
                <w:rFonts w:ascii="Calibri" w:eastAsia="Calibri Light" w:hAnsi="Calibri" w:cs="Calibri"/>
                <w:b w:val="0"/>
                <w:bCs w:val="0"/>
              </w:rPr>
              <w:footnoteReference w:id="44"/>
            </w:r>
          </w:p>
        </w:tc>
        <w:tc>
          <w:tcPr>
            <w:tcW w:w="6695" w:type="dxa"/>
          </w:tcPr>
          <w:p w14:paraId="580C52FC" w14:textId="4F5CD1EA" w:rsidR="00715CF5" w:rsidRPr="00D03F1F" w:rsidRDefault="00715CF5" w:rsidP="00517D97">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Support pregnant individuals</w:t>
            </w:r>
            <w:r w:rsidR="00A715CB">
              <w:rPr>
                <w:rFonts w:ascii="Calibri" w:eastAsiaTheme="majorEastAsia" w:hAnsi="Calibri" w:cs="Calibri"/>
              </w:rPr>
              <w:t>,</w:t>
            </w:r>
            <w:r w:rsidR="00A715CB" w:rsidRPr="00D03F1F">
              <w:rPr>
                <w:rFonts w:ascii="Calibri" w:eastAsiaTheme="majorEastAsia" w:hAnsi="Calibri" w:cs="Calibri"/>
              </w:rPr>
              <w:t xml:space="preserve"> </w:t>
            </w:r>
            <w:r w:rsidRPr="00D03F1F">
              <w:rPr>
                <w:rFonts w:ascii="Calibri" w:eastAsiaTheme="majorEastAsia" w:hAnsi="Calibri" w:cs="Calibri"/>
              </w:rPr>
              <w:t>babies</w:t>
            </w:r>
            <w:r w:rsidR="00A715CB">
              <w:rPr>
                <w:rFonts w:ascii="Calibri" w:eastAsiaTheme="majorEastAsia" w:hAnsi="Calibri" w:cs="Calibri"/>
              </w:rPr>
              <w:t>,</w:t>
            </w:r>
            <w:r w:rsidR="00A715CB" w:rsidRPr="00D03F1F">
              <w:rPr>
                <w:rFonts w:ascii="Calibri" w:eastAsiaTheme="majorEastAsia" w:hAnsi="Calibri" w:cs="Calibri"/>
              </w:rPr>
              <w:t xml:space="preserve"> </w:t>
            </w:r>
            <w:r w:rsidR="00054004">
              <w:rPr>
                <w:rFonts w:ascii="Calibri" w:eastAsiaTheme="majorEastAsia" w:hAnsi="Calibri" w:cs="Calibri"/>
              </w:rPr>
              <w:t xml:space="preserve">and </w:t>
            </w:r>
            <w:r w:rsidRPr="00D03F1F">
              <w:rPr>
                <w:rFonts w:ascii="Calibri" w:eastAsiaTheme="majorEastAsia" w:hAnsi="Calibri" w:cs="Calibri"/>
              </w:rPr>
              <w:t>very young children during their critical developmental years</w:t>
            </w:r>
            <w:r w:rsidR="00A715CB">
              <w:rPr>
                <w:rFonts w:ascii="Calibri" w:eastAsiaTheme="majorEastAsia" w:hAnsi="Calibri" w:cs="Calibri"/>
              </w:rPr>
              <w:t>,</w:t>
            </w:r>
            <w:r w:rsidR="00A715CB" w:rsidRPr="00D03F1F">
              <w:rPr>
                <w:rFonts w:ascii="Calibri" w:eastAsiaTheme="majorEastAsia" w:hAnsi="Calibri" w:cs="Calibri"/>
              </w:rPr>
              <w:t xml:space="preserve"> </w:t>
            </w:r>
            <w:r w:rsidRPr="00D03F1F">
              <w:rPr>
                <w:rFonts w:ascii="Calibri" w:eastAsiaTheme="majorEastAsia" w:hAnsi="Calibri" w:cs="Calibri"/>
              </w:rPr>
              <w:t>and their parents with a robust system of support services and resources that meet families where they are: home, community, and in child care</w:t>
            </w:r>
          </w:p>
        </w:tc>
      </w:tr>
      <w:tr w:rsidR="00715CF5" w14:paraId="2D5E859F" w14:textId="77777777" w:rsidTr="000C3AD3">
        <w:tc>
          <w:tcPr>
            <w:cnfStyle w:val="001000000000" w:firstRow="0" w:lastRow="0" w:firstColumn="1" w:lastColumn="0" w:oddVBand="0" w:evenVBand="0" w:oddHBand="0" w:evenHBand="0" w:firstRowFirstColumn="0" w:firstRowLastColumn="0" w:lastRowFirstColumn="0" w:lastRowLastColumn="0"/>
            <w:tcW w:w="2619" w:type="dxa"/>
          </w:tcPr>
          <w:p w14:paraId="66FA9E88" w14:textId="27C1709D"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Sustain the Gain</w:t>
            </w:r>
            <w:r w:rsidRPr="00D03F1F">
              <w:rPr>
                <w:rStyle w:val="FootnoteReference"/>
                <w:rFonts w:ascii="Calibri" w:eastAsia="Calibri Light" w:hAnsi="Calibri" w:cs="Calibri"/>
                <w:b w:val="0"/>
                <w:bCs w:val="0"/>
              </w:rPr>
              <w:footnoteReference w:id="45"/>
            </w:r>
          </w:p>
        </w:tc>
        <w:tc>
          <w:tcPr>
            <w:tcW w:w="6695" w:type="dxa"/>
          </w:tcPr>
          <w:p w14:paraId="37A0C2D0" w14:textId="69D3F75C" w:rsidR="00715CF5" w:rsidRPr="00D03F1F" w:rsidRDefault="00715CF5" w:rsidP="00517D97">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Continue progress made with school- and community-based opportunities for children to learn, grow, and develop through childhood, adolescence, and into adulthood</w:t>
            </w:r>
          </w:p>
        </w:tc>
      </w:tr>
      <w:tr w:rsidR="005747D9" w14:paraId="1E42966B" w14:textId="77777777" w:rsidTr="000C3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1E38F95C" w14:textId="77777777"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Communities of Opportunity</w:t>
            </w:r>
          </w:p>
        </w:tc>
        <w:tc>
          <w:tcPr>
            <w:tcW w:w="6695" w:type="dxa"/>
          </w:tcPr>
          <w:p w14:paraId="74313170" w14:textId="496D891B" w:rsidR="00715CF5" w:rsidRPr="00D03F1F" w:rsidRDefault="0059174D" w:rsidP="00517D97">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59174D">
              <w:rPr>
                <w:rFonts w:ascii="Calibri" w:hAnsi="Calibri" w:cs="Calibri"/>
                <w:color w:val="000000"/>
                <w:shd w:val="clear" w:color="auto" w:fill="DEEAF6"/>
              </w:rPr>
              <w:t>Support communities to create equitable conditions so that children and families can thrive</w:t>
            </w:r>
          </w:p>
        </w:tc>
      </w:tr>
      <w:tr w:rsidR="00715CF5" w14:paraId="21234E68" w14:textId="77777777" w:rsidTr="000C3AD3">
        <w:tc>
          <w:tcPr>
            <w:cnfStyle w:val="001000000000" w:firstRow="0" w:lastRow="0" w:firstColumn="1" w:lastColumn="0" w:oddVBand="0" w:evenVBand="0" w:oddHBand="0" w:evenHBand="0" w:firstRowFirstColumn="0" w:firstRowLastColumn="0" w:lastRowFirstColumn="0" w:lastRowLastColumn="0"/>
            <w:tcW w:w="2619" w:type="dxa"/>
          </w:tcPr>
          <w:p w14:paraId="7B913CBE" w14:textId="6951430E" w:rsidR="00715CF5" w:rsidRPr="00D03F1F" w:rsidRDefault="00B26309" w:rsidP="00517D97">
            <w:pPr>
              <w:pStyle w:val="NoSpacing"/>
              <w:contextualSpacing/>
              <w:rPr>
                <w:rFonts w:ascii="Calibri" w:eastAsiaTheme="majorEastAsia" w:hAnsi="Calibri" w:cs="Calibri"/>
                <w:b w:val="0"/>
                <w:bCs w:val="0"/>
              </w:rPr>
            </w:pPr>
            <w:r>
              <w:rPr>
                <w:rFonts w:ascii="Calibri" w:eastAsiaTheme="majorEastAsia" w:hAnsi="Calibri" w:cs="Calibri"/>
              </w:rPr>
              <w:t xml:space="preserve">Data and </w:t>
            </w:r>
            <w:r w:rsidR="00843160">
              <w:rPr>
                <w:rFonts w:ascii="Calibri" w:eastAsiaTheme="majorEastAsia" w:hAnsi="Calibri" w:cs="Calibri"/>
              </w:rPr>
              <w:t>Evaluation</w:t>
            </w:r>
          </w:p>
        </w:tc>
        <w:tc>
          <w:tcPr>
            <w:tcW w:w="6695" w:type="dxa"/>
          </w:tcPr>
          <w:p w14:paraId="0DD435DE" w14:textId="4D2B23AE" w:rsidR="00715CF5" w:rsidRPr="00D03F1F" w:rsidRDefault="00715CF5" w:rsidP="00517D97">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Use data and evaluation to </w:t>
            </w:r>
            <w:r w:rsidR="00892700">
              <w:rPr>
                <w:rFonts w:ascii="Calibri" w:eastAsiaTheme="majorEastAsia" w:hAnsi="Calibri" w:cs="Calibri"/>
              </w:rPr>
              <w:t>understand</w:t>
            </w:r>
            <w:r w:rsidR="00892700" w:rsidRPr="00D03F1F">
              <w:rPr>
                <w:rFonts w:ascii="Calibri" w:eastAsiaTheme="majorEastAsia" w:hAnsi="Calibri" w:cs="Calibri"/>
              </w:rPr>
              <w:t xml:space="preserve"> </w:t>
            </w:r>
            <w:r w:rsidRPr="00D03F1F">
              <w:rPr>
                <w:rFonts w:ascii="Calibri" w:eastAsiaTheme="majorEastAsia" w:hAnsi="Calibri" w:cs="Calibri"/>
              </w:rPr>
              <w:t>how strategies are benefiting children and communities</w:t>
            </w:r>
          </w:p>
        </w:tc>
      </w:tr>
      <w:tr w:rsidR="005747D9" w14:paraId="3E8752D0" w14:textId="77777777" w:rsidTr="000C3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6283AD91" w14:textId="77777777"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Youth and Family Homelessness Initiative</w:t>
            </w:r>
            <w:r w:rsidRPr="00B04635">
              <w:rPr>
                <w:rStyle w:val="FootnoteReference"/>
                <w:rFonts w:ascii="Calibri" w:eastAsiaTheme="majorEastAsia" w:hAnsi="Calibri" w:cs="Calibri"/>
                <w:b w:val="0"/>
                <w:bCs w:val="0"/>
              </w:rPr>
              <w:footnoteReference w:id="46"/>
            </w:r>
          </w:p>
        </w:tc>
        <w:tc>
          <w:tcPr>
            <w:tcW w:w="6695" w:type="dxa"/>
          </w:tcPr>
          <w:p w14:paraId="70A67FF2" w14:textId="03C570B2" w:rsidR="00715CF5" w:rsidRPr="00D03F1F" w:rsidRDefault="00715CF5" w:rsidP="00517D97">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Prevent young people and their families from losing housing</w:t>
            </w:r>
          </w:p>
        </w:tc>
      </w:tr>
    </w:tbl>
    <w:p w14:paraId="20CD4D75" w14:textId="27D2C213" w:rsidR="008210F3" w:rsidRPr="008210F3" w:rsidRDefault="008210F3" w:rsidP="008210F3">
      <w:pPr>
        <w:spacing w:line="240" w:lineRule="auto"/>
        <w:textAlignment w:val="baseline"/>
        <w:rPr>
          <w:rFonts w:ascii="Segoe UI" w:eastAsia="Times New Roman" w:hAnsi="Segoe UI" w:cs="Segoe UI"/>
          <w:sz w:val="18"/>
          <w:szCs w:val="18"/>
        </w:rPr>
      </w:pPr>
    </w:p>
    <w:p w14:paraId="3407BE6A" w14:textId="390735C8" w:rsidR="00E568E5" w:rsidRDefault="003F3CFE" w:rsidP="003420B4">
      <w:pPr>
        <w:textAlignment w:val="baseline"/>
        <w:rPr>
          <w:rFonts w:eastAsia="Times New Roman" w:cs="Calibri"/>
        </w:rPr>
      </w:pPr>
      <w:r w:rsidRPr="00F26100">
        <w:rPr>
          <w:rFonts w:cs="Calibri"/>
          <w:i/>
          <w:iCs/>
          <w:color w:val="000000"/>
          <w:shd w:val="clear" w:color="auto" w:fill="FFFFFF"/>
        </w:rPr>
        <w:t>Best Starts</w:t>
      </w:r>
      <w:r>
        <w:rPr>
          <w:rFonts w:cs="Calibri"/>
          <w:color w:val="000000"/>
          <w:shd w:val="clear" w:color="auto" w:fill="FFFFFF"/>
        </w:rPr>
        <w:t xml:space="preserve"> is driven by the foundational value that </w:t>
      </w:r>
      <w:r w:rsidRPr="00A80409" w:rsidDel="006F0953">
        <w:t>center</w:t>
      </w:r>
      <w:r w:rsidDel="006F0953">
        <w:t>ing</w:t>
      </w:r>
      <w:r w:rsidRPr="00A80409" w:rsidDel="006F0953">
        <w:t xml:space="preserve"> </w:t>
      </w:r>
      <w:r w:rsidRPr="00A80409">
        <w:t>the voices and lived experiences of communities across the region most impacted by systemic racism</w:t>
      </w:r>
      <w:r w:rsidDel="006F0953">
        <w:t xml:space="preserve"> is </w:t>
      </w:r>
      <w:r w:rsidR="005B341E" w:rsidDel="006F0953">
        <w:t>critical</w:t>
      </w:r>
      <w:r w:rsidR="00081616">
        <w:t>.</w:t>
      </w:r>
      <w:r w:rsidR="000A2177">
        <w:t xml:space="preserve"> </w:t>
      </w:r>
      <w:r w:rsidR="005B341E">
        <w:t>The</w:t>
      </w:r>
      <w:r w:rsidR="009F3151">
        <w:t xml:space="preserve"> </w:t>
      </w:r>
      <w:r w:rsidR="009F3151" w:rsidRPr="009F3151">
        <w:rPr>
          <w:rFonts w:cs="Calibri"/>
          <w:color w:val="000000"/>
          <w:shd w:val="clear" w:color="auto" w:fill="FFFFFF"/>
        </w:rPr>
        <w:t>C</w:t>
      </w:r>
      <w:r w:rsidR="00394C03">
        <w:rPr>
          <w:rFonts w:cs="Calibri"/>
          <w:color w:val="000000"/>
          <w:shd w:val="clear" w:color="auto" w:fill="FFFFFF"/>
        </w:rPr>
        <w:t>hildren and Youth Advisory Board (CYAB)</w:t>
      </w:r>
      <w:r w:rsidR="009F3151" w:rsidRPr="009F3151">
        <w:rPr>
          <w:rFonts w:cs="Calibri"/>
          <w:color w:val="000000"/>
          <w:shd w:val="clear" w:color="auto" w:fill="FFFFFF"/>
        </w:rPr>
        <w:t xml:space="preserve"> </w:t>
      </w:r>
      <w:r w:rsidR="00A53574">
        <w:rPr>
          <w:rFonts w:cs="Calibri"/>
          <w:color w:val="000000"/>
          <w:shd w:val="clear" w:color="auto" w:fill="FFFFFF"/>
        </w:rPr>
        <w:t xml:space="preserve">that provides </w:t>
      </w:r>
      <w:r w:rsidR="00870159">
        <w:rPr>
          <w:rFonts w:cs="Calibri"/>
          <w:color w:val="000000"/>
          <w:shd w:val="clear" w:color="auto" w:fill="FFFFFF"/>
        </w:rPr>
        <w:t xml:space="preserve">governance for </w:t>
      </w:r>
      <w:r w:rsidR="00870159" w:rsidRPr="00870159">
        <w:rPr>
          <w:rFonts w:cs="Calibri"/>
          <w:i/>
          <w:iCs/>
          <w:color w:val="000000"/>
          <w:shd w:val="clear" w:color="auto" w:fill="FFFFFF"/>
        </w:rPr>
        <w:t>Best Starts</w:t>
      </w:r>
      <w:r w:rsidR="00870159">
        <w:rPr>
          <w:rFonts w:cs="Calibri"/>
          <w:color w:val="000000"/>
          <w:shd w:val="clear" w:color="auto" w:fill="FFFFFF"/>
        </w:rPr>
        <w:t xml:space="preserve"> </w:t>
      </w:r>
      <w:r w:rsidR="009F3151" w:rsidRPr="009F3151">
        <w:rPr>
          <w:rFonts w:cs="Calibri"/>
          <w:color w:val="000000"/>
          <w:shd w:val="clear" w:color="auto" w:fill="FFFFFF"/>
        </w:rPr>
        <w:t xml:space="preserve">represents an array of King County </w:t>
      </w:r>
      <w:r w:rsidR="009F3151" w:rsidRPr="009F3151">
        <w:rPr>
          <w:rFonts w:cs="Calibri"/>
          <w:color w:val="000000"/>
          <w:shd w:val="clear" w:color="auto" w:fill="FFFFFF"/>
        </w:rPr>
        <w:lastRenderedPageBreak/>
        <w:t>residents with geographically and culturally diverse perspectives.</w:t>
      </w:r>
      <w:r w:rsidR="009F3151" w:rsidRPr="00F46761">
        <w:rPr>
          <w:rStyle w:val="FootnoteReference"/>
          <w:rFonts w:cs="Calibri"/>
          <w:color w:val="000000"/>
          <w:shd w:val="clear" w:color="auto" w:fill="FFFFFF"/>
        </w:rPr>
        <w:t xml:space="preserve"> </w:t>
      </w:r>
      <w:r w:rsidR="00F46761">
        <w:rPr>
          <w:rStyle w:val="FootnoteReference"/>
          <w:rFonts w:cs="Calibri"/>
          <w:color w:val="000000"/>
          <w:shd w:val="clear" w:color="auto" w:fill="FFFFFF"/>
        </w:rPr>
        <w:footnoteReference w:id="47"/>
      </w:r>
      <w:r w:rsidR="00F46761">
        <w:rPr>
          <w:rFonts w:cs="Calibri"/>
          <w:color w:val="000000"/>
          <w:shd w:val="clear" w:color="auto" w:fill="FFFFFF"/>
        </w:rPr>
        <w:t xml:space="preserve"> </w:t>
      </w:r>
      <w:r w:rsidR="00B04F57">
        <w:rPr>
          <w:rFonts w:cs="Calibri"/>
          <w:color w:val="000000"/>
          <w:shd w:val="clear" w:color="auto" w:fill="FFFFFF"/>
        </w:rPr>
        <w:t xml:space="preserve">In 2016 the CYAB created </w:t>
      </w:r>
      <w:r w:rsidR="00482B7B">
        <w:rPr>
          <w:rFonts w:cs="Calibri"/>
          <w:color w:val="000000"/>
          <w:shd w:val="clear" w:color="auto" w:fill="FFFFFF"/>
        </w:rPr>
        <w:t xml:space="preserve">an equity statement </w:t>
      </w:r>
      <w:r w:rsidR="00C63DAF">
        <w:rPr>
          <w:rFonts w:cs="Calibri"/>
          <w:color w:val="000000"/>
          <w:shd w:val="clear" w:color="auto" w:fill="FFFFFF"/>
        </w:rPr>
        <w:t xml:space="preserve">and later a set of equity </w:t>
      </w:r>
      <w:r w:rsidR="001D5CFE">
        <w:rPr>
          <w:rFonts w:cs="Calibri"/>
          <w:color w:val="000000"/>
          <w:shd w:val="clear" w:color="auto" w:fill="FFFFFF"/>
        </w:rPr>
        <w:t xml:space="preserve">statement questions that </w:t>
      </w:r>
      <w:r w:rsidR="00E568E5" w:rsidRPr="00E568E5">
        <w:rPr>
          <w:rFonts w:eastAsia="Times New Roman" w:cs="Calibri"/>
        </w:rPr>
        <w:t>hold </w:t>
      </w:r>
      <w:r w:rsidR="00E568E5" w:rsidRPr="00E568E5">
        <w:rPr>
          <w:rFonts w:eastAsia="Times New Roman" w:cs="Calibri"/>
          <w:i/>
          <w:iCs/>
        </w:rPr>
        <w:t>Best Starts</w:t>
      </w:r>
      <w:r w:rsidR="00E568E5" w:rsidRPr="00E568E5">
        <w:rPr>
          <w:rFonts w:eastAsia="Times New Roman" w:cs="Calibri"/>
        </w:rPr>
        <w:t> accountable</w:t>
      </w:r>
      <w:r w:rsidR="00B50D1D">
        <w:rPr>
          <w:rFonts w:eastAsia="Times New Roman" w:cs="Calibri"/>
        </w:rPr>
        <w:t xml:space="preserve"> a</w:t>
      </w:r>
      <w:r w:rsidR="001D5CFE">
        <w:rPr>
          <w:rFonts w:eastAsia="Times New Roman" w:cs="Calibri"/>
        </w:rPr>
        <w:t xml:space="preserve">nd shape </w:t>
      </w:r>
      <w:r w:rsidR="00B01466">
        <w:rPr>
          <w:rFonts w:eastAsia="Times New Roman" w:cs="Calibri"/>
        </w:rPr>
        <w:t>its</w:t>
      </w:r>
      <w:r w:rsidR="00B01466" w:rsidDel="00010735">
        <w:rPr>
          <w:rFonts w:eastAsia="Times New Roman" w:cs="Calibri"/>
        </w:rPr>
        <w:t xml:space="preserve"> </w:t>
      </w:r>
      <w:r w:rsidR="001D5CFE">
        <w:rPr>
          <w:rFonts w:eastAsia="Times New Roman" w:cs="Calibri"/>
        </w:rPr>
        <w:t>work</w:t>
      </w:r>
      <w:r w:rsidR="00D959A5">
        <w:rPr>
          <w:rFonts w:eastAsia="Times New Roman" w:cs="Calibri"/>
        </w:rPr>
        <w:t>.</w:t>
      </w:r>
      <w:r w:rsidR="003F07E6">
        <w:rPr>
          <w:rFonts w:eastAsia="Times New Roman" w:cs="Calibri"/>
        </w:rPr>
        <w:t xml:space="preserve"> </w:t>
      </w:r>
      <w:r w:rsidR="009052E3">
        <w:rPr>
          <w:rFonts w:eastAsia="Times New Roman" w:cs="Calibri"/>
        </w:rPr>
        <w:t>Both are outlined</w:t>
      </w:r>
      <w:r w:rsidR="003F07E6">
        <w:rPr>
          <w:rFonts w:eastAsia="Times New Roman" w:cs="Calibri"/>
        </w:rPr>
        <w:t xml:space="preserve"> in </w:t>
      </w:r>
      <w:r w:rsidR="00A943B8">
        <w:rPr>
          <w:rFonts w:eastAsia="Times New Roman" w:cs="Calibri"/>
        </w:rPr>
        <w:t>T</w:t>
      </w:r>
      <w:r w:rsidR="0077206F">
        <w:rPr>
          <w:rFonts w:eastAsia="Times New Roman" w:cs="Calibri"/>
        </w:rPr>
        <w:t>able</w:t>
      </w:r>
      <w:r w:rsidR="00CC3447">
        <w:rPr>
          <w:rFonts w:eastAsia="Times New Roman" w:cs="Calibri"/>
        </w:rPr>
        <w:t xml:space="preserve"> </w:t>
      </w:r>
      <w:r w:rsidR="004B7C6F">
        <w:rPr>
          <w:rFonts w:eastAsia="Times New Roman" w:cs="Calibri"/>
        </w:rPr>
        <w:t>6</w:t>
      </w:r>
      <w:r w:rsidR="001D5CFE">
        <w:rPr>
          <w:rFonts w:eastAsia="Times New Roman" w:cs="Calibri"/>
        </w:rPr>
        <w:t xml:space="preserve"> below</w:t>
      </w:r>
      <w:r w:rsidR="00870159">
        <w:rPr>
          <w:rFonts w:eastAsia="Times New Roman" w:cs="Calibri"/>
        </w:rPr>
        <w:t>.</w:t>
      </w:r>
    </w:p>
    <w:p w14:paraId="71B3EA1B" w14:textId="0C4618D2" w:rsidR="009A0515" w:rsidRDefault="009A0515" w:rsidP="003420B4">
      <w:pPr>
        <w:pStyle w:val="Caption"/>
        <w:keepNext/>
        <w:spacing w:line="259" w:lineRule="auto"/>
      </w:pPr>
    </w:p>
    <w:p w14:paraId="5770FAF6" w14:textId="32C698CA" w:rsidR="004B7C6F" w:rsidRDefault="004B7C6F" w:rsidP="004B7C6F">
      <w:pPr>
        <w:pStyle w:val="Caption"/>
        <w:keepNext/>
      </w:pPr>
      <w:r>
        <w:t xml:space="preserve">Table </w:t>
      </w:r>
      <w:fldSimple w:instr=" SEQ Table \* ARABIC ">
        <w:r w:rsidR="00B8538C">
          <w:rPr>
            <w:noProof/>
          </w:rPr>
          <w:t>6</w:t>
        </w:r>
      </w:fldSimple>
      <w:r>
        <w:t xml:space="preserve">: </w:t>
      </w:r>
      <w:r w:rsidRPr="00C522FC">
        <w:t>CYAB Equity Statement</w:t>
      </w:r>
    </w:p>
    <w:tbl>
      <w:tblPr>
        <w:tblStyle w:val="TableGrid"/>
        <w:tblW w:w="0" w:type="auto"/>
        <w:tblLook w:val="04A0" w:firstRow="1" w:lastRow="0" w:firstColumn="1" w:lastColumn="0" w:noHBand="0" w:noVBand="1"/>
      </w:tblPr>
      <w:tblGrid>
        <w:gridCol w:w="4310"/>
        <w:gridCol w:w="4315"/>
      </w:tblGrid>
      <w:tr w:rsidR="00AE515D" w14:paraId="34AD5775" w14:textId="77777777" w:rsidTr="009A0515">
        <w:tc>
          <w:tcPr>
            <w:tcW w:w="4310" w:type="dxa"/>
            <w:shd w:val="clear" w:color="auto" w:fill="B4C6E7" w:themeFill="accent1" w:themeFillTint="66"/>
          </w:tcPr>
          <w:p w14:paraId="3F145A77" w14:textId="77777777" w:rsidR="00AE515D" w:rsidRDefault="00AE515D" w:rsidP="00EA1D68">
            <w:pPr>
              <w:jc w:val="center"/>
            </w:pPr>
            <w:r>
              <w:t>CYAB Equity Statement</w:t>
            </w:r>
          </w:p>
        </w:tc>
        <w:tc>
          <w:tcPr>
            <w:tcW w:w="4315" w:type="dxa"/>
            <w:shd w:val="clear" w:color="auto" w:fill="B4C6E7" w:themeFill="accent1" w:themeFillTint="66"/>
          </w:tcPr>
          <w:p w14:paraId="0ADF542F" w14:textId="77777777" w:rsidR="00AE515D" w:rsidRDefault="00AE515D" w:rsidP="00EA1D68">
            <w:r>
              <w:t>CYAB Equity Statement-Based Questions</w:t>
            </w:r>
          </w:p>
        </w:tc>
      </w:tr>
      <w:tr w:rsidR="00AE515D" w14:paraId="748C3B4A" w14:textId="77777777" w:rsidTr="009A0515">
        <w:tc>
          <w:tcPr>
            <w:tcW w:w="4310" w:type="dxa"/>
          </w:tcPr>
          <w:p w14:paraId="7900E8CF" w14:textId="77777777" w:rsidR="00AE515D" w:rsidRDefault="00AE515D" w:rsidP="00EA1D68">
            <w:pPr>
              <w:spacing w:line="240" w:lineRule="auto"/>
            </w:pPr>
            <w:r>
              <w:t xml:space="preserve">Equity is an ardent journey toward well-being as defined by the affected. </w:t>
            </w:r>
          </w:p>
          <w:p w14:paraId="32F04E14" w14:textId="77777777" w:rsidR="00AE515D" w:rsidRDefault="00AE515D" w:rsidP="00EA1D68">
            <w:r>
              <w:t xml:space="preserve">• Equity demands sacrifice and redistribution of power and resources in order to dismantle systems of oppression, heal continuing wounds, and realize justice. </w:t>
            </w:r>
          </w:p>
          <w:p w14:paraId="47F018ED" w14:textId="77777777" w:rsidR="00AE515D" w:rsidRDefault="00AE515D" w:rsidP="00EA1D68">
            <w:r>
              <w:t xml:space="preserve">• To achieve equity and social justice, we must first root out deeply entrenched systems of racism. </w:t>
            </w:r>
          </w:p>
          <w:p w14:paraId="60F916C2" w14:textId="77777777" w:rsidR="00AE515D" w:rsidRDefault="00AE515D" w:rsidP="00EA1D68">
            <w:r>
              <w:t>• Equity proactively builds strong foundations of agency, is vigilant for unintended consequences, and boldly aspires to be restorative.</w:t>
            </w:r>
          </w:p>
          <w:p w14:paraId="4EEB0870" w14:textId="77777777" w:rsidR="00AE515D" w:rsidRDefault="00AE515D" w:rsidP="00EA1D68">
            <w:r>
              <w:t xml:space="preserve"> • Equity is disruptive and uncomfortable and not voluntary. </w:t>
            </w:r>
          </w:p>
          <w:p w14:paraId="29AF831C" w14:textId="77777777" w:rsidR="00AE515D" w:rsidRDefault="00AE515D" w:rsidP="00EA1D68">
            <w:pPr>
              <w:spacing w:line="240" w:lineRule="auto"/>
            </w:pPr>
            <w:r>
              <w:t>• Equity is fundamental to the community we want to build.</w:t>
            </w:r>
          </w:p>
        </w:tc>
        <w:tc>
          <w:tcPr>
            <w:tcW w:w="4315" w:type="dxa"/>
          </w:tcPr>
          <w:p w14:paraId="573AA32A" w14:textId="30417D4F" w:rsidR="000A2177" w:rsidRDefault="00AE515D" w:rsidP="00EA1D68">
            <w:r>
              <w:t xml:space="preserve">• Has this </w:t>
            </w:r>
            <w:r w:rsidR="000A2177">
              <w:t>proposal</w:t>
            </w:r>
            <w:r w:rsidR="000A2177">
              <w:rPr>
                <w:rStyle w:val="FootnoteReference"/>
              </w:rPr>
              <w:footnoteReference w:id="48"/>
            </w:r>
            <w:r w:rsidR="000A2177">
              <w:t xml:space="preserve"> </w:t>
            </w:r>
            <w:r>
              <w:t xml:space="preserve">been defined by the affected? </w:t>
            </w:r>
          </w:p>
          <w:p w14:paraId="4D459B85" w14:textId="077CBBBB" w:rsidR="00AE515D" w:rsidRDefault="00AE515D" w:rsidP="00EA1D68">
            <w:r>
              <w:t xml:space="preserve">• In what ways will this proposal lead to a redistribution of power? </w:t>
            </w:r>
          </w:p>
          <w:p w14:paraId="026C08B3" w14:textId="29EEC6EE" w:rsidR="00AE515D" w:rsidRDefault="00AE515D" w:rsidP="00EA1D68">
            <w:r>
              <w:t xml:space="preserve">• How does this </w:t>
            </w:r>
            <w:r w:rsidR="000A2177">
              <w:t>proposal</w:t>
            </w:r>
            <w:r>
              <w:t xml:space="preserve"> help to root out systems of racism? </w:t>
            </w:r>
          </w:p>
          <w:p w14:paraId="0596642B" w14:textId="58FDE7DC" w:rsidR="00AE515D" w:rsidRDefault="00AE515D" w:rsidP="00EA1D68">
            <w:r>
              <w:t xml:space="preserve">• How does this </w:t>
            </w:r>
            <w:r w:rsidR="000A2177">
              <w:t>proposal</w:t>
            </w:r>
            <w:r>
              <w:t xml:space="preserve"> proactively build strong foundations of agency?</w:t>
            </w:r>
          </w:p>
          <w:p w14:paraId="758D6E62" w14:textId="11AB756E" w:rsidR="00AE515D" w:rsidRDefault="00AE515D" w:rsidP="00EA1D68">
            <w:r>
              <w:t xml:space="preserve"> • How is this </w:t>
            </w:r>
            <w:r w:rsidR="000A2177">
              <w:t>proposal</w:t>
            </w:r>
            <w:r>
              <w:t xml:space="preserve"> vigilant for unintended consequences? </w:t>
            </w:r>
          </w:p>
          <w:p w14:paraId="4DD08F3E" w14:textId="29626A6A" w:rsidR="00AE515D" w:rsidRDefault="00AE515D" w:rsidP="00EA1D68">
            <w:r>
              <w:t xml:space="preserve">• How does this </w:t>
            </w:r>
            <w:r w:rsidR="000A2177">
              <w:t xml:space="preserve">proposal </w:t>
            </w:r>
            <w:r>
              <w:t>aspire to be restorative?</w:t>
            </w:r>
          </w:p>
          <w:p w14:paraId="55140C92" w14:textId="1227756D" w:rsidR="00AE515D" w:rsidRDefault="00AE515D" w:rsidP="00EA1D68">
            <w:r>
              <w:t xml:space="preserve"> • What systems does this </w:t>
            </w:r>
            <w:r w:rsidR="000A2177">
              <w:t>proposal</w:t>
            </w:r>
            <w:r>
              <w:t xml:space="preserve"> disrupt and how? </w:t>
            </w:r>
          </w:p>
          <w:p w14:paraId="7D332F14" w14:textId="067ACE1A" w:rsidR="00AE515D" w:rsidRDefault="00AE515D" w:rsidP="00EA1D68">
            <w:r>
              <w:t xml:space="preserve">• How does this </w:t>
            </w:r>
            <w:r w:rsidR="000A2177">
              <w:t xml:space="preserve">proposal </w:t>
            </w:r>
            <w:r>
              <w:t>help build a beloved community?</w:t>
            </w:r>
          </w:p>
          <w:p w14:paraId="2FA1FDA4" w14:textId="77777777" w:rsidR="00AE515D" w:rsidRDefault="00AE515D" w:rsidP="00AD542A">
            <w:pPr>
              <w:keepNext/>
            </w:pPr>
          </w:p>
        </w:tc>
      </w:tr>
    </w:tbl>
    <w:p w14:paraId="0B6F78F0" w14:textId="4FCD1CE8" w:rsidR="00AF125A" w:rsidRDefault="00AF125A" w:rsidP="00AD7379"/>
    <w:p w14:paraId="5B2B5452" w14:textId="70DA306E" w:rsidR="00B50D1D" w:rsidRPr="00E568E5" w:rsidRDefault="00A407C1" w:rsidP="00AD7379">
      <w:pPr>
        <w:rPr>
          <w:rFonts w:eastAsia="Times New Roman" w:cs="Calibri"/>
        </w:rPr>
      </w:pPr>
      <w:r w:rsidRPr="00D03F1F">
        <w:t xml:space="preserve">Since its inception, </w:t>
      </w:r>
      <w:r w:rsidRPr="00D03F1F">
        <w:rPr>
          <w:i/>
        </w:rPr>
        <w:t>Best Starts for</w:t>
      </w:r>
      <w:r w:rsidRPr="00D03F1F">
        <w:t xml:space="preserve"> </w:t>
      </w:r>
      <w:r w:rsidRPr="00D03F1F">
        <w:rPr>
          <w:i/>
        </w:rPr>
        <w:t>Kids</w:t>
      </w:r>
      <w:r w:rsidRPr="00D03F1F">
        <w:t xml:space="preserve"> </w:t>
      </w:r>
      <w:r w:rsidRPr="00D03F1F" w:rsidDel="00297031">
        <w:t xml:space="preserve">strove </w:t>
      </w:r>
      <w:r w:rsidRPr="00D03F1F">
        <w:t>to incorporate equity into every aspect of its development and implementation</w:t>
      </w:r>
      <w:r w:rsidR="00480CA5">
        <w:t>.</w:t>
      </w:r>
      <w:r w:rsidRPr="00D03F1F">
        <w:t xml:space="preserve"> </w:t>
      </w:r>
      <w:r w:rsidR="002A5801">
        <w:t>T</w:t>
      </w:r>
      <w:r w:rsidR="002A5801" w:rsidRPr="00AD549C">
        <w:rPr>
          <w:rFonts w:eastAsia="Times New Roman" w:cs="Calibri"/>
        </w:rPr>
        <w:t xml:space="preserve">he CYAB’s equity statement </w:t>
      </w:r>
      <w:r w:rsidR="002A5801">
        <w:rPr>
          <w:rFonts w:eastAsia="Times New Roman" w:cs="Calibri"/>
        </w:rPr>
        <w:t xml:space="preserve">and questions have </w:t>
      </w:r>
      <w:r w:rsidR="002A5801" w:rsidDel="00297031">
        <w:rPr>
          <w:rFonts w:eastAsia="Times New Roman" w:cs="Calibri"/>
        </w:rPr>
        <w:t>been pivotal to guiding</w:t>
      </w:r>
      <w:r w:rsidR="002A5801">
        <w:rPr>
          <w:rFonts w:eastAsia="Times New Roman" w:cs="Calibri"/>
        </w:rPr>
        <w:t xml:space="preserve"> the focus on equity throughout </w:t>
      </w:r>
      <w:r w:rsidR="002A5801" w:rsidRPr="00AD549C">
        <w:rPr>
          <w:rFonts w:eastAsia="Times New Roman" w:cs="Calibri"/>
          <w:i/>
          <w:iCs/>
        </w:rPr>
        <w:t>Best Start</w:t>
      </w:r>
      <w:r w:rsidR="002A5801">
        <w:rPr>
          <w:rFonts w:eastAsia="Times New Roman" w:cs="Calibri"/>
          <w:i/>
          <w:iCs/>
        </w:rPr>
        <w:t>s</w:t>
      </w:r>
      <w:r w:rsidR="00081616">
        <w:rPr>
          <w:rFonts w:eastAsia="Times New Roman" w:cs="Calibri"/>
          <w:i/>
          <w:iCs/>
        </w:rPr>
        <w:t>.</w:t>
      </w:r>
    </w:p>
    <w:p w14:paraId="79C4B8D5" w14:textId="6CC04E35" w:rsidR="00B05569" w:rsidRPr="00827270" w:rsidRDefault="00B05569" w:rsidP="00827270"/>
    <w:p w14:paraId="7707941A" w14:textId="0BA991D7" w:rsidR="00A477FF" w:rsidRPr="00122D84" w:rsidRDefault="00A477FF" w:rsidP="00122D84">
      <w:pPr>
        <w:rPr>
          <w:rFonts w:cs="Calibri"/>
          <w:b/>
          <w:bCs/>
        </w:rPr>
      </w:pPr>
      <w:bookmarkStart w:id="12" w:name="_Hlk74684759"/>
      <w:r w:rsidRPr="00122D84">
        <w:rPr>
          <w:b/>
          <w:bCs/>
        </w:rPr>
        <w:t>Accomplishments</w:t>
      </w:r>
    </w:p>
    <w:p w14:paraId="103CEDBE" w14:textId="45A83747" w:rsidR="00403FBA" w:rsidRDefault="004A1249" w:rsidP="00A477FF">
      <w:pPr>
        <w:contextualSpacing/>
        <w:rPr>
          <w:rFonts w:cs="Calibri"/>
        </w:rPr>
      </w:pPr>
      <w:bookmarkStart w:id="13" w:name="_Hlk74243911"/>
      <w:r>
        <w:rPr>
          <w:rFonts w:cs="Calibri"/>
        </w:rPr>
        <w:t>T</w:t>
      </w:r>
      <w:r w:rsidR="00A477FF" w:rsidRPr="00D03F1F">
        <w:rPr>
          <w:rFonts w:cs="Calibri"/>
        </w:rPr>
        <w:t xml:space="preserve">he first </w:t>
      </w:r>
      <w:r w:rsidR="00A477FF" w:rsidRPr="00D03F1F">
        <w:rPr>
          <w:rFonts w:cs="Calibri"/>
          <w:i/>
        </w:rPr>
        <w:t>Best Starts for Kids</w:t>
      </w:r>
      <w:r w:rsidR="00A477FF" w:rsidRPr="00D03F1F">
        <w:rPr>
          <w:rFonts w:cs="Calibri"/>
        </w:rPr>
        <w:t xml:space="preserve"> levy reached 490,000 of King County’s youngest children and </w:t>
      </w:r>
      <w:r w:rsidR="00B60E1A">
        <w:rPr>
          <w:rFonts w:cs="Calibri"/>
        </w:rPr>
        <w:t>new parents/caregivers</w:t>
      </w:r>
      <w:r w:rsidR="00A477FF" w:rsidRPr="00D03F1F">
        <w:rPr>
          <w:rFonts w:cs="Calibri"/>
        </w:rPr>
        <w:t xml:space="preserve"> and 40,000 youth and young adults</w:t>
      </w:r>
      <w:bookmarkEnd w:id="13"/>
      <w:r w:rsidR="00280199">
        <w:rPr>
          <w:rFonts w:cs="Calibri"/>
        </w:rPr>
        <w:t>.</w:t>
      </w:r>
      <w:r w:rsidR="00791013" w:rsidRPr="008210F3">
        <w:rPr>
          <w:rFonts w:eastAsia="Times New Roman" w:cs="Calibri"/>
        </w:rPr>
        <w:t xml:space="preserve"> </w:t>
      </w:r>
      <w:r w:rsidR="00DC3F7F">
        <w:rPr>
          <w:rFonts w:eastAsia="Times New Roman" w:cs="Calibri"/>
        </w:rPr>
        <w:t xml:space="preserve">The </w:t>
      </w:r>
      <w:r w:rsidR="00DC3F7F" w:rsidRPr="008210F3">
        <w:rPr>
          <w:rFonts w:eastAsia="Times New Roman" w:cs="Calibri"/>
        </w:rPr>
        <w:t xml:space="preserve">focus on </w:t>
      </w:r>
      <w:r w:rsidR="00DC3F7F">
        <w:rPr>
          <w:rFonts w:eastAsia="Times New Roman" w:cs="Calibri"/>
        </w:rPr>
        <w:t xml:space="preserve">evaluation and </w:t>
      </w:r>
      <w:r w:rsidR="00DC3F7F" w:rsidRPr="008210F3">
        <w:rPr>
          <w:rFonts w:eastAsia="Times New Roman" w:cs="Calibri"/>
        </w:rPr>
        <w:t>achieving outcomes</w:t>
      </w:r>
      <w:r w:rsidR="00DC3F7F">
        <w:rPr>
          <w:rFonts w:eastAsia="Times New Roman" w:cs="Calibri"/>
        </w:rPr>
        <w:t xml:space="preserve"> is important for programs</w:t>
      </w:r>
      <w:r w:rsidR="00DC3F7F" w:rsidRPr="008210F3">
        <w:rPr>
          <w:rFonts w:eastAsia="Times New Roman" w:cs="Calibri"/>
        </w:rPr>
        <w:t xml:space="preserve"> to track and report on their performance</w:t>
      </w:r>
      <w:r w:rsidR="00DC3F7F">
        <w:rPr>
          <w:rFonts w:eastAsia="Times New Roman" w:cs="Calibri"/>
        </w:rPr>
        <w:t>, while demonstrating successful outcomes.</w:t>
      </w:r>
    </w:p>
    <w:bookmarkEnd w:id="12"/>
    <w:p w14:paraId="2388CFE1" w14:textId="77777777" w:rsidR="00403FBA" w:rsidRDefault="00403FBA" w:rsidP="00A477FF">
      <w:pPr>
        <w:contextualSpacing/>
        <w:rPr>
          <w:rFonts w:cs="Calibri"/>
        </w:rPr>
      </w:pPr>
    </w:p>
    <w:p w14:paraId="3F858CD4" w14:textId="7FF8C579" w:rsidR="00A477FF" w:rsidRDefault="00A26CB9" w:rsidP="00A477FF">
      <w:pPr>
        <w:contextualSpacing/>
        <w:rPr>
          <w:rFonts w:cs="Calibri"/>
          <w:i/>
        </w:rPr>
      </w:pPr>
      <w:r>
        <w:rPr>
          <w:rFonts w:cs="Calibri"/>
        </w:rPr>
        <w:lastRenderedPageBreak/>
        <w:t xml:space="preserve">Figure </w:t>
      </w:r>
      <w:r w:rsidR="00AA0D8A">
        <w:rPr>
          <w:rFonts w:cs="Calibri"/>
        </w:rPr>
        <w:t>2</w:t>
      </w:r>
      <w:r w:rsidR="00A477FF" w:rsidRPr="00D03F1F">
        <w:rPr>
          <w:rFonts w:cs="Calibri"/>
        </w:rPr>
        <w:t xml:space="preserve"> </w:t>
      </w:r>
      <w:r w:rsidR="00513AB3">
        <w:rPr>
          <w:rFonts w:cs="Calibri"/>
        </w:rPr>
        <w:t>below</w:t>
      </w:r>
      <w:r w:rsidR="00A477FF" w:rsidRPr="00D03F1F">
        <w:rPr>
          <w:rFonts w:cs="Calibri"/>
        </w:rPr>
        <w:t xml:space="preserve"> highlights selected outcomes </w:t>
      </w:r>
      <w:r w:rsidR="00A477FF">
        <w:rPr>
          <w:rFonts w:cs="Calibri"/>
        </w:rPr>
        <w:t xml:space="preserve">and accomplishments from </w:t>
      </w:r>
      <w:r w:rsidR="00A477FF" w:rsidRPr="00D03F1F">
        <w:rPr>
          <w:rFonts w:cs="Calibri"/>
        </w:rPr>
        <w:t xml:space="preserve">the first </w:t>
      </w:r>
      <w:r w:rsidR="00A477FF" w:rsidRPr="00054CA0">
        <w:rPr>
          <w:rFonts w:cs="Calibri"/>
          <w:i/>
          <w:iCs/>
        </w:rPr>
        <w:t>Best Starts for Kids</w:t>
      </w:r>
      <w:r w:rsidR="00A477FF">
        <w:rPr>
          <w:rFonts w:cs="Calibri"/>
          <w:i/>
          <w:iCs/>
        </w:rPr>
        <w:t xml:space="preserve"> </w:t>
      </w:r>
      <w:r w:rsidR="00483057">
        <w:rPr>
          <w:rFonts w:cs="Calibri"/>
        </w:rPr>
        <w:t>l</w:t>
      </w:r>
      <w:r w:rsidR="00A477FF" w:rsidRPr="00B03FF1">
        <w:rPr>
          <w:rFonts w:cs="Calibri"/>
        </w:rPr>
        <w:t>evy</w:t>
      </w:r>
      <w:r w:rsidR="00A477FF" w:rsidRPr="00B03FF1">
        <w:rPr>
          <w:rFonts w:cs="Calibri"/>
          <w:i/>
          <w:iCs/>
        </w:rPr>
        <w:t>.</w:t>
      </w:r>
      <w:r w:rsidR="00A477FF" w:rsidRPr="00B03FF1">
        <w:rPr>
          <w:rStyle w:val="FootnoteReference"/>
          <w:rFonts w:cs="Calibri"/>
          <w:i/>
          <w:iCs/>
        </w:rPr>
        <w:footnoteReference w:id="49"/>
      </w:r>
    </w:p>
    <w:p w14:paraId="52AF1671" w14:textId="77777777" w:rsidR="00272EFF" w:rsidRDefault="00272EFF" w:rsidP="00A477FF">
      <w:pPr>
        <w:contextualSpacing/>
        <w:rPr>
          <w:rFonts w:cs="Calibri"/>
          <w:i/>
        </w:rPr>
      </w:pPr>
    </w:p>
    <w:p w14:paraId="330D7888" w14:textId="77850888" w:rsidR="00BA700A" w:rsidRDefault="00BA700A" w:rsidP="00BA700A">
      <w:pPr>
        <w:pStyle w:val="Caption"/>
        <w:keepNext/>
      </w:pPr>
      <w:r>
        <w:t xml:space="preserve">Figure </w:t>
      </w:r>
      <w:fldSimple w:instr=" SEQ Figure \* ARABIC ">
        <w:r>
          <w:rPr>
            <w:noProof/>
          </w:rPr>
          <w:t>2</w:t>
        </w:r>
      </w:fldSimple>
      <w:r>
        <w:t xml:space="preserve">: </w:t>
      </w:r>
      <w:r w:rsidRPr="00D06C1A">
        <w:t>Outcome Highlights</w:t>
      </w:r>
    </w:p>
    <w:tbl>
      <w:tblPr>
        <w:tblStyle w:val="TableGrid"/>
        <w:tblW w:w="0" w:type="auto"/>
        <w:tblLook w:val="04A0" w:firstRow="1" w:lastRow="0" w:firstColumn="1" w:lastColumn="0" w:noHBand="0" w:noVBand="1"/>
      </w:tblPr>
      <w:tblGrid>
        <w:gridCol w:w="9300"/>
      </w:tblGrid>
      <w:tr w:rsidR="00A477FF" w14:paraId="2909AF59" w14:textId="77777777" w:rsidTr="00BA700A">
        <w:tc>
          <w:tcPr>
            <w:tcW w:w="930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tcPr>
          <w:p w14:paraId="063073AF" w14:textId="0EC3A883" w:rsidR="00A477FF" w:rsidRPr="006C749F" w:rsidRDefault="00A477FF" w:rsidP="00517D97">
            <w:pPr>
              <w:rPr>
                <w:b/>
                <w:bCs/>
              </w:rPr>
            </w:pPr>
            <w:r w:rsidRPr="006C749F">
              <w:rPr>
                <w:rStyle w:val="normaltextrun"/>
                <w:rFonts w:ascii="Calibri" w:hAnsi="Calibri"/>
                <w:b/>
                <w:bCs/>
              </w:rPr>
              <w:t>Promoting healthy starts from day one </w:t>
            </w:r>
          </w:p>
          <w:p w14:paraId="0BD2A884" w14:textId="5E55F9BD" w:rsidR="00A477FF" w:rsidRPr="00D03F1F" w:rsidRDefault="00A477FF" w:rsidP="009230D5">
            <w:pPr>
              <w:pStyle w:val="paragraph"/>
              <w:numPr>
                <w:ilvl w:val="0"/>
                <w:numId w:val="14"/>
              </w:numPr>
              <w:spacing w:beforeAutospacing="0" w:after="0" w:afterAutospacing="0"/>
              <w:contextualSpacing/>
              <w:textAlignment w:val="baseline"/>
              <w:rPr>
                <w:rFonts w:cs="Calibri"/>
              </w:rPr>
            </w:pPr>
            <w:r w:rsidRPr="6843650D">
              <w:rPr>
                <w:rStyle w:val="normaltextrun"/>
                <w:rFonts w:ascii="Calibri" w:hAnsi="Calibri" w:cs="Calibri"/>
              </w:rPr>
              <w:t>Breastfeeding is an important way to bond with a new baby while providing nourishment and building immunities but can be challenging for first-time moms. Among </w:t>
            </w:r>
            <w:r w:rsidRPr="6843650D">
              <w:rPr>
                <w:rStyle w:val="normaltextrun"/>
                <w:rFonts w:ascii="Calibri" w:hAnsi="Calibri" w:cs="Calibri"/>
                <w:i/>
                <w:iCs/>
              </w:rPr>
              <w:t>Best Starts</w:t>
            </w:r>
            <w:r w:rsidRPr="6843650D">
              <w:rPr>
                <w:rStyle w:val="normaltextrun"/>
                <w:rFonts w:ascii="Calibri" w:hAnsi="Calibri" w:cs="Calibri"/>
              </w:rPr>
              <w:t> programs that provide post-partum breastfeeding supports</w:t>
            </w:r>
            <w:r>
              <w:rPr>
                <w:rStyle w:val="normaltextrun"/>
                <w:rFonts w:ascii="Calibri" w:hAnsi="Calibri" w:cs="Calibri"/>
              </w:rPr>
              <w:t xml:space="preserve"> to over 1,000</w:t>
            </w:r>
            <w:r w:rsidR="00B12385">
              <w:rPr>
                <w:rStyle w:val="normaltextrun"/>
                <w:rFonts w:ascii="Calibri" w:hAnsi="Calibri" w:cs="Calibri"/>
              </w:rPr>
              <w:t xml:space="preserve"> </w:t>
            </w:r>
            <w:r w:rsidR="00B12385">
              <w:rPr>
                <w:rStyle w:val="normaltextrun"/>
                <w:rFonts w:ascii="Calibri" w:hAnsi="Calibri"/>
              </w:rPr>
              <w:t>families</w:t>
            </w:r>
            <w:r w:rsidRPr="6843650D">
              <w:rPr>
                <w:rStyle w:val="normaltextrun"/>
                <w:rFonts w:ascii="Calibri" w:hAnsi="Calibri" w:cs="Calibri"/>
              </w:rPr>
              <w:t>, 96</w:t>
            </w:r>
            <w:r w:rsidR="00D57B4E">
              <w:rPr>
                <w:rStyle w:val="normaltextrun"/>
                <w:rFonts w:ascii="Calibri" w:hAnsi="Calibri" w:cs="Calibri"/>
              </w:rPr>
              <w:t xml:space="preserve"> </w:t>
            </w:r>
            <w:r w:rsidR="00FE291C">
              <w:rPr>
                <w:rStyle w:val="normaltextrun"/>
                <w:rFonts w:ascii="Calibri" w:hAnsi="Calibri" w:cs="Calibri"/>
              </w:rPr>
              <w:t>percent</w:t>
            </w:r>
            <w:r w:rsidRPr="6843650D">
              <w:rPr>
                <w:rStyle w:val="normaltextrun"/>
                <w:rFonts w:ascii="Calibri" w:hAnsi="Calibri" w:cs="Calibri"/>
              </w:rPr>
              <w:t> of parents started breastfeeding, helping their babies off to a healthy start from day one.</w:t>
            </w:r>
            <w:r w:rsidRPr="6843650D">
              <w:rPr>
                <w:rStyle w:val="eop"/>
                <w:rFonts w:cs="Calibri"/>
              </w:rPr>
              <w:t> </w:t>
            </w:r>
          </w:p>
          <w:p w14:paraId="2B9787CF" w14:textId="77777777" w:rsidR="00A477FF" w:rsidRPr="00D03F1F" w:rsidRDefault="00A477FF" w:rsidP="00517D97">
            <w:pPr>
              <w:pStyle w:val="paragraph"/>
              <w:spacing w:beforeAutospacing="0" w:after="0" w:afterAutospacing="0"/>
              <w:contextualSpacing/>
              <w:textAlignment w:val="baseline"/>
              <w:rPr>
                <w:rStyle w:val="normaltextrun"/>
                <w:rFonts w:ascii="Calibri" w:hAnsi="Calibri" w:cs="Calibri"/>
                <w:b/>
                <w:szCs w:val="22"/>
              </w:rPr>
            </w:pPr>
          </w:p>
          <w:p w14:paraId="6F41DF14" w14:textId="77777777" w:rsidR="00A477FF" w:rsidRPr="00F41247" w:rsidRDefault="00A477FF" w:rsidP="00517D97">
            <w:pPr>
              <w:rPr>
                <w:rStyle w:val="normaltextrun"/>
                <w:rFonts w:ascii="Calibri" w:hAnsi="Calibri"/>
                <w:b/>
                <w:bCs/>
              </w:rPr>
            </w:pPr>
            <w:r w:rsidRPr="006C749F">
              <w:rPr>
                <w:rStyle w:val="normaltextrun"/>
                <w:rFonts w:ascii="Calibri" w:hAnsi="Calibri"/>
                <w:b/>
                <w:bCs/>
              </w:rPr>
              <w:t>Supporting families navigating a child’s earliest years</w:t>
            </w:r>
            <w:r w:rsidRPr="006C749F">
              <w:rPr>
                <w:rStyle w:val="eop"/>
                <w:b/>
                <w:bCs/>
              </w:rPr>
              <w:t> </w:t>
            </w:r>
          </w:p>
          <w:p w14:paraId="4D17EE3D" w14:textId="55103025" w:rsidR="00A477FF" w:rsidRPr="00F41247" w:rsidRDefault="00A477FF" w:rsidP="00025030">
            <w:pPr>
              <w:pStyle w:val="paragraph"/>
              <w:numPr>
                <w:ilvl w:val="0"/>
                <w:numId w:val="40"/>
              </w:numPr>
              <w:spacing w:beforeAutospacing="0" w:after="0" w:afterAutospacing="0"/>
              <w:contextualSpacing/>
              <w:textAlignment w:val="baseline"/>
              <w:rPr>
                <w:rFonts w:cs="Calibri"/>
                <w:szCs w:val="22"/>
              </w:rPr>
            </w:pPr>
            <w:r w:rsidRPr="00D03F1F">
              <w:rPr>
                <w:rStyle w:val="normaltextrun"/>
                <w:rFonts w:ascii="Calibri" w:hAnsi="Calibri" w:cs="Calibri"/>
                <w:szCs w:val="22"/>
              </w:rPr>
              <w:t xml:space="preserve">Home visiting provides parents with a trusted source of support to lean on in a child’s earliest years. Across </w:t>
            </w:r>
            <w:r w:rsidRPr="00D03F1F">
              <w:rPr>
                <w:rStyle w:val="normaltextrun"/>
                <w:rFonts w:ascii="Calibri" w:hAnsi="Calibri" w:cs="Calibri"/>
                <w:i/>
                <w:szCs w:val="22"/>
              </w:rPr>
              <w:t>Best Starts</w:t>
            </w:r>
            <w:r>
              <w:rPr>
                <w:rStyle w:val="normaltextrun"/>
                <w:rFonts w:ascii="Calibri" w:hAnsi="Calibri" w:cs="Calibri"/>
                <w:szCs w:val="22"/>
              </w:rPr>
              <w:t xml:space="preserve"> </w:t>
            </w:r>
            <w:r w:rsidRPr="00D03F1F">
              <w:rPr>
                <w:rStyle w:val="normaltextrun"/>
                <w:rFonts w:ascii="Calibri" w:hAnsi="Calibri" w:cs="Calibri"/>
                <w:szCs w:val="22"/>
              </w:rPr>
              <w:t>programs, home visitors have provided over 212,000 visits to new families.</w:t>
            </w:r>
            <w:r w:rsidRPr="00D03F1F">
              <w:rPr>
                <w:rStyle w:val="eop"/>
                <w:rFonts w:cs="Calibri"/>
                <w:szCs w:val="22"/>
              </w:rPr>
              <w:t> </w:t>
            </w:r>
            <w:r>
              <w:rPr>
                <w:rStyle w:val="eop"/>
                <w:rFonts w:cs="Calibri"/>
                <w:szCs w:val="22"/>
              </w:rPr>
              <w:t>K</w:t>
            </w:r>
            <w:r>
              <w:t xml:space="preserve">ids whose families participated in the ParentChild </w:t>
            </w:r>
            <w:r w:rsidR="00FB0754">
              <w:t>+</w:t>
            </w:r>
            <w:r>
              <w:t xml:space="preserve"> home visiting program showed a 57</w:t>
            </w:r>
            <w:r w:rsidR="00B7244A">
              <w:t xml:space="preserve"> percent</w:t>
            </w:r>
            <w:r>
              <w:t xml:space="preserve"> improvement in kindergarten readiness compared to when they started the program.</w:t>
            </w:r>
          </w:p>
          <w:p w14:paraId="2A1B6A43" w14:textId="77777777" w:rsidR="00A477FF" w:rsidRDefault="00A477FF" w:rsidP="00517D97">
            <w:pPr>
              <w:pStyle w:val="paragraph"/>
              <w:spacing w:beforeAutospacing="0" w:after="0" w:afterAutospacing="0"/>
              <w:contextualSpacing/>
              <w:textAlignment w:val="baseline"/>
            </w:pPr>
          </w:p>
          <w:p w14:paraId="78C8467B" w14:textId="0DCCEE8A" w:rsidR="00A477FF" w:rsidRPr="00D03F1F" w:rsidRDefault="00A477FF" w:rsidP="00025030">
            <w:pPr>
              <w:pStyle w:val="paragraph"/>
              <w:numPr>
                <w:ilvl w:val="0"/>
                <w:numId w:val="40"/>
              </w:numPr>
              <w:spacing w:beforeAutospacing="0" w:after="0" w:afterAutospacing="0"/>
              <w:contextualSpacing/>
              <w:textAlignment w:val="baseline"/>
              <w:rPr>
                <w:rFonts w:cs="Calibri"/>
                <w:szCs w:val="22"/>
              </w:rPr>
            </w:pPr>
            <w:r>
              <w:t>99</w:t>
            </w:r>
            <w:r w:rsidR="00B7244A">
              <w:t xml:space="preserve"> percent</w:t>
            </w:r>
            <w:r>
              <w:t xml:space="preserve"> of families in community-designed home visiting programs reported that they felt more concrete support, and 96</w:t>
            </w:r>
            <w:r w:rsidR="00B7244A">
              <w:t xml:space="preserve"> percent</w:t>
            </w:r>
            <w:r>
              <w:t xml:space="preserve"> said they increased their knowledge of parenting and child development.</w:t>
            </w:r>
          </w:p>
          <w:p w14:paraId="3644DB17" w14:textId="77777777" w:rsidR="00A477FF" w:rsidRDefault="00A477FF" w:rsidP="00517D97">
            <w:pPr>
              <w:rPr>
                <w:rStyle w:val="normaltextrun"/>
                <w:rFonts w:ascii="Calibri" w:hAnsi="Calibri"/>
                <w:b/>
                <w:bCs/>
              </w:rPr>
            </w:pPr>
          </w:p>
          <w:p w14:paraId="0A95C552" w14:textId="77777777" w:rsidR="00A477FF" w:rsidRPr="006C749F" w:rsidRDefault="00A477FF" w:rsidP="00517D97">
            <w:pPr>
              <w:rPr>
                <w:b/>
                <w:bCs/>
              </w:rPr>
            </w:pPr>
            <w:r w:rsidRPr="006C749F">
              <w:rPr>
                <w:rStyle w:val="normaltextrun"/>
                <w:rFonts w:ascii="Calibri" w:hAnsi="Calibri"/>
                <w:b/>
                <w:bCs/>
              </w:rPr>
              <w:t xml:space="preserve">Building the capacity &amp; knowledge of </w:t>
            </w:r>
            <w:r>
              <w:rPr>
                <w:rStyle w:val="normaltextrun"/>
                <w:rFonts w:ascii="Calibri" w:hAnsi="Calibri"/>
                <w:b/>
                <w:bCs/>
              </w:rPr>
              <w:t>child care workers</w:t>
            </w:r>
            <w:r w:rsidRPr="006C749F">
              <w:rPr>
                <w:rStyle w:val="eop"/>
                <w:b/>
                <w:bCs/>
              </w:rPr>
              <w:t> </w:t>
            </w:r>
          </w:p>
          <w:p w14:paraId="2EBF849A" w14:textId="77777777" w:rsidR="00A477FF" w:rsidRPr="00D03F1F" w:rsidRDefault="00A477FF" w:rsidP="009230D5">
            <w:pPr>
              <w:pStyle w:val="paragraph"/>
              <w:numPr>
                <w:ilvl w:val="0"/>
                <w:numId w:val="14"/>
              </w:numPr>
              <w:spacing w:beforeAutospacing="0" w:after="0" w:afterAutospacing="0"/>
              <w:contextualSpacing/>
              <w:textAlignment w:val="baseline"/>
              <w:rPr>
                <w:rFonts w:cs="Calibri"/>
                <w:color w:val="2F5496"/>
                <w:szCs w:val="22"/>
              </w:rPr>
            </w:pPr>
            <w:r w:rsidRPr="00B635FA">
              <w:rPr>
                <w:i/>
                <w:iCs/>
              </w:rPr>
              <w:t>Best Starts for Kids</w:t>
            </w:r>
            <w:r>
              <w:t xml:space="preserve"> equipped over 17,000 people who care for King County’s youngest children with information and skills to support healthy development. Collectively, this group cares for over 70,000 children in King County. </w:t>
            </w:r>
            <w:r w:rsidRPr="00354EFE">
              <w:rPr>
                <w:i/>
              </w:rPr>
              <w:t>Best Starts</w:t>
            </w:r>
            <w:r>
              <w:t xml:space="preserve"> for Kids provided training and support to over 8,000 people who work with King County’s youth and young adults, with the potential to impact 300,000 young people in King County.</w:t>
            </w:r>
            <w:r w:rsidRPr="00D03F1F">
              <w:rPr>
                <w:rStyle w:val="eop"/>
                <w:rFonts w:cs="Calibri"/>
                <w:color w:val="2F5496"/>
                <w:szCs w:val="22"/>
              </w:rPr>
              <w:t> </w:t>
            </w:r>
          </w:p>
          <w:p w14:paraId="044EC910" w14:textId="77777777" w:rsidR="00A477FF" w:rsidRPr="00D03F1F" w:rsidRDefault="00A477FF" w:rsidP="00517D97">
            <w:pPr>
              <w:pStyle w:val="paragraph"/>
              <w:spacing w:beforeAutospacing="0" w:after="0" w:afterAutospacing="0"/>
              <w:ind w:left="720"/>
              <w:contextualSpacing/>
              <w:textAlignment w:val="baseline"/>
              <w:rPr>
                <w:rFonts w:cs="Calibri"/>
                <w:szCs w:val="22"/>
              </w:rPr>
            </w:pPr>
          </w:p>
          <w:p w14:paraId="5D84185E" w14:textId="77777777" w:rsidR="00A477FF" w:rsidRPr="00D5120B" w:rsidRDefault="00A477FF" w:rsidP="00517D97">
            <w:r w:rsidRPr="00D5120B">
              <w:rPr>
                <w:rStyle w:val="normaltextrun"/>
                <w:rFonts w:ascii="Calibri" w:hAnsi="Calibri"/>
                <w:b/>
                <w:bCs/>
              </w:rPr>
              <w:t>Partnering with schools to provide a foundation growth &amp; development</w:t>
            </w:r>
            <w:r w:rsidRPr="00C3789A">
              <w:rPr>
                <w:rStyle w:val="FootnoteReference"/>
              </w:rPr>
              <w:footnoteReference w:id="50"/>
            </w:r>
            <w:r w:rsidRPr="00C3789A">
              <w:rPr>
                <w:rStyle w:val="eop"/>
              </w:rPr>
              <w:t> </w:t>
            </w:r>
          </w:p>
          <w:p w14:paraId="2FA7B8C6" w14:textId="6C16F7DF" w:rsidR="00A477FF" w:rsidRPr="00D03F1F" w:rsidRDefault="00A477FF" w:rsidP="009230D5">
            <w:pPr>
              <w:pStyle w:val="paragraph"/>
              <w:numPr>
                <w:ilvl w:val="0"/>
                <w:numId w:val="15"/>
              </w:numPr>
              <w:spacing w:beforeAutospacing="0" w:after="0" w:afterAutospacing="0"/>
              <w:contextualSpacing/>
              <w:textAlignment w:val="baseline"/>
              <w:rPr>
                <w:rFonts w:cs="Calibri"/>
                <w:szCs w:val="22"/>
              </w:rPr>
            </w:pPr>
            <w:r>
              <w:t xml:space="preserve">Prior to the pandemic, </w:t>
            </w:r>
            <w:r w:rsidRPr="00B635FA">
              <w:rPr>
                <w:i/>
                <w:iCs/>
              </w:rPr>
              <w:t>Best Starts</w:t>
            </w:r>
            <w:r>
              <w:t xml:space="preserve"> partners worked with over 11,000 youth, parents, caregivers, teachers, and school staff in over 70 schools to create safe, welcoming environments for students facing trauma or adversity. 80</w:t>
            </w:r>
            <w:r w:rsidR="00B7244A">
              <w:t xml:space="preserve"> percent</w:t>
            </w:r>
            <w:r>
              <w:t xml:space="preserve"> of youth in these programs said they felt safer and more valued at school, and 94</w:t>
            </w:r>
            <w:r w:rsidR="00B7244A">
              <w:t xml:space="preserve"> percent</w:t>
            </w:r>
            <w:r>
              <w:t xml:space="preserve"> started coming to school more frequently. Students in Bellevue, Renton, and Vashon Island made over 16,000 visits to new </w:t>
            </w:r>
            <w:r w:rsidRPr="00B635FA">
              <w:rPr>
                <w:i/>
                <w:iCs/>
              </w:rPr>
              <w:t>Best Starts</w:t>
            </w:r>
            <w:r>
              <w:t xml:space="preserve">-funded school-based health centers since construction in 2017. Prior to the </w:t>
            </w:r>
            <w:r>
              <w:lastRenderedPageBreak/>
              <w:t>pandemic, 75</w:t>
            </w:r>
            <w:r w:rsidR="00B7244A">
              <w:t xml:space="preserve"> percent</w:t>
            </w:r>
            <w:r>
              <w:t xml:space="preserve"> of students using these school-based health centers passed all their classes. </w:t>
            </w:r>
          </w:p>
          <w:p w14:paraId="5068499D" w14:textId="77777777" w:rsidR="00A477FF" w:rsidRPr="00D03F1F" w:rsidRDefault="00A477FF" w:rsidP="00517D97">
            <w:pPr>
              <w:pStyle w:val="paragraph"/>
              <w:spacing w:beforeAutospacing="0" w:after="0" w:afterAutospacing="0"/>
              <w:ind w:left="720"/>
              <w:contextualSpacing/>
              <w:textAlignment w:val="baseline"/>
              <w:rPr>
                <w:rFonts w:cs="Calibri"/>
                <w:szCs w:val="22"/>
              </w:rPr>
            </w:pPr>
            <w:r w:rsidRPr="00D03F1F">
              <w:rPr>
                <w:rStyle w:val="eop"/>
                <w:rFonts w:cs="Calibri"/>
                <w:szCs w:val="22"/>
              </w:rPr>
              <w:t> </w:t>
            </w:r>
          </w:p>
          <w:p w14:paraId="4BDCE307" w14:textId="09E7CE3F" w:rsidR="00A477FF" w:rsidRPr="00861838" w:rsidRDefault="00A477FF" w:rsidP="00517D97">
            <w:pPr>
              <w:rPr>
                <w:b/>
                <w:bCs/>
              </w:rPr>
            </w:pPr>
            <w:r w:rsidRPr="00861838">
              <w:rPr>
                <w:rStyle w:val="normaltextrun"/>
                <w:rFonts w:ascii="Calibri" w:hAnsi="Calibri"/>
                <w:b/>
                <w:bCs/>
              </w:rPr>
              <w:t xml:space="preserve">Strengthening the communities </w:t>
            </w:r>
            <w:r w:rsidR="00DA47CB">
              <w:rPr>
                <w:rStyle w:val="normaltextrun"/>
                <w:rFonts w:ascii="Calibri" w:hAnsi="Calibri"/>
                <w:b/>
                <w:bCs/>
              </w:rPr>
              <w:t xml:space="preserve">where </w:t>
            </w:r>
            <w:r w:rsidRPr="00861838">
              <w:rPr>
                <w:rStyle w:val="normaltextrun"/>
                <w:rFonts w:ascii="Calibri" w:hAnsi="Calibri"/>
                <w:b/>
                <w:bCs/>
              </w:rPr>
              <w:t>kids grow up</w:t>
            </w:r>
            <w:r w:rsidRPr="00861838">
              <w:rPr>
                <w:rStyle w:val="eop"/>
                <w:b/>
                <w:bCs/>
              </w:rPr>
              <w:t> </w:t>
            </w:r>
          </w:p>
          <w:p w14:paraId="73FE58F5" w14:textId="124B15FF" w:rsidR="00A477FF" w:rsidRPr="00D03F1F" w:rsidRDefault="0040535F" w:rsidP="009230D5">
            <w:pPr>
              <w:pStyle w:val="paragraph"/>
              <w:numPr>
                <w:ilvl w:val="0"/>
                <w:numId w:val="19"/>
              </w:numPr>
              <w:spacing w:beforeAutospacing="0" w:after="0" w:afterAutospacing="0"/>
              <w:contextualSpacing/>
              <w:textAlignment w:val="baseline"/>
              <w:rPr>
                <w:rFonts w:cs="Calibri"/>
                <w:szCs w:val="22"/>
              </w:rPr>
            </w:pPr>
            <w:r>
              <w:rPr>
                <w:rStyle w:val="normaltextrun"/>
                <w:rFonts w:ascii="Calibri" w:hAnsi="Calibri" w:cs="Calibri"/>
                <w:szCs w:val="22"/>
              </w:rPr>
              <w:t>F</w:t>
            </w:r>
            <w:r>
              <w:rPr>
                <w:rStyle w:val="normaltextrun"/>
                <w:rFonts w:ascii="Calibri" w:hAnsi="Calibri" w:cs="Calibri"/>
              </w:rPr>
              <w:t xml:space="preserve">rom 2018 through June 2020, </w:t>
            </w:r>
            <w:r w:rsidR="00A477FF" w:rsidRPr="00D03F1F">
              <w:rPr>
                <w:rStyle w:val="normaltextrun"/>
                <w:rFonts w:ascii="Calibri" w:hAnsi="Calibri" w:cs="Calibri"/>
                <w:szCs w:val="22"/>
              </w:rPr>
              <w:t>Communities of Opportunity collaborated with </w:t>
            </w:r>
            <w:r>
              <w:rPr>
                <w:rStyle w:val="normaltextrun"/>
                <w:rFonts w:ascii="Calibri" w:hAnsi="Calibri" w:cs="Calibri"/>
                <w:szCs w:val="22"/>
              </w:rPr>
              <w:t>o</w:t>
            </w:r>
            <w:r>
              <w:rPr>
                <w:rStyle w:val="normaltextrun"/>
                <w:rFonts w:ascii="Calibri" w:hAnsi="Calibri" w:cs="Calibri"/>
              </w:rPr>
              <w:t xml:space="preserve">ver </w:t>
            </w:r>
            <w:r w:rsidR="00A477FF" w:rsidRPr="00D03F1F">
              <w:rPr>
                <w:rStyle w:val="normaltextrun"/>
                <w:rFonts w:ascii="Calibri" w:hAnsi="Calibri" w:cs="Calibri"/>
                <w:color w:val="000000"/>
                <w:szCs w:val="22"/>
              </w:rPr>
              <w:t>150 organizations to create more than 241 new community partnerships and build the skills and capacity of approximately 2,500 people serving in leadership positions.</w:t>
            </w:r>
            <w:r w:rsidR="00A477FF" w:rsidRPr="00D03F1F">
              <w:rPr>
                <w:rStyle w:val="eop"/>
                <w:rFonts w:cs="Calibri"/>
                <w:color w:val="000000"/>
                <w:szCs w:val="22"/>
              </w:rPr>
              <w:t> </w:t>
            </w:r>
          </w:p>
          <w:p w14:paraId="7FA7B1E6" w14:textId="77777777" w:rsidR="00A477FF" w:rsidRPr="00D03F1F" w:rsidRDefault="00A477FF" w:rsidP="00517D97">
            <w:pPr>
              <w:pStyle w:val="paragraph"/>
              <w:spacing w:beforeAutospacing="0" w:after="0" w:afterAutospacing="0"/>
              <w:contextualSpacing/>
              <w:textAlignment w:val="baseline"/>
              <w:rPr>
                <w:rFonts w:cs="Calibri"/>
                <w:szCs w:val="22"/>
              </w:rPr>
            </w:pPr>
            <w:r w:rsidRPr="00D03F1F">
              <w:rPr>
                <w:rStyle w:val="eop"/>
                <w:rFonts w:cs="Calibri"/>
                <w:szCs w:val="22"/>
              </w:rPr>
              <w:t> </w:t>
            </w:r>
          </w:p>
          <w:p w14:paraId="5F60D158" w14:textId="77777777" w:rsidR="00A477FF" w:rsidRPr="00861838" w:rsidRDefault="00A477FF" w:rsidP="00517D97">
            <w:pPr>
              <w:rPr>
                <w:b/>
                <w:bCs/>
              </w:rPr>
            </w:pPr>
            <w:r w:rsidRPr="00861838">
              <w:rPr>
                <w:rStyle w:val="normaltextrun"/>
                <w:rFonts w:ascii="Calibri" w:hAnsi="Calibri"/>
                <w:b/>
                <w:bCs/>
              </w:rPr>
              <w:t>Preventing homelessness</w:t>
            </w:r>
            <w:r w:rsidRPr="00861838">
              <w:rPr>
                <w:rStyle w:val="eop"/>
                <w:b/>
                <w:bCs/>
              </w:rPr>
              <w:t> </w:t>
            </w:r>
          </w:p>
          <w:p w14:paraId="204C0280" w14:textId="26A86917" w:rsidR="00A477FF" w:rsidRPr="00D03F1F" w:rsidRDefault="00A477FF" w:rsidP="009230D5">
            <w:pPr>
              <w:pStyle w:val="paragraph"/>
              <w:numPr>
                <w:ilvl w:val="0"/>
                <w:numId w:val="16"/>
              </w:numPr>
              <w:spacing w:beforeAutospacing="0" w:after="0" w:afterAutospacing="0"/>
              <w:contextualSpacing/>
              <w:textAlignment w:val="baseline"/>
              <w:rPr>
                <w:rFonts w:cs="Calibri"/>
                <w:szCs w:val="22"/>
              </w:rPr>
            </w:pPr>
            <w:r w:rsidRPr="00D03F1F">
              <w:rPr>
                <w:rStyle w:val="normaltextrun"/>
                <w:rFonts w:ascii="Calibri" w:hAnsi="Calibri" w:cs="Calibri"/>
                <w:szCs w:val="22"/>
              </w:rPr>
              <w:t>Since 2017, </w:t>
            </w:r>
            <w:r w:rsidRPr="00B635FA">
              <w:rPr>
                <w:rStyle w:val="normaltextrun"/>
                <w:rFonts w:ascii="Calibri" w:hAnsi="Calibri" w:cs="Calibri"/>
                <w:i/>
                <w:iCs/>
                <w:szCs w:val="22"/>
              </w:rPr>
              <w:t>Best Starts for Kids’</w:t>
            </w:r>
            <w:r w:rsidRPr="00D03F1F">
              <w:rPr>
                <w:rStyle w:val="normaltextrun"/>
                <w:rFonts w:ascii="Calibri" w:hAnsi="Calibri" w:cs="Calibri"/>
                <w:szCs w:val="22"/>
              </w:rPr>
              <w:t xml:space="preserve"> Youth and Family Homelessness Prevention Initiative served over 10,200 youth and families at risk of losing their housing</w:t>
            </w:r>
            <w:r w:rsidR="00077E70">
              <w:rPr>
                <w:rStyle w:val="normaltextrun"/>
                <w:rFonts w:ascii="Calibri" w:hAnsi="Calibri" w:cs="Calibri"/>
                <w:szCs w:val="22"/>
              </w:rPr>
              <w:t xml:space="preserve">; </w:t>
            </w:r>
            <w:r w:rsidRPr="00D03F1F">
              <w:rPr>
                <w:rStyle w:val="normaltextrun"/>
                <w:rFonts w:ascii="Calibri" w:hAnsi="Calibri" w:cs="Calibri"/>
                <w:szCs w:val="22"/>
              </w:rPr>
              <w:t>96 percent of those</w:t>
            </w:r>
            <w:r w:rsidR="00236AD1">
              <w:rPr>
                <w:rStyle w:val="normaltextrun"/>
                <w:rFonts w:ascii="Calibri" w:hAnsi="Calibri" w:cs="Calibri"/>
                <w:szCs w:val="22"/>
              </w:rPr>
              <w:t xml:space="preserve"> </w:t>
            </w:r>
            <w:r w:rsidRPr="00D03F1F">
              <w:rPr>
                <w:rStyle w:val="normaltextrun"/>
                <w:rFonts w:ascii="Calibri" w:hAnsi="Calibri" w:cs="Calibri"/>
                <w:szCs w:val="22"/>
              </w:rPr>
              <w:t>completing the program remained housed one year after completing the program.</w:t>
            </w:r>
            <w:r w:rsidRPr="00D03F1F">
              <w:rPr>
                <w:rStyle w:val="eop"/>
                <w:rFonts w:cs="Calibri"/>
                <w:szCs w:val="22"/>
              </w:rPr>
              <w:t> </w:t>
            </w:r>
          </w:p>
          <w:p w14:paraId="1F08A0B3" w14:textId="77777777" w:rsidR="00A477FF" w:rsidRDefault="00A477FF" w:rsidP="00BA700A">
            <w:pPr>
              <w:pStyle w:val="paragraph"/>
              <w:keepNext/>
              <w:spacing w:beforeAutospacing="0" w:after="0" w:afterAutospacing="0"/>
              <w:contextualSpacing/>
              <w:textAlignment w:val="baseline"/>
              <w:rPr>
                <w:rStyle w:val="eop"/>
                <w:rFonts w:cs="Calibri"/>
                <w:szCs w:val="22"/>
              </w:rPr>
            </w:pPr>
          </w:p>
        </w:tc>
      </w:tr>
    </w:tbl>
    <w:p w14:paraId="476F45AC" w14:textId="77777777" w:rsidR="00BA700A" w:rsidRDefault="00BA700A" w:rsidP="00CD0F35">
      <w:pPr>
        <w:rPr>
          <w:iCs/>
        </w:rPr>
      </w:pPr>
      <w:bookmarkStart w:id="14" w:name="_Hlk74594768"/>
      <w:bookmarkStart w:id="15" w:name="_Hlk74684788"/>
    </w:p>
    <w:p w14:paraId="278FC9D5" w14:textId="580D4E06" w:rsidR="00536DD8" w:rsidRPr="00CD0F35" w:rsidRDefault="00727505" w:rsidP="00CD0F35">
      <w:pPr>
        <w:rPr>
          <w:rStyle w:val="eop"/>
        </w:rPr>
      </w:pPr>
      <w:r w:rsidRPr="003420B4">
        <w:rPr>
          <w:iCs/>
        </w:rPr>
        <w:t>The first</w:t>
      </w:r>
      <w:r>
        <w:rPr>
          <w:i/>
        </w:rPr>
        <w:t xml:space="preserve"> </w:t>
      </w:r>
      <w:r w:rsidR="00A477FF" w:rsidRPr="00354EFE">
        <w:rPr>
          <w:i/>
        </w:rPr>
        <w:t>Best Starts</w:t>
      </w:r>
      <w:r>
        <w:t xml:space="preserve"> levy </w:t>
      </w:r>
      <w:r w:rsidR="00A477FF" w:rsidRPr="00403FBA">
        <w:t>also promote</w:t>
      </w:r>
      <w:r>
        <w:t>d</w:t>
      </w:r>
      <w:r w:rsidR="00A477FF" w:rsidRPr="00403FBA">
        <w:t xml:space="preserve"> changes in policies and systems, shifting internal county processes, and supporting community ownership of data. These system and policy changes </w:t>
      </w:r>
      <w:r w:rsidR="0055216A">
        <w:t>impact</w:t>
      </w:r>
      <w:r>
        <w:t>ed</w:t>
      </w:r>
      <w:r w:rsidR="00A477FF" w:rsidRPr="00403FBA">
        <w:t xml:space="preserve"> long</w:t>
      </w:r>
      <w:r w:rsidR="00A477FF" w:rsidRPr="00403FBA" w:rsidDel="003915A3">
        <w:t xml:space="preserve"> </w:t>
      </w:r>
      <w:r w:rsidR="00A477FF" w:rsidRPr="00403FBA">
        <w:t xml:space="preserve">standing racial inequities in health outcomes, such as inequities in maternal and infant health and lack of quality, affordable childcare for working </w:t>
      </w:r>
      <w:r w:rsidR="00A03E1F" w:rsidRPr="00D03F1F">
        <w:t>families.</w:t>
      </w:r>
      <w:r w:rsidR="00A03E1F" w:rsidRPr="00D03F1F">
        <w:rPr>
          <w:rStyle w:val="FootnoteReference"/>
          <w:rFonts w:cs="Calibri"/>
        </w:rPr>
        <w:footnoteReference w:id="51"/>
      </w:r>
      <w:r w:rsidR="00A03E1F" w:rsidRPr="00D03F1F">
        <w:t xml:space="preserve"> </w:t>
      </w:r>
      <w:r w:rsidR="00A03E1F">
        <w:t>C</w:t>
      </w:r>
      <w:r w:rsidR="00A03E1F" w:rsidRPr="00D03F1F">
        <w:t>ommunities have benefited from new funding</w:t>
      </w:r>
      <w:r w:rsidR="00A03E1F">
        <w:t>,</w:t>
      </w:r>
      <w:r w:rsidR="00A03E1F" w:rsidRPr="00D03F1F">
        <w:t xml:space="preserve"> and </w:t>
      </w:r>
      <w:r w:rsidR="00A438FA">
        <w:t>have seen</w:t>
      </w:r>
      <w:r w:rsidR="00A438FA" w:rsidRPr="00D03F1F" w:rsidDel="003915A3">
        <w:t xml:space="preserve"> </w:t>
      </w:r>
      <w:r w:rsidR="00A03E1F" w:rsidRPr="00D03F1F">
        <w:t>greater efficiencies and ease in their</w:t>
      </w:r>
      <w:r w:rsidR="00374A66">
        <w:t xml:space="preserve"> </w:t>
      </w:r>
      <w:r w:rsidR="004E5F1E" w:rsidRPr="00403FBA">
        <w:t xml:space="preserve">experiences with the </w:t>
      </w:r>
      <w:r w:rsidR="001E7E05">
        <w:t>C</w:t>
      </w:r>
      <w:r w:rsidR="004E5F1E" w:rsidRPr="00403FBA">
        <w:t xml:space="preserve">ounty, though much work remains. Communities continue to confront systemic racism and other inequities the global pandemic has exacerbated. </w:t>
      </w:r>
      <w:bookmarkEnd w:id="14"/>
      <w:r w:rsidR="004E5F1E" w:rsidRPr="00354EFE">
        <w:rPr>
          <w:i/>
        </w:rPr>
        <w:t>Best Starts</w:t>
      </w:r>
      <w:r w:rsidR="004E5F1E" w:rsidRPr="00403FBA">
        <w:t xml:space="preserve"> </w:t>
      </w:r>
      <w:r w:rsidR="007D7E66">
        <w:t>continues to support</w:t>
      </w:r>
      <w:r w:rsidR="004E5F1E" w:rsidRPr="00403FBA" w:rsidDel="007D7E66">
        <w:t xml:space="preserve"> </w:t>
      </w:r>
      <w:r w:rsidR="004E5F1E" w:rsidRPr="00403FBA">
        <w:t>families amid these turbulent times, responding to their changing needs, and undergirding their strengths to achieve community-wide health and well-being</w:t>
      </w:r>
      <w:bookmarkEnd w:id="15"/>
      <w:r w:rsidR="004E5F1E" w:rsidRPr="00403FBA">
        <w:t>.</w:t>
      </w:r>
    </w:p>
    <w:p w14:paraId="1C4D6BFD" w14:textId="77777777" w:rsidR="0048273D" w:rsidRDefault="0048273D">
      <w:pPr>
        <w:spacing w:line="240" w:lineRule="auto"/>
        <w:rPr>
          <w:rFonts w:eastAsiaTheme="majorEastAsia" w:cstheme="majorBidi"/>
          <w:b/>
          <w:bCs/>
          <w:color w:val="2F5496" w:themeColor="accent1" w:themeShade="BF"/>
          <w:sz w:val="28"/>
          <w:szCs w:val="32"/>
        </w:rPr>
      </w:pPr>
      <w:r>
        <w:rPr>
          <w:b/>
          <w:bCs/>
        </w:rPr>
        <w:br w:type="page"/>
      </w:r>
    </w:p>
    <w:p w14:paraId="52A52589" w14:textId="1ACA4965" w:rsidR="00817C92" w:rsidRPr="0048273D" w:rsidRDefault="00905A78" w:rsidP="00354EFE">
      <w:pPr>
        <w:pStyle w:val="Heading1"/>
        <w:ind w:left="1080"/>
        <w:rPr>
          <w:b/>
        </w:rPr>
      </w:pPr>
      <w:bookmarkStart w:id="16" w:name="_Toc85188534"/>
      <w:r w:rsidRPr="0048273D">
        <w:rPr>
          <w:b/>
        </w:rPr>
        <w:lastRenderedPageBreak/>
        <w:t xml:space="preserve">III. </w:t>
      </w:r>
      <w:r w:rsidR="00193B13" w:rsidRPr="0048273D">
        <w:rPr>
          <w:b/>
        </w:rPr>
        <w:t xml:space="preserve">Implementation </w:t>
      </w:r>
      <w:r w:rsidR="00860FE5" w:rsidRPr="0048273D">
        <w:rPr>
          <w:b/>
        </w:rPr>
        <w:t xml:space="preserve">Plan Background </w:t>
      </w:r>
      <w:r w:rsidR="00CC3447">
        <w:rPr>
          <w:b/>
        </w:rPr>
        <w:t>and</w:t>
      </w:r>
      <w:r w:rsidR="00860FE5" w:rsidRPr="0048273D">
        <w:rPr>
          <w:b/>
        </w:rPr>
        <w:t xml:space="preserve"> Method</w:t>
      </w:r>
      <w:r w:rsidR="004E4C96" w:rsidRPr="0048273D">
        <w:rPr>
          <w:b/>
        </w:rPr>
        <w:t>ology</w:t>
      </w:r>
      <w:bookmarkEnd w:id="16"/>
      <w:r w:rsidR="004E4C96" w:rsidRPr="0048273D">
        <w:rPr>
          <w:b/>
        </w:rPr>
        <w:t xml:space="preserve"> </w:t>
      </w:r>
    </w:p>
    <w:p w14:paraId="5AE4762B" w14:textId="77777777" w:rsidR="00D7134D" w:rsidRDefault="00D7134D" w:rsidP="00D7134D">
      <w:pPr>
        <w:rPr>
          <w:rFonts w:cs="Calibri"/>
        </w:rPr>
      </w:pPr>
    </w:p>
    <w:p w14:paraId="5B769BB0" w14:textId="654D6B0C" w:rsidR="00D7134D" w:rsidRDefault="00D7134D" w:rsidP="00E4142D">
      <w:pPr>
        <w:rPr>
          <w:rFonts w:cs="Calibri"/>
        </w:rPr>
      </w:pPr>
      <w:r w:rsidRPr="00D7134D">
        <w:rPr>
          <w:rFonts w:cs="Calibri"/>
        </w:rPr>
        <w:t>This implementation Plan provides an overview of</w:t>
      </w:r>
      <w:r w:rsidR="00D203EA">
        <w:rPr>
          <w:rFonts w:cs="Calibri"/>
        </w:rPr>
        <w:t xml:space="preserve"> the</w:t>
      </w:r>
      <w:r w:rsidRPr="00D7134D">
        <w:rPr>
          <w:rFonts w:cs="Calibri"/>
        </w:rPr>
        <w:t xml:space="preserve"> </w:t>
      </w:r>
      <w:r w:rsidR="00C07C3B">
        <w:rPr>
          <w:rFonts w:cs="Calibri"/>
          <w:i/>
          <w:iCs/>
        </w:rPr>
        <w:t xml:space="preserve">Best Starts for Kids </w:t>
      </w:r>
      <w:r w:rsidR="00C07C3B" w:rsidRPr="00D203EA">
        <w:rPr>
          <w:rFonts w:cs="Calibri"/>
        </w:rPr>
        <w:t>2022-2027 levy</w:t>
      </w:r>
      <w:r w:rsidRPr="00D203EA">
        <w:rPr>
          <w:rFonts w:cs="Calibri"/>
        </w:rPr>
        <w:t xml:space="preserve">, </w:t>
      </w:r>
      <w:r w:rsidR="00906875" w:rsidRPr="00D203EA">
        <w:rPr>
          <w:rFonts w:cs="Calibri"/>
        </w:rPr>
        <w:t>describes</w:t>
      </w:r>
      <w:r w:rsidR="00906875">
        <w:rPr>
          <w:rFonts w:cs="Calibri"/>
        </w:rPr>
        <w:t xml:space="preserve"> overall spending plans</w:t>
      </w:r>
      <w:r w:rsidR="00C65824">
        <w:rPr>
          <w:rFonts w:cs="Calibri"/>
        </w:rPr>
        <w:t>,</w:t>
      </w:r>
      <w:r w:rsidRPr="00D7134D">
        <w:rPr>
          <w:rFonts w:cs="Calibri"/>
        </w:rPr>
        <w:t xml:space="preserve"> and </w:t>
      </w:r>
      <w:r w:rsidR="005775AB">
        <w:rPr>
          <w:rFonts w:cs="Calibri"/>
        </w:rPr>
        <w:t xml:space="preserve">provides detail on the strategies for </w:t>
      </w:r>
      <w:r w:rsidRPr="00D7134D">
        <w:rPr>
          <w:rFonts w:cs="Calibri"/>
        </w:rPr>
        <w:t xml:space="preserve">the renewal and expansion of </w:t>
      </w:r>
      <w:r w:rsidRPr="00B635FA">
        <w:rPr>
          <w:rFonts w:cs="Calibri"/>
          <w:i/>
          <w:iCs/>
        </w:rPr>
        <w:t>Best Starts</w:t>
      </w:r>
      <w:r w:rsidR="0039008D">
        <w:rPr>
          <w:rFonts w:cs="Calibri"/>
          <w:i/>
          <w:iCs/>
        </w:rPr>
        <w:t xml:space="preserve"> </w:t>
      </w:r>
      <w:r w:rsidR="0039008D" w:rsidRPr="0027360E">
        <w:rPr>
          <w:rFonts w:cs="Calibri"/>
        </w:rPr>
        <w:t>for 2022-2027</w:t>
      </w:r>
      <w:r w:rsidRPr="00D7134D">
        <w:rPr>
          <w:rFonts w:cs="Calibri"/>
        </w:rPr>
        <w:t>.</w:t>
      </w:r>
    </w:p>
    <w:p w14:paraId="7904AB68" w14:textId="77777777" w:rsidR="00E4142D" w:rsidRPr="00E4142D" w:rsidRDefault="00E4142D" w:rsidP="00E4142D">
      <w:pPr>
        <w:rPr>
          <w:rFonts w:cs="Calibri"/>
        </w:rPr>
      </w:pPr>
    </w:p>
    <w:p w14:paraId="41CFC04A" w14:textId="0D72679D" w:rsidR="00BD1FB1" w:rsidRPr="001316CB" w:rsidRDefault="00BD1FB1" w:rsidP="00025030">
      <w:pPr>
        <w:pStyle w:val="Heading2"/>
        <w:numPr>
          <w:ilvl w:val="0"/>
          <w:numId w:val="26"/>
        </w:numPr>
        <w:rPr>
          <w:rFonts w:eastAsia="Calibri Light" w:cs="Calibri"/>
          <w:color w:val="000000" w:themeColor="text1"/>
        </w:rPr>
      </w:pPr>
      <w:bookmarkStart w:id="17" w:name="_Toc85188535"/>
      <w:r w:rsidRPr="001316CB">
        <w:t>Department Overview</w:t>
      </w:r>
      <w:bookmarkEnd w:id="17"/>
      <w:r w:rsidRPr="001316CB">
        <w:t xml:space="preserve"> </w:t>
      </w:r>
    </w:p>
    <w:p w14:paraId="48B3ED47" w14:textId="77777777" w:rsidR="00C716A3" w:rsidRDefault="00C716A3" w:rsidP="00B12385">
      <w:pPr>
        <w:contextualSpacing/>
      </w:pPr>
      <w:bookmarkStart w:id="18" w:name="_Hlk74684824"/>
    </w:p>
    <w:p w14:paraId="72416B45" w14:textId="293B98F9" w:rsidR="00B12385" w:rsidRPr="00223AA3" w:rsidRDefault="00BD1FB1" w:rsidP="00B12385">
      <w:pPr>
        <w:contextualSpacing/>
      </w:pPr>
      <w:r w:rsidRPr="552321F1">
        <w:t>The King County departments of Community and Human Services (DCHS) and Public Health–Seattle and King County (PHSKC) share an important vision</w:t>
      </w:r>
      <w:r w:rsidR="00B12385">
        <w:t xml:space="preserve"> </w:t>
      </w:r>
      <w:r w:rsidR="00CC3447">
        <w:t>grounded in the King County Strategic Plan:</w:t>
      </w:r>
      <w:r w:rsidR="00CC3447" w:rsidRPr="00CC3447">
        <w:rPr>
          <w:rStyle w:val="FootnoteReference"/>
          <w:rFonts w:eastAsiaTheme="majorEastAsia" w:cs="Calibri"/>
        </w:rPr>
        <w:t xml:space="preserve"> </w:t>
      </w:r>
      <w:r w:rsidR="00CC3447" w:rsidRPr="00D03F1F">
        <w:rPr>
          <w:rStyle w:val="FootnoteReference"/>
          <w:rFonts w:eastAsiaTheme="majorEastAsia" w:cs="Calibri"/>
        </w:rPr>
        <w:footnoteReference w:id="52"/>
      </w:r>
      <w:r w:rsidR="00CC3447">
        <w:t xml:space="preserve"> that </w:t>
      </w:r>
      <w:r w:rsidR="00B12385">
        <w:t xml:space="preserve">all King County residents achieve optimal health and well-being and </w:t>
      </w:r>
      <w:r w:rsidR="00CC3447">
        <w:t>that communities thrive</w:t>
      </w:r>
      <w:r w:rsidR="00B12385">
        <w:t xml:space="preserve">. </w:t>
      </w:r>
      <w:r w:rsidR="00B12385">
        <w:rPr>
          <w:i/>
          <w:iCs/>
        </w:rPr>
        <w:t xml:space="preserve">Best Starts </w:t>
      </w:r>
      <w:r w:rsidR="00B12385" w:rsidRPr="00EA1BAA">
        <w:t>supports equitable and comprehensive early development supports and needed supports throughout childhood to assure that all children and families can thrive and prosper. Through</w:t>
      </w:r>
      <w:r w:rsidR="00B12385" w:rsidRPr="552321F1">
        <w:t xml:space="preserve"> </w:t>
      </w:r>
      <w:r w:rsidR="00B12385" w:rsidRPr="00FB155B">
        <w:rPr>
          <w:i/>
        </w:rPr>
        <w:t>Best Starts</w:t>
      </w:r>
      <w:r w:rsidR="00B12385" w:rsidRPr="000F7CBA">
        <w:rPr>
          <w:i/>
        </w:rPr>
        <w:t xml:space="preserve"> for Kids</w:t>
      </w:r>
      <w:r w:rsidR="00B12385" w:rsidRPr="552321F1">
        <w:t xml:space="preserve">, </w:t>
      </w:r>
      <w:r w:rsidR="00B12385">
        <w:t xml:space="preserve">DCHS and PHSKC jointly administer </w:t>
      </w:r>
      <w:r w:rsidR="00B12385" w:rsidRPr="00354EFE">
        <w:rPr>
          <w:i/>
        </w:rPr>
        <w:t>Best Starts</w:t>
      </w:r>
      <w:r w:rsidR="00B12385" w:rsidRPr="552321F1">
        <w:t xml:space="preserve"> to realize this visio</w:t>
      </w:r>
      <w:r w:rsidR="00B12385">
        <w:t>n</w:t>
      </w:r>
      <w:r w:rsidR="00B12385" w:rsidRPr="552321F1">
        <w:t>.</w:t>
      </w:r>
    </w:p>
    <w:bookmarkEnd w:id="18"/>
    <w:p w14:paraId="4B44B2CE" w14:textId="77777777" w:rsidR="00BD1FB1" w:rsidRPr="00A10611" w:rsidRDefault="00BD1FB1" w:rsidP="00BD1FB1">
      <w:pPr>
        <w:contextualSpacing/>
        <w:rPr>
          <w:rFonts w:eastAsia="Calibri Light" w:cs="Calibri"/>
          <w:i/>
          <w:iCs/>
        </w:rPr>
      </w:pPr>
    </w:p>
    <w:p w14:paraId="258C5D5B" w14:textId="1A0D9C10" w:rsidR="00BD1FB1" w:rsidRPr="00A10611" w:rsidRDefault="00BD1FB1" w:rsidP="00BD1FB1">
      <w:pPr>
        <w:rPr>
          <w:b/>
          <w:bCs/>
        </w:rPr>
      </w:pPr>
      <w:r w:rsidRPr="00A10611">
        <w:rPr>
          <w:b/>
          <w:bCs/>
        </w:rPr>
        <w:t xml:space="preserve">Department of Community and Human Services </w:t>
      </w:r>
    </w:p>
    <w:p w14:paraId="60736178" w14:textId="6E724C0B" w:rsidR="00BD1FB1" w:rsidRPr="006E725C" w:rsidRDefault="00703EFD" w:rsidP="00BD1FB1">
      <w:pPr>
        <w:contextualSpacing/>
        <w:rPr>
          <w:vertAlign w:val="superscript"/>
        </w:rPr>
      </w:pPr>
      <w:r>
        <w:t xml:space="preserve">The </w:t>
      </w:r>
      <w:r w:rsidR="00BD1FB1" w:rsidRPr="552321F1">
        <w:t>D</w:t>
      </w:r>
      <w:r w:rsidR="00BD1FB1">
        <w:t>epartment of Community and Human Services (</w:t>
      </w:r>
      <w:r w:rsidR="00BD1FB1" w:rsidRPr="552321F1">
        <w:t>DCHS</w:t>
      </w:r>
      <w:r w:rsidR="00BD1FB1">
        <w:t>)</w:t>
      </w:r>
      <w:r w:rsidR="00BD1FB1" w:rsidRPr="552321F1">
        <w:t xml:space="preserve"> manages a broad range of programs and services to help the County’s most vulnerable residents and to strengthen its communities. The mission of DCHS is to provide equitable opportunities for people to be healthy, happy, and connected to community. DCHS administers housing and homelessness investments, behavioral health treatment, and human services. </w:t>
      </w:r>
    </w:p>
    <w:p w14:paraId="5E2BE7FE" w14:textId="77777777" w:rsidR="00906875" w:rsidRDefault="00906875" w:rsidP="00BD1FB1">
      <w:pPr>
        <w:rPr>
          <w:b/>
          <w:bCs/>
          <w:i/>
          <w:iCs/>
        </w:rPr>
      </w:pPr>
    </w:p>
    <w:p w14:paraId="456F1295" w14:textId="77777777" w:rsidR="00BD1FB1" w:rsidRPr="00A10611" w:rsidRDefault="00BD1FB1" w:rsidP="00BD1FB1">
      <w:pPr>
        <w:rPr>
          <w:b/>
          <w:bCs/>
        </w:rPr>
      </w:pPr>
      <w:r w:rsidRPr="00A10611">
        <w:rPr>
          <w:b/>
          <w:bCs/>
        </w:rPr>
        <w:t>Public Health–Seattle and King County</w:t>
      </w:r>
    </w:p>
    <w:p w14:paraId="5128BDBD" w14:textId="204646B3" w:rsidR="00BD1FB1" w:rsidRPr="00D03F1F" w:rsidRDefault="00BD1FB1" w:rsidP="00BD1FB1">
      <w:pPr>
        <w:contextualSpacing/>
        <w:rPr>
          <w:rFonts w:eastAsia="Calibri Light" w:cs="Calibri"/>
        </w:rPr>
      </w:pPr>
      <w:r w:rsidRPr="00D03F1F">
        <w:rPr>
          <w:rFonts w:eastAsia="Calibri Light" w:cs="Calibri"/>
        </w:rPr>
        <w:t>P</w:t>
      </w:r>
      <w:r>
        <w:rPr>
          <w:rFonts w:eastAsia="Calibri Light" w:cs="Calibri"/>
        </w:rPr>
        <w:t xml:space="preserve">ublic Health-Seattle and King County (PHSKC) </w:t>
      </w:r>
      <w:r w:rsidRPr="00D03F1F">
        <w:rPr>
          <w:rFonts w:eastAsia="Calibri Light" w:cs="Calibri"/>
        </w:rPr>
        <w:t xml:space="preserve">is the health department serving all of King County. The mission of PHSKC is to eliminate health inequities and maximize opportunities for every person to achieve optimal health. Overarching goals include: all children are born healthy and thrive; adults live long and healthy lives; and communities support health for all. </w:t>
      </w:r>
    </w:p>
    <w:p w14:paraId="2303CCCF" w14:textId="77777777" w:rsidR="00BD1FB1" w:rsidRPr="00D03F1F" w:rsidRDefault="00BD1FB1" w:rsidP="00BD1FB1">
      <w:pPr>
        <w:contextualSpacing/>
        <w:rPr>
          <w:rFonts w:eastAsia="Calibri Light" w:cs="Calibri"/>
        </w:rPr>
      </w:pPr>
    </w:p>
    <w:p w14:paraId="63D4F02C" w14:textId="599392C5" w:rsidR="00BD1FB1" w:rsidRPr="00A10611" w:rsidRDefault="00BD1FB1" w:rsidP="00BD1FB1">
      <w:pPr>
        <w:rPr>
          <w:b/>
          <w:iCs/>
        </w:rPr>
      </w:pPr>
      <w:r w:rsidRPr="00A10611">
        <w:rPr>
          <w:b/>
          <w:iCs/>
        </w:rPr>
        <w:t>DCHS and PHSKC Partnership to Lead Best Starts</w:t>
      </w:r>
    </w:p>
    <w:p w14:paraId="5AC6AFB3" w14:textId="0B384D41" w:rsidR="00BD1FB1" w:rsidRPr="004804AF" w:rsidRDefault="00BD1FB1" w:rsidP="009F7E96">
      <w:pPr>
        <w:rPr>
          <w:rFonts w:eastAsia="Calibri Light" w:cs="Calibri"/>
        </w:rPr>
      </w:pPr>
      <w:r w:rsidRPr="002C478E">
        <w:rPr>
          <w:rFonts w:eastAsia="Calibri Light" w:cs="Calibri"/>
        </w:rPr>
        <w:t xml:space="preserve">DCHS and PHSKC jointly administer </w:t>
      </w:r>
      <w:r w:rsidRPr="002C478E">
        <w:rPr>
          <w:rFonts w:eastAsia="Calibri Light" w:cs="Calibri"/>
          <w:i/>
        </w:rPr>
        <w:t>Best Starts</w:t>
      </w:r>
      <w:r w:rsidRPr="002C478E">
        <w:rPr>
          <w:rFonts w:eastAsia="Calibri Light" w:cs="Calibri"/>
        </w:rPr>
        <w:t xml:space="preserve"> through a c</w:t>
      </w:r>
      <w:r w:rsidRPr="004804AF">
        <w:rPr>
          <w:rFonts w:eastAsia="Calibri Light" w:cs="Calibri"/>
        </w:rPr>
        <w:t xml:space="preserve">ross-departmental approach. This joint approach allows for stronger alignment and the ability to </w:t>
      </w:r>
      <w:r w:rsidR="00E004F9" w:rsidRPr="004804AF">
        <w:rPr>
          <w:rFonts w:eastAsia="Calibri Light" w:cs="Calibri"/>
        </w:rPr>
        <w:t>blend</w:t>
      </w:r>
      <w:r w:rsidRPr="004804AF">
        <w:rPr>
          <w:rFonts w:eastAsia="Calibri Light" w:cs="Calibri"/>
        </w:rPr>
        <w:t xml:space="preserve"> DCHS’ </w:t>
      </w:r>
      <w:r w:rsidR="00E004F9" w:rsidRPr="004804AF">
        <w:rPr>
          <w:rFonts w:eastAsia="Calibri Light" w:cs="Calibri"/>
        </w:rPr>
        <w:t>human services approach with</w:t>
      </w:r>
      <w:r w:rsidRPr="004804AF">
        <w:rPr>
          <w:rFonts w:eastAsia="Calibri Light" w:cs="Calibri"/>
        </w:rPr>
        <w:t xml:space="preserve"> PHSKC’s </w:t>
      </w:r>
      <w:r w:rsidR="00B12385">
        <w:rPr>
          <w:rFonts w:eastAsia="Calibri Light" w:cs="Calibri"/>
        </w:rPr>
        <w:t>health strategies</w:t>
      </w:r>
      <w:r w:rsidR="00287197">
        <w:rPr>
          <w:rFonts w:eastAsia="Calibri Light" w:cs="Calibri"/>
        </w:rPr>
        <w:t xml:space="preserve"> </w:t>
      </w:r>
      <w:r w:rsidR="00325B81" w:rsidRPr="004804AF">
        <w:rPr>
          <w:rFonts w:eastAsia="Calibri Light" w:cs="Calibri"/>
        </w:rPr>
        <w:t xml:space="preserve">and </w:t>
      </w:r>
      <w:r w:rsidR="00BE2E3F" w:rsidRPr="004804AF">
        <w:rPr>
          <w:rFonts w:eastAsia="Calibri Light" w:cs="Calibri"/>
        </w:rPr>
        <w:t>leverages</w:t>
      </w:r>
      <w:r w:rsidRPr="004804AF">
        <w:rPr>
          <w:rFonts w:eastAsia="Calibri Light" w:cs="Calibri"/>
        </w:rPr>
        <w:t xml:space="preserve"> existing expertise and infrastructure in each department</w:t>
      </w:r>
      <w:r w:rsidR="00325B81" w:rsidRPr="004804AF">
        <w:rPr>
          <w:rFonts w:eastAsia="Calibri Light" w:cs="Calibri"/>
        </w:rPr>
        <w:t xml:space="preserve">. </w:t>
      </w:r>
      <w:r w:rsidR="00B12385">
        <w:rPr>
          <w:rFonts w:eastAsia="Calibri Light" w:cs="Calibri"/>
        </w:rPr>
        <w:t xml:space="preserve">Working together, DCHS and </w:t>
      </w:r>
      <w:r w:rsidR="00BD405A">
        <w:rPr>
          <w:rFonts w:eastAsia="Calibri Light" w:cs="Calibri"/>
        </w:rPr>
        <w:t xml:space="preserve">PHSKC, </w:t>
      </w:r>
      <w:r w:rsidR="00BD405A" w:rsidRPr="004804AF">
        <w:rPr>
          <w:rFonts w:eastAsia="Calibri Light" w:cs="Calibri"/>
        </w:rPr>
        <w:t>strives</w:t>
      </w:r>
      <w:r w:rsidR="002976FA" w:rsidRPr="004804AF">
        <w:rPr>
          <w:rFonts w:eastAsia="Calibri Light" w:cs="Calibri"/>
        </w:rPr>
        <w:t xml:space="preserve"> to</w:t>
      </w:r>
      <w:r w:rsidR="002E589B" w:rsidRPr="004804AF">
        <w:rPr>
          <w:rFonts w:eastAsia="Calibri Light" w:cs="Calibri"/>
        </w:rPr>
        <w:t xml:space="preserve"> create a more consistent experience for community-based partners</w:t>
      </w:r>
      <w:r w:rsidR="004F33F3" w:rsidRPr="004804AF">
        <w:rPr>
          <w:rFonts w:eastAsia="Calibri Light" w:cs="Calibri"/>
        </w:rPr>
        <w:t xml:space="preserve"> </w:t>
      </w:r>
      <w:r w:rsidRPr="004804AF">
        <w:rPr>
          <w:rFonts w:eastAsia="Calibri Light" w:cs="Calibri"/>
        </w:rPr>
        <w:t>in processes such as contracting, financial reporting, and contract support site visits</w:t>
      </w:r>
      <w:r w:rsidR="004F33F3" w:rsidRPr="004804AF">
        <w:rPr>
          <w:rFonts w:eastAsia="Calibri Light" w:cs="Calibri"/>
        </w:rPr>
        <w:t>.</w:t>
      </w:r>
    </w:p>
    <w:p w14:paraId="4807A966" w14:textId="13310A6D" w:rsidR="007D58D6" w:rsidRPr="006B236C" w:rsidRDefault="000B531D" w:rsidP="00DC07CA">
      <w:pPr>
        <w:spacing w:line="240" w:lineRule="auto"/>
      </w:pPr>
      <w:r>
        <w:br w:type="page"/>
      </w:r>
    </w:p>
    <w:p w14:paraId="26DBB436" w14:textId="6B842943" w:rsidR="009241D9" w:rsidRPr="00BF4B29" w:rsidRDefault="009241D9" w:rsidP="00025030">
      <w:pPr>
        <w:pStyle w:val="Heading2"/>
        <w:numPr>
          <w:ilvl w:val="0"/>
          <w:numId w:val="26"/>
        </w:numPr>
      </w:pPr>
      <w:bookmarkStart w:id="19" w:name="_Toc85188536"/>
      <w:bookmarkStart w:id="20" w:name="_Hlk74686110"/>
      <w:r w:rsidRPr="00BF4B29">
        <w:lastRenderedPageBreak/>
        <w:t>Foundational Policies and Plans</w:t>
      </w:r>
      <w:bookmarkEnd w:id="19"/>
    </w:p>
    <w:p w14:paraId="4EB58364" w14:textId="77777777" w:rsidR="00C716A3" w:rsidRDefault="00C716A3" w:rsidP="00B36D87">
      <w:pPr>
        <w:contextualSpacing/>
        <w:rPr>
          <w:rFonts w:cs="Calibri"/>
        </w:rPr>
      </w:pPr>
    </w:p>
    <w:p w14:paraId="26006FD3" w14:textId="1BCD7ACD" w:rsidR="00B36D87" w:rsidRPr="00D03F1F" w:rsidRDefault="002A7D4D" w:rsidP="00B36D87">
      <w:pPr>
        <w:contextualSpacing/>
        <w:rPr>
          <w:rFonts w:eastAsiaTheme="majorEastAsia" w:cs="Calibri"/>
        </w:rPr>
      </w:pPr>
      <w:r w:rsidRPr="00D03F1F">
        <w:rPr>
          <w:rFonts w:cs="Calibri"/>
        </w:rPr>
        <w:t xml:space="preserve">King County is committed to making a welcoming community where every person can thrive. </w:t>
      </w:r>
      <w:r w:rsidR="00FB155B" w:rsidRPr="00D03F1F">
        <w:rPr>
          <w:rFonts w:cs="Calibri"/>
          <w:i/>
        </w:rPr>
        <w:t>Best Start</w:t>
      </w:r>
      <w:r w:rsidR="00FB155B" w:rsidRPr="00CE781D">
        <w:rPr>
          <w:rFonts w:cs="Calibri"/>
          <w:i/>
        </w:rPr>
        <w:t>s</w:t>
      </w:r>
      <w:r w:rsidRPr="00CE781D">
        <w:rPr>
          <w:rFonts w:cs="Calibri"/>
          <w:i/>
        </w:rPr>
        <w:t xml:space="preserve"> </w:t>
      </w:r>
      <w:r w:rsidR="00CE781D" w:rsidRPr="00CE781D">
        <w:rPr>
          <w:rFonts w:cs="Calibri"/>
          <w:i/>
        </w:rPr>
        <w:t xml:space="preserve">for Kids </w:t>
      </w:r>
      <w:r w:rsidR="00B554A6">
        <w:rPr>
          <w:rFonts w:cs="Calibri"/>
        </w:rPr>
        <w:t>carries out</w:t>
      </w:r>
      <w:r w:rsidR="00B554A6" w:rsidRPr="00D03F1F">
        <w:rPr>
          <w:rFonts w:cs="Calibri"/>
        </w:rPr>
        <w:t xml:space="preserve"> </w:t>
      </w:r>
      <w:r w:rsidRPr="00D03F1F">
        <w:rPr>
          <w:rFonts w:cs="Calibri"/>
        </w:rPr>
        <w:t xml:space="preserve">this commitment </w:t>
      </w:r>
      <w:r w:rsidR="00B554A6">
        <w:rPr>
          <w:rFonts w:cs="Calibri"/>
        </w:rPr>
        <w:t>through</w:t>
      </w:r>
      <w:r w:rsidRPr="00D03F1F">
        <w:rPr>
          <w:rFonts w:cs="Calibri"/>
        </w:rPr>
        <w:t xml:space="preserve"> its framework and </w:t>
      </w:r>
      <w:r w:rsidR="00B353DA" w:rsidRPr="00D03F1F">
        <w:rPr>
          <w:rFonts w:cs="Calibri"/>
        </w:rPr>
        <w:t>strategies</w:t>
      </w:r>
      <w:r w:rsidRPr="00D03F1F">
        <w:rPr>
          <w:rFonts w:cs="Calibri"/>
        </w:rPr>
        <w:t xml:space="preserve"> </w:t>
      </w:r>
      <w:r w:rsidR="007F530B">
        <w:rPr>
          <w:rFonts w:cs="Calibri"/>
        </w:rPr>
        <w:t xml:space="preserve">that are </w:t>
      </w:r>
      <w:r w:rsidR="00A6640A">
        <w:rPr>
          <w:rFonts w:cs="Calibri"/>
        </w:rPr>
        <w:t xml:space="preserve">based on </w:t>
      </w:r>
      <w:r w:rsidR="007F530B">
        <w:rPr>
          <w:rFonts w:cs="Calibri"/>
        </w:rPr>
        <w:t>foundational</w:t>
      </w:r>
      <w:r w:rsidRPr="00D03F1F">
        <w:rPr>
          <w:rFonts w:cs="Calibri"/>
        </w:rPr>
        <w:t xml:space="preserve"> King County policies, plans, and initiatives</w:t>
      </w:r>
      <w:r w:rsidR="00656C1B">
        <w:rPr>
          <w:rFonts w:cs="Calibri"/>
        </w:rPr>
        <w:t>.</w:t>
      </w:r>
      <w:r w:rsidR="00B36D87">
        <w:rPr>
          <w:rFonts w:eastAsiaTheme="majorEastAsia" w:cs="Calibri"/>
        </w:rPr>
        <w:t xml:space="preserve"> The</w:t>
      </w:r>
      <w:r w:rsidR="00B36D87" w:rsidRPr="00D03F1F">
        <w:rPr>
          <w:rFonts w:eastAsiaTheme="majorEastAsia" w:cs="Calibri"/>
        </w:rPr>
        <w:t xml:space="preserve"> </w:t>
      </w:r>
      <w:r w:rsidR="00B36D87" w:rsidRPr="00D03F1F">
        <w:rPr>
          <w:rFonts w:eastAsiaTheme="majorEastAsia" w:cs="Calibri"/>
          <w:i/>
        </w:rPr>
        <w:t xml:space="preserve">Best Starts </w:t>
      </w:r>
      <w:r w:rsidR="00B36D87" w:rsidRPr="00D03F1F">
        <w:rPr>
          <w:rFonts w:eastAsiaTheme="majorEastAsia" w:cs="Calibri"/>
        </w:rPr>
        <w:t>levy aligns and builds upon the King County Strategic Plan,</w:t>
      </w:r>
      <w:r w:rsidR="00AD734E" w:rsidRPr="00D03F1F">
        <w:rPr>
          <w:rStyle w:val="FootnoteReference"/>
          <w:rFonts w:eastAsiaTheme="majorEastAsia" w:cs="Calibri"/>
        </w:rPr>
        <w:footnoteReference w:id="53"/>
      </w:r>
      <w:r w:rsidR="00B36D87" w:rsidRPr="00D03F1F">
        <w:rPr>
          <w:rFonts w:eastAsiaTheme="majorEastAsia" w:cs="Calibri"/>
        </w:rPr>
        <w:t xml:space="preserve"> the Health &amp; Human Services Transformation Plan,</w:t>
      </w:r>
      <w:r w:rsidR="00AD734E" w:rsidRPr="00D03F1F">
        <w:rPr>
          <w:rStyle w:val="FootnoteReference"/>
          <w:rFonts w:eastAsiaTheme="majorEastAsia" w:cs="Calibri"/>
        </w:rPr>
        <w:footnoteReference w:id="54"/>
      </w:r>
      <w:r w:rsidR="00AD734E">
        <w:rPr>
          <w:vertAlign w:val="superscript"/>
        </w:rPr>
        <w:t xml:space="preserve"> </w:t>
      </w:r>
      <w:r w:rsidR="00B36D87" w:rsidRPr="00D03F1F">
        <w:rPr>
          <w:rFonts w:eastAsiaTheme="majorEastAsia" w:cs="Calibri"/>
        </w:rPr>
        <w:t xml:space="preserve"> the Youth Action Plan,</w:t>
      </w:r>
      <w:r w:rsidR="00AD734E" w:rsidRPr="00D03F1F">
        <w:rPr>
          <w:rStyle w:val="FootnoteReference"/>
          <w:rFonts w:eastAsiaTheme="majorEastAsia" w:cs="Calibri"/>
        </w:rPr>
        <w:footnoteReference w:id="55"/>
      </w:r>
      <w:r w:rsidR="00B36D87" w:rsidRPr="00D03F1F">
        <w:rPr>
          <w:rFonts w:eastAsiaTheme="majorEastAsia" w:cs="Calibri"/>
        </w:rPr>
        <w:t>and the King County Equity and Social Justice Strategic Plan.</w:t>
      </w:r>
      <w:r w:rsidR="00AD734E" w:rsidRPr="00D03F1F">
        <w:rPr>
          <w:rStyle w:val="FootnoteReference"/>
          <w:rFonts w:eastAsiaTheme="majorEastAsia" w:cs="Calibri"/>
        </w:rPr>
        <w:footnoteReference w:id="56"/>
      </w:r>
      <w:bookmarkEnd w:id="20"/>
    </w:p>
    <w:p w14:paraId="1FA627EF" w14:textId="77777777" w:rsidR="002727AF" w:rsidRDefault="002727AF" w:rsidP="003420B4">
      <w:pPr>
        <w:textAlignment w:val="baseline"/>
        <w:rPr>
          <w:rFonts w:eastAsia="Times New Roman" w:cs="Segoe UI"/>
          <w:b/>
          <w:bCs/>
          <w:i/>
          <w:iCs/>
        </w:rPr>
      </w:pPr>
    </w:p>
    <w:p w14:paraId="207CDD03" w14:textId="3B3948AF" w:rsidR="002727AF" w:rsidRPr="00A10611" w:rsidRDefault="002727AF" w:rsidP="003420B4">
      <w:pPr>
        <w:textAlignment w:val="baseline"/>
        <w:rPr>
          <w:rFonts w:ascii="Segoe UI" w:eastAsia="Times New Roman" w:hAnsi="Segoe UI" w:cs="Segoe UI"/>
          <w:sz w:val="18"/>
          <w:szCs w:val="18"/>
        </w:rPr>
      </w:pPr>
      <w:r w:rsidRPr="00A10611">
        <w:rPr>
          <w:rFonts w:eastAsia="Times New Roman" w:cs="Segoe UI"/>
          <w:b/>
          <w:bCs/>
        </w:rPr>
        <w:t>King County Strategic Plan </w:t>
      </w:r>
      <w:r w:rsidRPr="00A10611">
        <w:rPr>
          <w:rFonts w:eastAsia="Times New Roman" w:cs="Segoe UI"/>
        </w:rPr>
        <w:t> </w:t>
      </w:r>
    </w:p>
    <w:p w14:paraId="567A0C59" w14:textId="537D60C1" w:rsidR="00753645" w:rsidRDefault="001F2F15" w:rsidP="003420B4">
      <w:pPr>
        <w:textAlignment w:val="baseline"/>
        <w:rPr>
          <w:rFonts w:eastAsia="Times New Roman" w:cs="Segoe UI"/>
          <w:i/>
          <w:iCs/>
        </w:rPr>
      </w:pPr>
      <w:r>
        <w:t>In 2010, the County enacted Ordinance 16897, establishing the King County Strategic Plan.</w:t>
      </w:r>
      <w:r w:rsidR="00C22EE4">
        <w:rPr>
          <w:rStyle w:val="FootnoteReference"/>
        </w:rPr>
        <w:footnoteReference w:id="57"/>
      </w:r>
      <w:r>
        <w:t xml:space="preserve"> In 2015, Motion 14317 revised the County’s vision, mission, guiding principles and goals.</w:t>
      </w:r>
      <w:r w:rsidR="005D1947">
        <w:rPr>
          <w:rStyle w:val="FootnoteReference"/>
        </w:rPr>
        <w:footnoteReference w:id="58"/>
      </w:r>
      <w:r>
        <w:t xml:space="preserve"> Among the </w:t>
      </w:r>
      <w:r w:rsidR="00A3641E">
        <w:t xml:space="preserve">Strategic Plan’s </w:t>
      </w:r>
      <w:r>
        <w:t>guiding principles is a commitment to “address the root causes of inequities,” and goals include “improv[ing] the health and well-being of all people in our community,” “implementing alternatives to divert people from the criminal justice system,” “increasing access to family wage job opportunities,” and ensuring that government is “accountable to the public.”</w:t>
      </w:r>
      <w:r w:rsidR="00753645">
        <w:t xml:space="preserve"> </w:t>
      </w:r>
      <w:r w:rsidR="002727AF" w:rsidRPr="002727AF">
        <w:rPr>
          <w:rFonts w:eastAsia="Times New Roman" w:cs="Segoe UI"/>
        </w:rPr>
        <w:t>The Strategic Plan inform</w:t>
      </w:r>
      <w:r w:rsidR="00C1212D">
        <w:rPr>
          <w:rFonts w:eastAsia="Times New Roman" w:cs="Segoe UI"/>
        </w:rPr>
        <w:t>ed</w:t>
      </w:r>
      <w:r w:rsidR="002727AF" w:rsidRPr="002727AF">
        <w:rPr>
          <w:rFonts w:eastAsia="Times New Roman" w:cs="Segoe UI"/>
        </w:rPr>
        <w:t xml:space="preserve"> the </w:t>
      </w:r>
      <w:r w:rsidR="00053862">
        <w:rPr>
          <w:rFonts w:eastAsia="Times New Roman" w:cs="Segoe UI"/>
        </w:rPr>
        <w:t xml:space="preserve">original </w:t>
      </w:r>
      <w:r w:rsidR="002727AF" w:rsidRPr="002727AF">
        <w:rPr>
          <w:rFonts w:eastAsia="Times New Roman" w:cs="Segoe UI"/>
          <w:i/>
          <w:iCs/>
        </w:rPr>
        <w:t>Best Starts</w:t>
      </w:r>
      <w:r w:rsidR="002727AF" w:rsidRPr="002727AF">
        <w:rPr>
          <w:rFonts w:eastAsia="Times New Roman" w:cs="Segoe UI"/>
        </w:rPr>
        <w:t> </w:t>
      </w:r>
      <w:r w:rsidR="00635546">
        <w:rPr>
          <w:rFonts w:eastAsia="Times New Roman" w:cs="Segoe UI"/>
        </w:rPr>
        <w:t>Implementation Plan</w:t>
      </w:r>
      <w:r w:rsidR="00C1212D">
        <w:rPr>
          <w:rFonts w:eastAsia="Times New Roman" w:cs="Segoe UI"/>
        </w:rPr>
        <w:t xml:space="preserve"> as well as this plan for the 2022-2027 levy</w:t>
      </w:r>
      <w:r w:rsidR="002727AF" w:rsidRPr="002727AF" w:rsidDel="00791013">
        <w:rPr>
          <w:rFonts w:eastAsia="Times New Roman" w:cs="Segoe UI"/>
          <w:i/>
          <w:iCs/>
        </w:rPr>
        <w:t>.</w:t>
      </w:r>
      <w:r w:rsidR="00791013">
        <w:rPr>
          <w:rFonts w:eastAsia="Times New Roman" w:cs="Segoe UI"/>
          <w:i/>
          <w:iCs/>
        </w:rPr>
        <w:t xml:space="preserve"> </w:t>
      </w:r>
    </w:p>
    <w:p w14:paraId="7889C229" w14:textId="77777777" w:rsidR="002727AF" w:rsidRDefault="002727AF" w:rsidP="003420B4">
      <w:pPr>
        <w:textAlignment w:val="baseline"/>
        <w:rPr>
          <w:rFonts w:eastAsia="Times New Roman" w:cs="Segoe UI"/>
          <w:b/>
          <w:bCs/>
          <w:i/>
          <w:iCs/>
        </w:rPr>
      </w:pPr>
    </w:p>
    <w:p w14:paraId="34643F6E" w14:textId="27F4E1DE" w:rsidR="002727AF" w:rsidRPr="00A10611" w:rsidRDefault="002727AF" w:rsidP="003420B4">
      <w:pPr>
        <w:textAlignment w:val="baseline"/>
        <w:rPr>
          <w:rFonts w:ascii="Segoe UI" w:eastAsia="Times New Roman" w:hAnsi="Segoe UI" w:cs="Segoe UI"/>
          <w:sz w:val="18"/>
          <w:szCs w:val="18"/>
        </w:rPr>
      </w:pPr>
      <w:r w:rsidRPr="00A10611">
        <w:rPr>
          <w:rFonts w:eastAsia="Times New Roman" w:cs="Segoe UI"/>
          <w:b/>
          <w:bCs/>
        </w:rPr>
        <w:t>Health and Human Services Transformation Plan</w:t>
      </w:r>
      <w:r w:rsidRPr="00A10611">
        <w:rPr>
          <w:rFonts w:eastAsia="Times New Roman" w:cs="Segoe UI"/>
        </w:rPr>
        <w:t> </w:t>
      </w:r>
    </w:p>
    <w:p w14:paraId="04E240D2" w14:textId="42FA4217" w:rsidR="002727AF" w:rsidRPr="002727AF" w:rsidRDefault="002727AF" w:rsidP="003420B4">
      <w:pPr>
        <w:textAlignment w:val="baseline"/>
        <w:rPr>
          <w:rFonts w:ascii="Segoe UI" w:eastAsia="Times New Roman" w:hAnsi="Segoe UI" w:cs="Segoe UI"/>
          <w:sz w:val="18"/>
          <w:szCs w:val="18"/>
        </w:rPr>
      </w:pPr>
      <w:r w:rsidRPr="002727AF">
        <w:rPr>
          <w:rFonts w:eastAsia="Times New Roman" w:cs="Segoe UI"/>
        </w:rPr>
        <w:t>Under direction of Motion 13768, King County agencies created the Health and Human Services Transformation Plan.</w:t>
      </w:r>
      <w:r w:rsidR="000D033D">
        <w:rPr>
          <w:rStyle w:val="FootnoteReference"/>
          <w:rFonts w:eastAsia="Times New Roman" w:cs="Segoe UI"/>
        </w:rPr>
        <w:footnoteReference w:id="59"/>
      </w:r>
      <w:r w:rsidRPr="002727AF">
        <w:rPr>
          <w:rFonts w:eastAsia="Times New Roman" w:cs="Segoe UI"/>
        </w:rPr>
        <w:t> The Plan seeks to improve health and well-being and create conditions that allow residents of King County to achieve their full potential through a focus on prevention. The plan states King County’s commitment to addressing root causes and investing upstream. </w:t>
      </w:r>
      <w:r w:rsidRPr="002727AF">
        <w:rPr>
          <w:rFonts w:eastAsia="Times New Roman" w:cs="Segoe UI"/>
          <w:i/>
          <w:iCs/>
        </w:rPr>
        <w:t>Best Starts</w:t>
      </w:r>
      <w:r w:rsidRPr="002727AF">
        <w:rPr>
          <w:rFonts w:eastAsia="Times New Roman" w:cs="Segoe UI"/>
        </w:rPr>
        <w:t> focuses on investing in promotion, prevention, and early intervention. </w:t>
      </w:r>
    </w:p>
    <w:p w14:paraId="4C735B4D" w14:textId="77777777" w:rsidR="00A6640A" w:rsidRPr="00A10611" w:rsidRDefault="00A6640A" w:rsidP="00A6640A">
      <w:pPr>
        <w:rPr>
          <w:b/>
          <w:bCs/>
        </w:rPr>
      </w:pPr>
    </w:p>
    <w:p w14:paraId="7B5664AD" w14:textId="6E65A4E2" w:rsidR="00A6640A" w:rsidRPr="00A10611" w:rsidRDefault="00A6640A" w:rsidP="00A6640A">
      <w:pPr>
        <w:rPr>
          <w:b/>
          <w:bCs/>
        </w:rPr>
      </w:pPr>
      <w:r w:rsidRPr="00A10611">
        <w:rPr>
          <w:b/>
          <w:bCs/>
        </w:rPr>
        <w:t xml:space="preserve">Equity and Social Justice Strategic Plan </w:t>
      </w:r>
    </w:p>
    <w:p w14:paraId="7B84D065" w14:textId="73A5DAD3" w:rsidR="00A6640A" w:rsidRPr="00D03F1F" w:rsidRDefault="00A6640A" w:rsidP="00A6640A">
      <w:pPr>
        <w:contextualSpacing/>
        <w:rPr>
          <w:rFonts w:cs="Calibri"/>
        </w:rPr>
      </w:pPr>
      <w:r w:rsidRPr="00D03F1F">
        <w:rPr>
          <w:rFonts w:cs="Calibri"/>
        </w:rPr>
        <w:t xml:space="preserve">In accordance with the 2016 Equity and Social Justice </w:t>
      </w:r>
      <w:r w:rsidR="00DC4AB4">
        <w:rPr>
          <w:rFonts w:cs="Calibri"/>
        </w:rPr>
        <w:t xml:space="preserve">(ESJ) </w:t>
      </w:r>
      <w:r w:rsidRPr="00D03F1F">
        <w:rPr>
          <w:rFonts w:cs="Calibri"/>
        </w:rPr>
        <w:t xml:space="preserve">Strategic Plan, King County actively seeks to eliminate racially disparate health and human services outcomes in </w:t>
      </w:r>
      <w:r>
        <w:rPr>
          <w:rFonts w:cs="Calibri"/>
        </w:rPr>
        <w:t>this region</w:t>
      </w:r>
      <w:r w:rsidRPr="00D03F1F">
        <w:rPr>
          <w:rFonts w:cs="Calibri"/>
        </w:rPr>
        <w:t>.</w:t>
      </w:r>
      <w:r w:rsidRPr="00D03F1F">
        <w:rPr>
          <w:rStyle w:val="FootnoteReference"/>
          <w:rFonts w:cs="Calibri"/>
        </w:rPr>
        <w:footnoteReference w:id="60"/>
      </w:r>
      <w:r w:rsidRPr="00D03F1F">
        <w:rPr>
          <w:rFonts w:cs="Calibri"/>
        </w:rPr>
        <w:t xml:space="preserve"> </w:t>
      </w:r>
      <w:r w:rsidR="00DC4AB4">
        <w:rPr>
          <w:rFonts w:cs="Calibri"/>
        </w:rPr>
        <w:t>The ESJ Strategic</w:t>
      </w:r>
      <w:r w:rsidR="00A8266B">
        <w:rPr>
          <w:rFonts w:cs="Calibri"/>
        </w:rPr>
        <w:t xml:space="preserve"> </w:t>
      </w:r>
      <w:r w:rsidR="00DC4AB4">
        <w:rPr>
          <w:rFonts w:cs="Calibri"/>
        </w:rPr>
        <w:t>P</w:t>
      </w:r>
      <w:r w:rsidR="00A8266B">
        <w:rPr>
          <w:rFonts w:cs="Calibri"/>
        </w:rPr>
        <w:t>lan has</w:t>
      </w:r>
      <w:r w:rsidRPr="00D03F1F">
        <w:rPr>
          <w:rFonts w:cs="Calibri"/>
        </w:rPr>
        <w:t xml:space="preserve"> informed strategies for King County to become a more equitable employer, service provider, and regional partner. </w:t>
      </w:r>
      <w:r w:rsidR="00A8266B">
        <w:t>These priorities</w:t>
      </w:r>
      <w:r>
        <w:t xml:space="preserve"> guided </w:t>
      </w:r>
      <w:r w:rsidRPr="00FB6475">
        <w:rPr>
          <w:i/>
          <w:iCs/>
        </w:rPr>
        <w:t>Best Starts for Kids</w:t>
      </w:r>
      <w:r w:rsidR="00DC4AB4">
        <w:t>’ orig</w:t>
      </w:r>
      <w:r w:rsidR="00321D41">
        <w:t>inal design process,</w:t>
      </w:r>
      <w:r w:rsidRPr="00FB6475">
        <w:rPr>
          <w:i/>
          <w:iCs/>
        </w:rPr>
        <w:t xml:space="preserve"> </w:t>
      </w:r>
      <w:r>
        <w:t xml:space="preserve">as noted in this plan’s section on community engagement, and it continues to guide how </w:t>
      </w:r>
      <w:r w:rsidR="0047722E" w:rsidRPr="00FB6475">
        <w:rPr>
          <w:i/>
          <w:iCs/>
        </w:rPr>
        <w:t xml:space="preserve">Best Starts </w:t>
      </w:r>
      <w:r>
        <w:t xml:space="preserve">programs and </w:t>
      </w:r>
      <w:r w:rsidR="00E05138">
        <w:lastRenderedPageBreak/>
        <w:t>policies</w:t>
      </w:r>
      <w:r>
        <w:t xml:space="preserve"> are evaluated. </w:t>
      </w:r>
      <w:r w:rsidRPr="008D202E">
        <w:rPr>
          <w:i/>
          <w:iCs/>
        </w:rPr>
        <w:t>Best Starts</w:t>
      </w:r>
      <w:r w:rsidRPr="008D202E">
        <w:t xml:space="preserve"> </w:t>
      </w:r>
      <w:r>
        <w:t>is</w:t>
      </w:r>
      <w:r w:rsidRPr="008D202E">
        <w:t xml:space="preserve"> at the forefront of the County’s equity work, and its funded programs are one step toward making </w:t>
      </w:r>
      <w:r w:rsidR="002E608C">
        <w:t>the ESJ Strategic Plan’s</w:t>
      </w:r>
      <w:r w:rsidR="002E608C" w:rsidRPr="008D202E">
        <w:t xml:space="preserve"> </w:t>
      </w:r>
      <w:r w:rsidRPr="008D202E">
        <w:t>vision a reality.</w:t>
      </w:r>
    </w:p>
    <w:p w14:paraId="2F4BC7EE" w14:textId="77777777" w:rsidR="007F05A4" w:rsidRDefault="007F05A4" w:rsidP="00A6640A">
      <w:pPr>
        <w:rPr>
          <w:b/>
          <w:bCs/>
          <w:i/>
          <w:iCs/>
        </w:rPr>
      </w:pPr>
    </w:p>
    <w:p w14:paraId="313BB285" w14:textId="43911126" w:rsidR="00A6640A" w:rsidRPr="00A10611" w:rsidRDefault="00A6640A" w:rsidP="00A6640A">
      <w:pPr>
        <w:rPr>
          <w:b/>
          <w:bCs/>
        </w:rPr>
      </w:pPr>
      <w:r w:rsidRPr="00A10611">
        <w:rPr>
          <w:b/>
          <w:bCs/>
        </w:rPr>
        <w:t>The Youth Action Plan</w:t>
      </w:r>
    </w:p>
    <w:p w14:paraId="5A3C6DA9" w14:textId="501E851E" w:rsidR="00A6640A" w:rsidRDefault="00A6640A" w:rsidP="00A6640A">
      <w:pPr>
        <w:contextualSpacing/>
      </w:pPr>
      <w:r w:rsidRPr="00D03F1F">
        <w:rPr>
          <w:rFonts w:cs="Calibri"/>
        </w:rPr>
        <w:t>The Youth Action Plan</w:t>
      </w:r>
      <w:r>
        <w:rPr>
          <w:rFonts w:cs="Calibri"/>
        </w:rPr>
        <w:t xml:space="preserve"> (YAP)</w:t>
      </w:r>
      <w:r w:rsidRPr="00D03F1F">
        <w:rPr>
          <w:rFonts w:cs="Calibri"/>
        </w:rPr>
        <w:t xml:space="preserve"> is a direct forebear of the </w:t>
      </w:r>
      <w:r w:rsidRPr="00D03F1F">
        <w:rPr>
          <w:rFonts w:cs="Calibri"/>
          <w:i/>
        </w:rPr>
        <w:t>Best Starts</w:t>
      </w:r>
      <w:r w:rsidRPr="00D03F1F">
        <w:rPr>
          <w:rFonts w:cs="Calibri"/>
        </w:rPr>
        <w:t xml:space="preserve"> initiative.</w:t>
      </w:r>
      <w:r w:rsidRPr="00D03F1F">
        <w:rPr>
          <w:rStyle w:val="FootnoteReference"/>
          <w:rFonts w:cs="Calibri"/>
        </w:rPr>
        <w:footnoteReference w:id="61"/>
      </w:r>
      <w:r w:rsidRPr="00D03F1F">
        <w:rPr>
          <w:rFonts w:cs="Calibri"/>
        </w:rPr>
        <w:t xml:space="preserve"> An unflinching focus on equity is among the shared policies binding the Youth Action Plan to </w:t>
      </w:r>
      <w:r w:rsidRPr="00D03F1F">
        <w:rPr>
          <w:rFonts w:cs="Calibri"/>
          <w:i/>
        </w:rPr>
        <w:t>Best Starts</w:t>
      </w:r>
      <w:r w:rsidR="00081616">
        <w:rPr>
          <w:rFonts w:cs="Calibri"/>
        </w:rPr>
        <w:t>.</w:t>
      </w:r>
      <w:r w:rsidR="00563594">
        <w:rPr>
          <w:rFonts w:cs="Calibri"/>
        </w:rPr>
        <w:t xml:space="preserve"> </w:t>
      </w:r>
      <w:r>
        <w:rPr>
          <w:rFonts w:cs="Calibri"/>
        </w:rPr>
        <w:t>T</w:t>
      </w:r>
      <w:r>
        <w:t xml:space="preserve">he YAP stipulates that the well-being of children, youth, young adults, and families should not be predicted by their race, ethnicity, gender, sexual orientation, ability, geography, income, or immigration status. Furthermore, policy development, services, and programming should intentionally include diverse youth voices, and voices of people affected in meaningful ways by policies and services. The YAP serves as a policy frame for </w:t>
      </w:r>
      <w:r w:rsidRPr="00B635FA">
        <w:rPr>
          <w:i/>
          <w:iCs/>
        </w:rPr>
        <w:t>Best Starts</w:t>
      </w:r>
      <w:r w:rsidR="006E7E8F">
        <w:t xml:space="preserve">, including this </w:t>
      </w:r>
      <w:r w:rsidR="00635546">
        <w:t>Implementation Plan</w:t>
      </w:r>
      <w:r w:rsidR="006E7E8F">
        <w:t xml:space="preserve"> for Best Starts in 2022-2027.</w:t>
      </w:r>
      <w:r w:rsidR="00D50126">
        <w:rPr>
          <w:rStyle w:val="FootnoteReference"/>
          <w:rFonts w:cs="Calibri"/>
        </w:rPr>
        <w:footnoteReference w:id="62"/>
      </w:r>
      <w:r w:rsidR="00424A68">
        <w:t xml:space="preserve"> The Children and Youth Advisory Board (CYAB) </w:t>
      </w:r>
      <w:r>
        <w:t>oversee</w:t>
      </w:r>
      <w:r w:rsidR="00424A68">
        <w:t xml:space="preserve">s the County’s implementation of the YAP, including </w:t>
      </w:r>
      <w:r w:rsidR="00424A68" w:rsidRPr="00F012D3">
        <w:rPr>
          <w:i/>
        </w:rPr>
        <w:t>Best Starts</w:t>
      </w:r>
      <w:r>
        <w:t>.</w:t>
      </w:r>
      <w:r>
        <w:rPr>
          <w:rStyle w:val="FootnoteReference"/>
        </w:rPr>
        <w:footnoteReference w:id="63"/>
      </w:r>
    </w:p>
    <w:p w14:paraId="328E9014" w14:textId="105376C4" w:rsidR="005E7E83" w:rsidRDefault="005E7E83" w:rsidP="003420B4">
      <w:pPr>
        <w:textAlignment w:val="baseline"/>
      </w:pPr>
    </w:p>
    <w:p w14:paraId="66A60EFD" w14:textId="143B64FC" w:rsidR="00922B73" w:rsidRPr="005E7E83" w:rsidRDefault="00922B73" w:rsidP="003420B4">
      <w:pPr>
        <w:textAlignment w:val="baseline"/>
        <w:rPr>
          <w:rFonts w:ascii="Segoe UI" w:eastAsia="Times New Roman" w:hAnsi="Segoe UI" w:cs="Segoe UI"/>
          <w:b/>
          <w:bCs/>
          <w:i/>
          <w:iCs/>
          <w:color w:val="2F5496"/>
          <w:sz w:val="18"/>
          <w:szCs w:val="18"/>
        </w:rPr>
      </w:pPr>
      <w:r>
        <w:rPr>
          <w:b/>
          <w:bCs/>
        </w:rPr>
        <w:t xml:space="preserve">Mental Illness and Drug Dependency </w:t>
      </w:r>
      <w:r w:rsidR="008A619E">
        <w:rPr>
          <w:b/>
          <w:bCs/>
        </w:rPr>
        <w:t>Behavioral Health Sale</w:t>
      </w:r>
      <w:r w:rsidR="004D5D8A">
        <w:rPr>
          <w:b/>
          <w:bCs/>
        </w:rPr>
        <w:t>s</w:t>
      </w:r>
      <w:r w:rsidR="008A619E">
        <w:rPr>
          <w:b/>
          <w:bCs/>
        </w:rPr>
        <w:t xml:space="preserve"> Tax </w:t>
      </w:r>
      <w:r w:rsidR="001D2409">
        <w:rPr>
          <w:b/>
          <w:bCs/>
        </w:rPr>
        <w:t>Fund</w:t>
      </w:r>
      <w:r w:rsidR="008A619E">
        <w:rPr>
          <w:b/>
          <w:bCs/>
        </w:rPr>
        <w:t xml:space="preserve"> (MIDD)</w:t>
      </w:r>
      <w:r w:rsidR="00D37B6F" w:rsidRPr="006D56B4">
        <w:rPr>
          <w:rStyle w:val="FootnoteReference"/>
        </w:rPr>
        <w:footnoteReference w:id="64"/>
      </w:r>
      <w:r w:rsidR="008A619E" w:rsidRPr="006D56B4">
        <w:t xml:space="preserve"> </w:t>
      </w:r>
      <w:r w:rsidR="008A619E">
        <w:rPr>
          <w:b/>
          <w:bCs/>
        </w:rPr>
        <w:t>and Veterans</w:t>
      </w:r>
      <w:r w:rsidR="6BDEA3D6">
        <w:rPr>
          <w:b/>
          <w:bCs/>
        </w:rPr>
        <w:t>,</w:t>
      </w:r>
      <w:r w:rsidR="008A619E">
        <w:rPr>
          <w:b/>
          <w:bCs/>
        </w:rPr>
        <w:t xml:space="preserve"> Seniors and Human Services Levy </w:t>
      </w:r>
      <w:r w:rsidR="00D2292A">
        <w:rPr>
          <w:b/>
          <w:bCs/>
        </w:rPr>
        <w:t>(VSH</w:t>
      </w:r>
      <w:r w:rsidR="00C068A0">
        <w:rPr>
          <w:b/>
          <w:bCs/>
        </w:rPr>
        <w:t>SL)</w:t>
      </w:r>
      <w:r w:rsidR="00D37B6F" w:rsidRPr="006D56B4">
        <w:rPr>
          <w:rStyle w:val="FootnoteReference"/>
        </w:rPr>
        <w:footnoteReference w:id="65"/>
      </w:r>
      <w:r w:rsidR="008A619E" w:rsidRPr="006D56B4">
        <w:t xml:space="preserve"> </w:t>
      </w:r>
    </w:p>
    <w:p w14:paraId="223A23A3" w14:textId="66F49EC9" w:rsidR="005E7E83" w:rsidRPr="005E7E83" w:rsidRDefault="005E7E83" w:rsidP="003420B4">
      <w:pPr>
        <w:textAlignment w:val="baseline"/>
        <w:rPr>
          <w:rFonts w:ascii="Segoe UI" w:eastAsia="Times New Roman" w:hAnsi="Segoe UI" w:cs="Segoe UI"/>
          <w:sz w:val="18"/>
          <w:szCs w:val="18"/>
        </w:rPr>
      </w:pPr>
      <w:r w:rsidRPr="005E7E83">
        <w:rPr>
          <w:rFonts w:eastAsia="Times New Roman" w:cs="Calibri"/>
        </w:rPr>
        <w:t>Revenue from Best Starts</w:t>
      </w:r>
      <w:r w:rsidR="00C17030">
        <w:rPr>
          <w:rFonts w:eastAsia="Times New Roman" w:cs="Calibri"/>
        </w:rPr>
        <w:t xml:space="preserve"> </w:t>
      </w:r>
      <w:r w:rsidR="000D5312">
        <w:rPr>
          <w:rFonts w:eastAsia="Times New Roman" w:cs="Calibri"/>
        </w:rPr>
        <w:t xml:space="preserve">along with </w:t>
      </w:r>
      <w:r w:rsidRPr="005E7E83">
        <w:rPr>
          <w:rFonts w:eastAsia="Times New Roman" w:cs="Calibri"/>
        </w:rPr>
        <w:t>MIDD</w:t>
      </w:r>
      <w:r w:rsidR="00DC2A2D">
        <w:rPr>
          <w:rFonts w:eastAsia="Times New Roman" w:cs="Calibri"/>
        </w:rPr>
        <w:t xml:space="preserve"> </w:t>
      </w:r>
      <w:r w:rsidRPr="005E7E83">
        <w:rPr>
          <w:rFonts w:eastAsia="Times New Roman" w:cs="Calibri"/>
        </w:rPr>
        <w:t xml:space="preserve">and VSHSL </w:t>
      </w:r>
      <w:r w:rsidR="00DC2A2D">
        <w:rPr>
          <w:rFonts w:eastAsia="Times New Roman" w:cs="Calibri"/>
        </w:rPr>
        <w:t>together constitutes</w:t>
      </w:r>
      <w:r w:rsidRPr="005E7E83">
        <w:rPr>
          <w:rFonts w:eastAsia="Times New Roman" w:cs="Calibri"/>
        </w:rPr>
        <w:t xml:space="preserve"> a substantial portion of King County’s local health and human service investments. These initiatives and their dedicated revenues provide vital services to those most in need in King County. They support service networks for the region’s human service, physical and behavioral health, and housing needs. They support programs, services, and regional innovations that cross the lifespan and address service gaps. They also advance King County residents’ access to 14 key community factors that King County has identified that every person needs to thrive, referred to in the King County Determinants of Equity Report.</w:t>
      </w:r>
      <w:r w:rsidRPr="006D56B4">
        <w:rPr>
          <w:rFonts w:eastAsia="Times New Roman" w:cs="Calibri"/>
          <w:sz w:val="20"/>
          <w:szCs w:val="20"/>
          <w:vertAlign w:val="superscript"/>
        </w:rPr>
        <w:t>65</w:t>
      </w:r>
      <w:r w:rsidRPr="006D56B4">
        <w:rPr>
          <w:rFonts w:eastAsia="Times New Roman" w:cs="Calibri"/>
          <w:sz w:val="20"/>
          <w:szCs w:val="20"/>
        </w:rPr>
        <w:t> </w:t>
      </w:r>
    </w:p>
    <w:p w14:paraId="0C6807BF" w14:textId="6D7C3204" w:rsidR="00FB4F38" w:rsidRDefault="00FB4F38" w:rsidP="5C639DF7">
      <w:pPr>
        <w:contextualSpacing/>
        <w:rPr>
          <w:b/>
          <w:bCs/>
        </w:rPr>
      </w:pPr>
    </w:p>
    <w:p w14:paraId="5097BCC3" w14:textId="1F957C48" w:rsidR="0050282F" w:rsidRDefault="0050282F" w:rsidP="5C639DF7">
      <w:pPr>
        <w:contextualSpacing/>
      </w:pPr>
      <w:r w:rsidRPr="00655AC1">
        <w:t>Of note, as of October 2021, DCHS is on track to release a consolidated dashboard of DCHS-administered human services by August  2022.</w:t>
      </w:r>
      <w:r w:rsidRPr="00655AC1">
        <w:rPr>
          <w:rFonts w:cs="Calibri"/>
          <w:sz w:val="20"/>
          <w:szCs w:val="20"/>
        </w:rPr>
        <w:t xml:space="preserve"> </w:t>
      </w:r>
      <w:r w:rsidRPr="00655AC1">
        <w:t>The dashboard is expected to include, at minimum, information about providers and their service recipients supported through the MIDD, VSHSL, and BSK-funded programs administered by DCHS.</w:t>
      </w:r>
    </w:p>
    <w:p w14:paraId="44CD91CD" w14:textId="77777777" w:rsidR="0050282F" w:rsidRDefault="0050282F" w:rsidP="5C639DF7">
      <w:pPr>
        <w:contextualSpacing/>
        <w:rPr>
          <w:b/>
          <w:bCs/>
        </w:rPr>
      </w:pPr>
    </w:p>
    <w:p w14:paraId="1D9DB9AE" w14:textId="5D4A7499" w:rsidR="003C025F" w:rsidRPr="00A10611" w:rsidRDefault="002D7505" w:rsidP="5C639DF7">
      <w:pPr>
        <w:contextualSpacing/>
        <w:rPr>
          <w:b/>
          <w:bCs/>
        </w:rPr>
      </w:pPr>
      <w:r>
        <w:rPr>
          <w:b/>
          <w:bCs/>
        </w:rPr>
        <w:t>Children and Families Strategy</w:t>
      </w:r>
      <w:r w:rsidR="00387BEA" w:rsidRPr="00A10611">
        <w:rPr>
          <w:b/>
          <w:bCs/>
        </w:rPr>
        <w:t xml:space="preserve"> Task Force </w:t>
      </w:r>
    </w:p>
    <w:p w14:paraId="6C944FFE" w14:textId="0E6D1874" w:rsidR="000D782B" w:rsidRDefault="006A0F62" w:rsidP="000D782B">
      <w:pPr>
        <w:contextualSpacing/>
        <w:rPr>
          <w:rFonts w:cs="Calibri"/>
        </w:rPr>
      </w:pPr>
      <w:r w:rsidRPr="00A10611">
        <w:rPr>
          <w:rFonts w:cs="Calibri"/>
        </w:rPr>
        <w:t>T</w:t>
      </w:r>
      <w:r w:rsidR="00F67069" w:rsidRPr="00A10611">
        <w:rPr>
          <w:rFonts w:cs="Calibri"/>
        </w:rPr>
        <w:t>he</w:t>
      </w:r>
      <w:r w:rsidR="00F67069" w:rsidRPr="00467B92">
        <w:rPr>
          <w:rFonts w:cs="Calibri"/>
        </w:rPr>
        <w:t xml:space="preserve"> King County Council passed Motion 15521</w:t>
      </w:r>
      <w:r w:rsidR="00F67069" w:rsidRPr="00467B92">
        <w:rPr>
          <w:rStyle w:val="FootnoteReference"/>
          <w:rFonts w:cs="Calibri"/>
        </w:rPr>
        <w:t xml:space="preserve"> </w:t>
      </w:r>
      <w:r w:rsidR="00F67069" w:rsidRPr="00467B92">
        <w:rPr>
          <w:rFonts w:cs="Calibri"/>
        </w:rPr>
        <w:t>in 2019</w:t>
      </w:r>
      <w:r w:rsidR="007E7A68">
        <w:rPr>
          <w:rFonts w:cs="Calibri"/>
        </w:rPr>
        <w:t xml:space="preserve"> in</w:t>
      </w:r>
      <w:r w:rsidR="007E7A68" w:rsidRPr="00C278FD">
        <w:rPr>
          <w:rFonts w:cs="Calibri"/>
        </w:rPr>
        <w:t xml:space="preserve"> response to the </w:t>
      </w:r>
      <w:r w:rsidR="007E7A68">
        <w:rPr>
          <w:rFonts w:cs="Calibri"/>
        </w:rPr>
        <w:t xml:space="preserve">lack of </w:t>
      </w:r>
      <w:r w:rsidR="007E7A68" w:rsidRPr="00C278FD">
        <w:rPr>
          <w:rFonts w:cs="Calibri"/>
        </w:rPr>
        <w:t>high-quality and affordable child care</w:t>
      </w:r>
      <w:r w:rsidR="007E7A68">
        <w:rPr>
          <w:rFonts w:cs="Calibri"/>
        </w:rPr>
        <w:t>.</w:t>
      </w:r>
      <w:r w:rsidR="007E7A68" w:rsidRPr="007A7495">
        <w:rPr>
          <w:rStyle w:val="FootnoteReference"/>
          <w:rFonts w:cs="Calibri"/>
        </w:rPr>
        <w:t xml:space="preserve"> </w:t>
      </w:r>
      <w:r w:rsidR="007A7495" w:rsidRPr="00467B92">
        <w:rPr>
          <w:rStyle w:val="FootnoteReference"/>
          <w:rFonts w:cs="Calibri"/>
        </w:rPr>
        <w:footnoteReference w:id="66"/>
      </w:r>
      <w:r w:rsidR="007E7A68" w:rsidRPr="00467B92">
        <w:rPr>
          <w:rFonts w:cs="Calibri"/>
        </w:rPr>
        <w:t xml:space="preserve"> </w:t>
      </w:r>
      <w:r w:rsidR="00F67069" w:rsidRPr="00467B92">
        <w:rPr>
          <w:rFonts w:cs="Calibri"/>
        </w:rPr>
        <w:t>This motion established the Children and Families Strategy Task Force, which analyzed and researched the potential King County child care assistance program</w:t>
      </w:r>
      <w:r w:rsidR="00617B30">
        <w:rPr>
          <w:rFonts w:cs="Calibri"/>
        </w:rPr>
        <w:t xml:space="preserve"> and made </w:t>
      </w:r>
      <w:r w:rsidR="00617B30">
        <w:rPr>
          <w:rFonts w:cs="Calibri"/>
        </w:rPr>
        <w:lastRenderedPageBreak/>
        <w:t>recommendations for building a</w:t>
      </w:r>
      <w:r w:rsidR="00694D36">
        <w:rPr>
          <w:rFonts w:cs="Calibri"/>
        </w:rPr>
        <w:t>n equitable</w:t>
      </w:r>
      <w:r w:rsidR="00617B30">
        <w:rPr>
          <w:rFonts w:cs="Calibri"/>
        </w:rPr>
        <w:t xml:space="preserve"> system of </w:t>
      </w:r>
      <w:r w:rsidR="00694D36">
        <w:rPr>
          <w:rFonts w:cs="Calibri"/>
        </w:rPr>
        <w:t xml:space="preserve">child </w:t>
      </w:r>
      <w:r w:rsidR="00617B30">
        <w:rPr>
          <w:rFonts w:cs="Calibri"/>
        </w:rPr>
        <w:t xml:space="preserve">care </w:t>
      </w:r>
      <w:r w:rsidR="00694D36">
        <w:rPr>
          <w:rFonts w:cs="Calibri"/>
        </w:rPr>
        <w:t>in King County</w:t>
      </w:r>
      <w:r w:rsidR="00D23022">
        <w:rPr>
          <w:rFonts w:cs="Calibri"/>
        </w:rPr>
        <w:t xml:space="preserve"> in a 2020 report</w:t>
      </w:r>
      <w:r w:rsidR="007E7A68">
        <w:rPr>
          <w:rFonts w:cs="Calibri"/>
        </w:rPr>
        <w:t>.</w:t>
      </w:r>
      <w:r w:rsidR="00856335">
        <w:rPr>
          <w:rStyle w:val="FootnoteReference"/>
          <w:rFonts w:cs="Calibri"/>
        </w:rPr>
        <w:footnoteReference w:id="67"/>
      </w:r>
      <w:r w:rsidR="000D782B" w:rsidRPr="00467B92" w:rsidDel="00043775">
        <w:rPr>
          <w:rFonts w:cs="Calibri"/>
        </w:rPr>
        <w:t xml:space="preserve"> </w:t>
      </w:r>
      <w:r w:rsidR="00043775">
        <w:rPr>
          <w:rFonts w:cs="Calibri"/>
        </w:rPr>
        <w:t>The Task Force’s</w:t>
      </w:r>
      <w:r w:rsidR="00043775" w:rsidRPr="00467B92">
        <w:rPr>
          <w:rFonts w:cs="Calibri"/>
        </w:rPr>
        <w:t xml:space="preserve"> </w:t>
      </w:r>
      <w:r w:rsidR="00D23022">
        <w:rPr>
          <w:rFonts w:cs="Calibri"/>
        </w:rPr>
        <w:t xml:space="preserve">main </w:t>
      </w:r>
      <w:r w:rsidR="000D782B" w:rsidRPr="00467B92">
        <w:rPr>
          <w:rFonts w:cs="Calibri"/>
        </w:rPr>
        <w:t xml:space="preserve">findings </w:t>
      </w:r>
      <w:r w:rsidR="002D7505">
        <w:rPr>
          <w:rFonts w:cs="Calibri"/>
        </w:rPr>
        <w:t>were</w:t>
      </w:r>
      <w:r w:rsidR="000D782B" w:rsidRPr="00467B92">
        <w:rPr>
          <w:rFonts w:cs="Calibri"/>
        </w:rPr>
        <w:t xml:space="preserve"> as follows:</w:t>
      </w:r>
      <w:r w:rsidR="000D782B" w:rsidRPr="00467B92">
        <w:rPr>
          <w:rStyle w:val="FootnoteReference"/>
          <w:rFonts w:cs="Calibri"/>
        </w:rPr>
        <w:footnoteReference w:id="68"/>
      </w:r>
    </w:p>
    <w:p w14:paraId="10CDB145" w14:textId="77777777" w:rsidR="000D782B" w:rsidRPr="00467B92" w:rsidRDefault="000D782B" w:rsidP="000D782B">
      <w:pPr>
        <w:contextualSpacing/>
        <w:rPr>
          <w:rFonts w:cs="Calibri"/>
        </w:rPr>
      </w:pPr>
    </w:p>
    <w:p w14:paraId="73E624E0" w14:textId="77777777" w:rsidR="000D782B" w:rsidRPr="00467B92" w:rsidRDefault="000D782B" w:rsidP="009230D5">
      <w:pPr>
        <w:pStyle w:val="ListParagraph"/>
        <w:numPr>
          <w:ilvl w:val="0"/>
          <w:numId w:val="4"/>
        </w:numPr>
        <w:rPr>
          <w:rFonts w:cs="Calibri"/>
        </w:rPr>
      </w:pPr>
      <w:r w:rsidRPr="2D71CCAF">
        <w:rPr>
          <w:rFonts w:cs="Calibri"/>
          <w:b/>
          <w:bCs/>
        </w:rPr>
        <w:t xml:space="preserve">Child care is a potent contributor to early childhood development. </w:t>
      </w:r>
      <w:r w:rsidRPr="00467B92">
        <w:rPr>
          <w:rFonts w:cs="Calibri"/>
        </w:rPr>
        <w:t>Children whose families cannot access care lose out on the benefits of high-quality early learning, which is critical since a child’s brain develops more from birth to five than during the remainder of school years.</w:t>
      </w:r>
      <w:r w:rsidRPr="00467B92">
        <w:rPr>
          <w:rStyle w:val="FootnoteReference"/>
          <w:rFonts w:cs="Calibri"/>
        </w:rPr>
        <w:footnoteReference w:id="69"/>
      </w:r>
    </w:p>
    <w:p w14:paraId="7DE3963A" w14:textId="22B0CE46" w:rsidR="000D782B" w:rsidRPr="00467B92" w:rsidRDefault="000D782B" w:rsidP="009230D5">
      <w:pPr>
        <w:pStyle w:val="ListParagraph"/>
        <w:numPr>
          <w:ilvl w:val="0"/>
          <w:numId w:val="4"/>
        </w:numPr>
        <w:rPr>
          <w:rFonts w:cs="Calibri"/>
        </w:rPr>
      </w:pPr>
      <w:r w:rsidRPr="2D71CCAF">
        <w:rPr>
          <w:rFonts w:cs="Calibri"/>
          <w:b/>
          <w:bCs/>
        </w:rPr>
        <w:t>Child care is in high demand, but supply is scarce in King County.</w:t>
      </w:r>
      <w:r w:rsidRPr="00467B92">
        <w:rPr>
          <w:rFonts w:cs="Calibri"/>
        </w:rPr>
        <w:t xml:space="preserve"> </w:t>
      </w:r>
      <w:r w:rsidR="00F77A09">
        <w:rPr>
          <w:rFonts w:cs="Calibri"/>
        </w:rPr>
        <w:t xml:space="preserve">Prior to the COVID-19 </w:t>
      </w:r>
      <w:r w:rsidR="00B12385">
        <w:rPr>
          <w:rFonts w:cs="Calibri"/>
        </w:rPr>
        <w:t>pandemic</w:t>
      </w:r>
      <w:r w:rsidRPr="00467B92">
        <w:rPr>
          <w:rFonts w:cs="Calibri"/>
        </w:rPr>
        <w:t>, Washington State ha</w:t>
      </w:r>
      <w:r w:rsidR="00F77A09">
        <w:rPr>
          <w:rFonts w:cs="Calibri"/>
        </w:rPr>
        <w:t>d</w:t>
      </w:r>
      <w:r w:rsidRPr="00467B92">
        <w:rPr>
          <w:rFonts w:cs="Calibri"/>
        </w:rPr>
        <w:t xml:space="preserve"> gained 3,000 child care slots</w:t>
      </w:r>
      <w:r w:rsidR="00975566">
        <w:rPr>
          <w:rFonts w:cs="Calibri"/>
        </w:rPr>
        <w:t xml:space="preserve"> since 2014</w:t>
      </w:r>
      <w:r w:rsidRPr="00467B92">
        <w:rPr>
          <w:rFonts w:cs="Calibri"/>
        </w:rPr>
        <w:t>, but the State’s population of children under age 6 grew by nearly 30,000</w:t>
      </w:r>
      <w:r w:rsidR="00975566">
        <w:rPr>
          <w:rFonts w:cs="Calibri"/>
        </w:rPr>
        <w:t xml:space="preserve"> during that same timeframe</w:t>
      </w:r>
      <w:r w:rsidRPr="00467B92">
        <w:rPr>
          <w:rFonts w:cs="Calibri"/>
        </w:rPr>
        <w:t>.</w:t>
      </w:r>
      <w:r w:rsidRPr="00467B92">
        <w:rPr>
          <w:rStyle w:val="FootnoteReference"/>
          <w:rFonts w:cs="Calibri"/>
        </w:rPr>
        <w:footnoteReference w:id="70"/>
      </w:r>
      <w:r w:rsidRPr="00467B92">
        <w:rPr>
          <w:rFonts w:cs="Calibri"/>
          <w:vertAlign w:val="superscript"/>
        </w:rPr>
        <w:t>,</w:t>
      </w:r>
      <w:r w:rsidRPr="00467B92">
        <w:rPr>
          <w:rStyle w:val="FootnoteReference"/>
          <w:rFonts w:cs="Calibri"/>
        </w:rPr>
        <w:footnoteReference w:id="71"/>
      </w:r>
      <w:r w:rsidRPr="00467B92">
        <w:rPr>
          <w:rFonts w:cs="Calibri"/>
          <w:vertAlign w:val="superscript"/>
        </w:rPr>
        <w:t>,</w:t>
      </w:r>
      <w:r w:rsidRPr="00467B92">
        <w:rPr>
          <w:rStyle w:val="FootnoteReference"/>
          <w:rFonts w:cs="Calibri"/>
        </w:rPr>
        <w:footnoteReference w:id="72"/>
      </w:r>
    </w:p>
    <w:p w14:paraId="1F073BB7" w14:textId="5BEC1661" w:rsidR="000D782B" w:rsidRPr="00467B92" w:rsidRDefault="000D782B" w:rsidP="009230D5">
      <w:pPr>
        <w:pStyle w:val="ListParagraph"/>
        <w:numPr>
          <w:ilvl w:val="0"/>
          <w:numId w:val="4"/>
        </w:numPr>
        <w:rPr>
          <w:rFonts w:cs="Calibri"/>
        </w:rPr>
      </w:pPr>
      <w:r w:rsidRPr="2D71CCAF">
        <w:rPr>
          <w:rFonts w:cs="Calibri"/>
          <w:b/>
          <w:bCs/>
        </w:rPr>
        <w:t>Child care is expensive.</w:t>
      </w:r>
      <w:r w:rsidRPr="00467B92">
        <w:rPr>
          <w:rFonts w:cs="Calibri"/>
        </w:rPr>
        <w:t xml:space="preserve"> The cost of high-quality infant care at a licensed center has surpassed that of tuition at Washington’s public universities, and a typical single parent in Washington spends over half of their income on child care.</w:t>
      </w:r>
      <w:r w:rsidRPr="00467B92">
        <w:rPr>
          <w:rStyle w:val="FootnoteReference"/>
          <w:rFonts w:cs="Calibri"/>
        </w:rPr>
        <w:footnoteReference w:id="73"/>
      </w:r>
    </w:p>
    <w:p w14:paraId="738A8CB5" w14:textId="77777777" w:rsidR="000D782B" w:rsidRPr="00467B92" w:rsidRDefault="000D782B" w:rsidP="009230D5">
      <w:pPr>
        <w:pStyle w:val="ListParagraph"/>
        <w:numPr>
          <w:ilvl w:val="0"/>
          <w:numId w:val="4"/>
        </w:numPr>
        <w:rPr>
          <w:rFonts w:cs="Calibri"/>
        </w:rPr>
      </w:pPr>
      <w:r w:rsidRPr="2D71CCAF">
        <w:rPr>
          <w:rFonts w:cs="Calibri"/>
          <w:b/>
          <w:bCs/>
        </w:rPr>
        <w:t xml:space="preserve">Child care inaccessibility hurts family budgets and the regional economy. </w:t>
      </w:r>
      <w:r w:rsidRPr="00467B92">
        <w:rPr>
          <w:rFonts w:cs="Calibri"/>
        </w:rPr>
        <w:t>A 2019 study led by the Institute for Public Policy and Economic Analysis found that employee child care issues resulted in an estimated annual loss statewide of $6.5 billion in direct and opportunity costs.</w:t>
      </w:r>
      <w:r w:rsidRPr="00467B92">
        <w:rPr>
          <w:rStyle w:val="FootnoteReference"/>
          <w:rFonts w:cs="Calibri"/>
        </w:rPr>
        <w:footnoteReference w:id="74"/>
      </w:r>
    </w:p>
    <w:p w14:paraId="23B309C1" w14:textId="051BE734" w:rsidR="001810FC" w:rsidRPr="001810FC" w:rsidRDefault="000D782B" w:rsidP="009230D5">
      <w:pPr>
        <w:pStyle w:val="ListParagraph"/>
        <w:numPr>
          <w:ilvl w:val="0"/>
          <w:numId w:val="4"/>
        </w:numPr>
        <w:rPr>
          <w:rFonts w:eastAsiaTheme="majorEastAsia" w:cs="Calibri"/>
        </w:rPr>
      </w:pPr>
      <w:r w:rsidRPr="2D71CCAF">
        <w:rPr>
          <w:rFonts w:cs="Calibri"/>
          <w:b/>
          <w:bCs/>
        </w:rPr>
        <w:t>The essential labor of child care workers does not provide livable wages in King County.</w:t>
      </w:r>
      <w:r w:rsidRPr="00467B92">
        <w:rPr>
          <w:rFonts w:cs="Calibri"/>
        </w:rPr>
        <w:t xml:space="preserve"> Nearly 15 percent of child care providers live below the poverty line, and many cannot afford care for their own children.</w:t>
      </w:r>
      <w:r w:rsidRPr="00467B92">
        <w:rPr>
          <w:rStyle w:val="FootnoteReference"/>
          <w:rFonts w:cs="Calibri"/>
        </w:rPr>
        <w:footnoteReference w:id="75"/>
      </w:r>
    </w:p>
    <w:p w14:paraId="29983F16" w14:textId="604D7854" w:rsidR="00694D36" w:rsidRPr="00694D36" w:rsidRDefault="00694D36" w:rsidP="00CF48F1">
      <w:pPr>
        <w:pStyle w:val="ListParagraph"/>
        <w:ind w:left="1440"/>
        <w:rPr>
          <w:rFonts w:eastAsiaTheme="majorEastAsia" w:cs="Calibri"/>
        </w:rPr>
      </w:pPr>
    </w:p>
    <w:p w14:paraId="5EC6E056" w14:textId="02759A4D" w:rsidR="00B13093" w:rsidRDefault="003D2AF9" w:rsidP="003D2AF9">
      <w:pPr>
        <w:contextualSpacing/>
      </w:pPr>
      <w:r w:rsidRPr="002C25EA">
        <w:t>The inequities identified by the County Strategic Plan, Health and Human Services Transformation Plan, Youth Action Plan, ESJ Strategic Plan</w:t>
      </w:r>
      <w:r w:rsidR="005E0620">
        <w:t>,</w:t>
      </w:r>
      <w:r w:rsidRPr="002C25EA">
        <w:t xml:space="preserve"> and other analyses are largely attributable to generations of public policies and practices that allocate benefit and burden in ways that have favored some while disfavoring and oppressing others.</w:t>
      </w:r>
      <w:r w:rsidR="00CB7F66">
        <w:rPr>
          <w:rStyle w:val="FootnoteReference"/>
        </w:rPr>
        <w:footnoteReference w:id="76"/>
      </w:r>
      <w:r w:rsidRPr="002C25EA">
        <w:t xml:space="preserve"> Inequities that result from policy and practices can be undone by new policies and practices. </w:t>
      </w:r>
      <w:r w:rsidRPr="00FF2A37">
        <w:rPr>
          <w:i/>
        </w:rPr>
        <w:t>Best Starts</w:t>
      </w:r>
      <w:r w:rsidRPr="002C25EA">
        <w:t xml:space="preserve"> is </w:t>
      </w:r>
      <w:r w:rsidR="00370F98">
        <w:t>com</w:t>
      </w:r>
      <w:r w:rsidR="00C65CC0">
        <w:t xml:space="preserve">mitted to </w:t>
      </w:r>
      <w:r w:rsidRPr="002C25EA">
        <w:t xml:space="preserve">designing and implementing policies and practices to reduce the role that a person’s race or identity plays in whether they benefit from society and feel like they belong. Centering the voices of Black, African American, Indigenous, and other People of Color in </w:t>
      </w:r>
      <w:r w:rsidRPr="002C25EA">
        <w:lastRenderedPageBreak/>
        <w:t xml:space="preserve">investments and program decisions is </w:t>
      </w:r>
      <w:r w:rsidR="005000E3">
        <w:t>a key</w:t>
      </w:r>
      <w:r w:rsidR="005000E3" w:rsidRPr="002C25EA">
        <w:t xml:space="preserve"> </w:t>
      </w:r>
      <w:r w:rsidRPr="002C25EA">
        <w:t>way for King County to build new</w:t>
      </w:r>
      <w:r w:rsidRPr="002C25EA" w:rsidDel="00A309AD">
        <w:t xml:space="preserve"> </w:t>
      </w:r>
      <w:r w:rsidRPr="002C25EA">
        <w:t>public policies and practices that will undo inequity and promote comprehensive well-being for the entire community.</w:t>
      </w:r>
    </w:p>
    <w:p w14:paraId="20F7D4B8" w14:textId="5170375D" w:rsidR="00600524" w:rsidRDefault="002E0C5F" w:rsidP="002E0C5F">
      <w:pPr>
        <w:spacing w:line="240" w:lineRule="auto"/>
      </w:pPr>
      <w:r>
        <w:br w:type="page"/>
      </w:r>
    </w:p>
    <w:p w14:paraId="05CDFBC6" w14:textId="408C0C67" w:rsidR="0084510C" w:rsidRDefault="0084510C" w:rsidP="00CD244C">
      <w:pPr>
        <w:pStyle w:val="Heading2"/>
      </w:pPr>
      <w:bookmarkStart w:id="21" w:name="_Toc85188537"/>
      <w:r>
        <w:lastRenderedPageBreak/>
        <w:t>C.</w:t>
      </w:r>
      <w:r>
        <w:tab/>
      </w:r>
      <w:r w:rsidRPr="6A2813C2">
        <w:t>Ordinance Requirements</w:t>
      </w:r>
      <w:r w:rsidR="6E9DE4D4">
        <w:t xml:space="preserve"> and Requested Elements</w:t>
      </w:r>
      <w:bookmarkEnd w:id="21"/>
    </w:p>
    <w:p w14:paraId="79E672BC" w14:textId="77777777" w:rsidR="00FC2F65" w:rsidRDefault="0084510C" w:rsidP="00CD244C">
      <w:pPr>
        <w:contextualSpacing/>
        <w:rPr>
          <w:rFonts w:cs="Calibri"/>
        </w:rPr>
      </w:pPr>
      <w:r>
        <w:rPr>
          <w:rFonts w:cs="Calibri"/>
        </w:rPr>
        <w:t xml:space="preserve"> </w:t>
      </w:r>
      <w:r w:rsidRPr="00D03F1F">
        <w:rPr>
          <w:rFonts w:cs="Calibri"/>
        </w:rPr>
        <w:t xml:space="preserve">  </w:t>
      </w:r>
    </w:p>
    <w:p w14:paraId="53CDB9B6" w14:textId="05374D80" w:rsidR="00D25FD6" w:rsidRPr="002C04D2" w:rsidRDefault="00F92CE9" w:rsidP="003420B4">
      <w:pPr>
        <w:rPr>
          <w:vertAlign w:val="superscript"/>
        </w:rPr>
      </w:pPr>
      <w:r>
        <w:t xml:space="preserve">The </w:t>
      </w:r>
      <w:r w:rsidR="1FA45FC7" w:rsidRPr="00354EFE">
        <w:rPr>
          <w:i/>
        </w:rPr>
        <w:t>Best Starts for Kids</w:t>
      </w:r>
      <w:r w:rsidR="1FA45FC7">
        <w:t xml:space="preserve"> </w:t>
      </w:r>
      <w:r w:rsidR="00A81DE2">
        <w:t xml:space="preserve">Implementation Plan </w:t>
      </w:r>
      <w:r w:rsidR="4499EAA3">
        <w:t xml:space="preserve">2022-2027 </w:t>
      </w:r>
      <w:r w:rsidR="13F2CA97">
        <w:t>responds to t</w:t>
      </w:r>
      <w:r w:rsidR="1878C7A7">
        <w:t xml:space="preserve">he </w:t>
      </w:r>
      <w:r w:rsidR="14AF5AE3">
        <w:t>requi</w:t>
      </w:r>
      <w:r w:rsidR="7063AA2B">
        <w:t xml:space="preserve">rements </w:t>
      </w:r>
      <w:r w:rsidR="14AF5AE3">
        <w:t>ou</w:t>
      </w:r>
      <w:r w:rsidR="00654FF9">
        <w:t>tlined</w:t>
      </w:r>
      <w:r w:rsidR="14AF5AE3">
        <w:t xml:space="preserve"> in O</w:t>
      </w:r>
      <w:r w:rsidR="436DB19E">
        <w:t>rdinance</w:t>
      </w:r>
      <w:r w:rsidR="14AF5AE3">
        <w:t xml:space="preserve"> </w:t>
      </w:r>
      <w:r w:rsidR="003542F9">
        <w:rPr>
          <w:rFonts w:eastAsiaTheme="majorEastAsia" w:cs="Calibri"/>
        </w:rPr>
        <w:t>19267</w:t>
      </w:r>
      <w:r w:rsidR="002D40F1">
        <w:rPr>
          <w:rFonts w:eastAsiaTheme="majorEastAsia" w:cs="Calibri"/>
        </w:rPr>
        <w:t xml:space="preserve"> and </w:t>
      </w:r>
      <w:r w:rsidR="00CC3447">
        <w:rPr>
          <w:rFonts w:eastAsiaTheme="majorEastAsia" w:cs="Calibri"/>
        </w:rPr>
        <w:t>elements</w:t>
      </w:r>
      <w:r w:rsidR="002D40F1">
        <w:rPr>
          <w:rFonts w:eastAsiaTheme="majorEastAsia" w:cs="Calibri"/>
        </w:rPr>
        <w:t xml:space="preserve"> requested </w:t>
      </w:r>
      <w:r w:rsidR="00390D0A">
        <w:rPr>
          <w:rFonts w:eastAsiaTheme="majorEastAsia" w:cs="Calibri"/>
        </w:rPr>
        <w:t>in Motion 15888</w:t>
      </w:r>
      <w:r w:rsidR="08DD26F1">
        <w:t xml:space="preserve">. </w:t>
      </w:r>
      <w:r w:rsidR="00E64E0E">
        <w:t>Most notably, the</w:t>
      </w:r>
      <w:r>
        <w:t xml:space="preserve"> </w:t>
      </w:r>
      <w:r w:rsidR="000E26A7" w:rsidRPr="00354EFE">
        <w:rPr>
          <w:i/>
        </w:rPr>
        <w:t>Best Starts</w:t>
      </w:r>
      <w:r w:rsidR="000E26A7">
        <w:t xml:space="preserve"> Implementation Plan 2022-2027 </w:t>
      </w:r>
      <w:r w:rsidR="00E64E0E">
        <w:t>includes</w:t>
      </w:r>
      <w:r>
        <w:t>:</w:t>
      </w:r>
      <w:r w:rsidR="006F0F63">
        <w:rPr>
          <w:rStyle w:val="FootnoteReference"/>
        </w:rPr>
        <w:footnoteReference w:id="77"/>
      </w:r>
      <w:r w:rsidR="002C04D2">
        <w:rPr>
          <w:vertAlign w:val="superscript"/>
        </w:rPr>
        <w:t>,</w:t>
      </w:r>
      <w:r w:rsidR="002C04D2">
        <w:rPr>
          <w:rStyle w:val="FootnoteReference"/>
        </w:rPr>
        <w:footnoteReference w:id="78"/>
      </w:r>
    </w:p>
    <w:p w14:paraId="4BE14F64" w14:textId="77777777" w:rsidR="00654FF9" w:rsidRDefault="00654FF9" w:rsidP="003420B4">
      <w:pPr>
        <w:contextualSpacing/>
      </w:pPr>
    </w:p>
    <w:p w14:paraId="500270A9" w14:textId="0CEA62A3" w:rsidR="00A20359" w:rsidRDefault="0038799B" w:rsidP="003420B4">
      <w:pPr>
        <w:pStyle w:val="ListParagraph"/>
        <w:numPr>
          <w:ilvl w:val="0"/>
          <w:numId w:val="45"/>
        </w:numPr>
      </w:pPr>
      <w:r>
        <w:rPr>
          <w:rStyle w:val="normaltextrun"/>
        </w:rPr>
        <w:t>A d</w:t>
      </w:r>
      <w:r w:rsidR="00374949" w:rsidRPr="00A23221">
        <w:rPr>
          <w:rStyle w:val="normaltextrun"/>
        </w:rPr>
        <w:t>escri</w:t>
      </w:r>
      <w:r w:rsidR="000E26A7">
        <w:rPr>
          <w:rStyle w:val="normaltextrun"/>
        </w:rPr>
        <w:t>ption of</w:t>
      </w:r>
      <w:r w:rsidR="00374949" w:rsidRPr="00A23221">
        <w:rPr>
          <w:rStyle w:val="normaltextrun"/>
        </w:rPr>
        <w:t xml:space="preserve"> the annual allocations of levy proceeds</w:t>
      </w:r>
      <w:r w:rsidR="00EB169C">
        <w:rPr>
          <w:rStyle w:val="normaltextrun"/>
        </w:rPr>
        <w:t>;</w:t>
      </w:r>
    </w:p>
    <w:p w14:paraId="54E52E4F" w14:textId="4117C35C" w:rsidR="00A20359" w:rsidRDefault="0038799B" w:rsidP="003420B4">
      <w:pPr>
        <w:pStyle w:val="ListParagraph"/>
        <w:numPr>
          <w:ilvl w:val="0"/>
          <w:numId w:val="45"/>
        </w:numPr>
      </w:pPr>
      <w:r>
        <w:t>A d</w:t>
      </w:r>
      <w:r w:rsidR="00E86039">
        <w:t>escr</w:t>
      </w:r>
      <w:r w:rsidR="00F06926">
        <w:t xml:space="preserve">iption </w:t>
      </w:r>
      <w:r w:rsidR="00CD4B34">
        <w:t>of</w:t>
      </w:r>
      <w:r w:rsidR="00E960D3">
        <w:t xml:space="preserve"> the </w:t>
      </w:r>
      <w:r w:rsidR="007A37AC" w:rsidRPr="00B2764F">
        <w:t xml:space="preserve">goals and strategies </w:t>
      </w:r>
      <w:r w:rsidR="00CD4B34">
        <w:t xml:space="preserve">that will remain </w:t>
      </w:r>
      <w:r w:rsidR="007A37AC" w:rsidRPr="00B2764F">
        <w:t xml:space="preserve">in the </w:t>
      </w:r>
      <w:r w:rsidR="007A37AC" w:rsidRPr="00B2764F">
        <w:rPr>
          <w:i/>
          <w:iCs/>
        </w:rPr>
        <w:t>Best Starts for Kids</w:t>
      </w:r>
      <w:r w:rsidR="007A37AC" w:rsidRPr="00B2764F">
        <w:t xml:space="preserve"> Implementation Plan </w:t>
      </w:r>
      <w:r w:rsidR="00E960D3">
        <w:t>from</w:t>
      </w:r>
      <w:r w:rsidR="000961EE">
        <w:t xml:space="preserve"> the</w:t>
      </w:r>
      <w:r w:rsidR="00E960D3">
        <w:t xml:space="preserve"> </w:t>
      </w:r>
      <w:r w:rsidR="00E960D3" w:rsidRPr="00354EFE">
        <w:rPr>
          <w:i/>
        </w:rPr>
        <w:t xml:space="preserve">Best </w:t>
      </w:r>
      <w:r w:rsidR="00D06735">
        <w:rPr>
          <w:i/>
        </w:rPr>
        <w:t xml:space="preserve">Starts for Kids </w:t>
      </w:r>
      <w:r w:rsidR="00D06735" w:rsidRPr="00FC04ED">
        <w:rPr>
          <w:iCs/>
        </w:rPr>
        <w:t>2016-2021 Implementation Plan</w:t>
      </w:r>
      <w:r w:rsidR="00EB169C" w:rsidRPr="00FC04ED">
        <w:rPr>
          <w:iCs/>
        </w:rPr>
        <w:t>;</w:t>
      </w:r>
      <w:r w:rsidR="00791013" w:rsidRPr="00FC04ED">
        <w:rPr>
          <w:iCs/>
        </w:rPr>
        <w:t xml:space="preserve"> </w:t>
      </w:r>
    </w:p>
    <w:p w14:paraId="2B101A80" w14:textId="27FFEB95" w:rsidR="008E0B58" w:rsidRPr="008E0B58" w:rsidRDefault="0038799B" w:rsidP="003420B4">
      <w:pPr>
        <w:pStyle w:val="ListParagraph"/>
        <w:numPr>
          <w:ilvl w:val="0"/>
          <w:numId w:val="45"/>
        </w:numPr>
      </w:pPr>
      <w:r>
        <w:rPr>
          <w:rFonts w:eastAsia="Calibri Light" w:cs="Times New Roman"/>
        </w:rPr>
        <w:t>A d</w:t>
      </w:r>
      <w:r w:rsidR="00E86039">
        <w:rPr>
          <w:rFonts w:eastAsia="Calibri Light" w:cs="Times New Roman"/>
        </w:rPr>
        <w:t>escri</w:t>
      </w:r>
      <w:r w:rsidR="00CD4B34">
        <w:rPr>
          <w:rFonts w:eastAsia="Calibri Light" w:cs="Times New Roman"/>
        </w:rPr>
        <w:t>ption</w:t>
      </w:r>
      <w:r w:rsidR="00E86039">
        <w:rPr>
          <w:rFonts w:eastAsia="Calibri Light" w:cs="Times New Roman"/>
        </w:rPr>
        <w:t xml:space="preserve"> </w:t>
      </w:r>
      <w:r w:rsidR="001B57F5">
        <w:rPr>
          <w:rFonts w:eastAsia="Calibri Light" w:cs="Times New Roman"/>
        </w:rPr>
        <w:t>of</w:t>
      </w:r>
      <w:r w:rsidR="00E86039">
        <w:rPr>
          <w:rFonts w:eastAsia="Calibri Light" w:cs="Times New Roman"/>
        </w:rPr>
        <w:t xml:space="preserve"> the </w:t>
      </w:r>
      <w:hyperlink r:id="rId14">
        <w:r w:rsidR="007E4206" w:rsidRPr="008E0B58">
          <w:rPr>
            <w:rStyle w:val="Hyperlink"/>
            <w:rFonts w:eastAsia="Calibri Light" w:cs="Times New Roman"/>
            <w:color w:val="auto"/>
            <w:u w:val="none"/>
          </w:rPr>
          <w:t>Youth and Family Homelessness Prevention Initiative</w:t>
        </w:r>
      </w:hyperlink>
      <w:r w:rsidR="007E4206" w:rsidRPr="00A20359">
        <w:rPr>
          <w:rFonts w:eastAsia="Calibri Light" w:cs="Times New Roman"/>
        </w:rPr>
        <w:t xml:space="preserve">, </w:t>
      </w:r>
      <w:r w:rsidR="007E4206" w:rsidRPr="00B2764F">
        <w:rPr>
          <w:rFonts w:eastAsia="Calibri Light" w:cs="Times New Roman"/>
        </w:rPr>
        <w:t xml:space="preserve">a new affordable child care program, a new child care </w:t>
      </w:r>
      <w:r w:rsidR="00DC53C0">
        <w:rPr>
          <w:rFonts w:eastAsia="Calibri Light" w:cs="Times New Roman"/>
        </w:rPr>
        <w:t>workforce</w:t>
      </w:r>
      <w:r w:rsidR="005C43FF">
        <w:rPr>
          <w:rFonts w:eastAsia="Calibri Light" w:cs="Times New Roman"/>
        </w:rPr>
        <w:t xml:space="preserve"> demonstration project</w:t>
      </w:r>
      <w:r w:rsidR="007E4206" w:rsidRPr="00B2764F">
        <w:rPr>
          <w:rFonts w:eastAsia="Calibri Light" w:cs="Times New Roman"/>
        </w:rPr>
        <w:t>, and continuing technical assistance and capacity building programs that support community-based organizations</w:t>
      </w:r>
      <w:r w:rsidR="00EB169C">
        <w:rPr>
          <w:rFonts w:eastAsia="Calibri Light" w:cs="Times New Roman"/>
        </w:rPr>
        <w:t>;</w:t>
      </w:r>
    </w:p>
    <w:p w14:paraId="4C49267F" w14:textId="5A051B12" w:rsidR="00E50D46" w:rsidRDefault="0038799B" w:rsidP="003420B4">
      <w:pPr>
        <w:pStyle w:val="ListParagraph"/>
        <w:numPr>
          <w:ilvl w:val="0"/>
          <w:numId w:val="45"/>
        </w:numPr>
      </w:pPr>
      <w:r>
        <w:t>A d</w:t>
      </w:r>
      <w:r w:rsidR="00360A99">
        <w:t>escri</w:t>
      </w:r>
      <w:r w:rsidR="00CD4B34">
        <w:t xml:space="preserve">ption of </w:t>
      </w:r>
      <w:r w:rsidR="00360A99">
        <w:t xml:space="preserve">a capital </w:t>
      </w:r>
      <w:r w:rsidR="0027360E">
        <w:t xml:space="preserve">grants </w:t>
      </w:r>
      <w:r w:rsidR="00360A99">
        <w:t xml:space="preserve">program that outlines </w:t>
      </w:r>
      <w:r w:rsidR="00CE5149">
        <w:t xml:space="preserve">process for </w:t>
      </w:r>
      <w:r w:rsidR="00C501A9">
        <w:t xml:space="preserve">distributing funds to support </w:t>
      </w:r>
      <w:r w:rsidR="00C51013">
        <w:t xml:space="preserve">repairs and expansion of buildings </w:t>
      </w:r>
      <w:r w:rsidR="00803006">
        <w:t>to support activities for youth and children</w:t>
      </w:r>
      <w:r w:rsidR="00EB169C">
        <w:t>;</w:t>
      </w:r>
      <w:r w:rsidR="00803006">
        <w:t xml:space="preserve"> </w:t>
      </w:r>
    </w:p>
    <w:p w14:paraId="520F84E7" w14:textId="58493516" w:rsidR="00206FBB" w:rsidRPr="005212E2" w:rsidRDefault="0038799B" w:rsidP="003420B4">
      <w:pPr>
        <w:pStyle w:val="ListParagraph"/>
        <w:numPr>
          <w:ilvl w:val="0"/>
          <w:numId w:val="45"/>
        </w:numPr>
      </w:pPr>
      <w:r>
        <w:rPr>
          <w:color w:val="000000"/>
          <w:shd w:val="clear" w:color="auto" w:fill="FFFFFF"/>
        </w:rPr>
        <w:t>A d</w:t>
      </w:r>
      <w:r w:rsidR="00CD4B34">
        <w:rPr>
          <w:color w:val="000000"/>
          <w:shd w:val="clear" w:color="auto" w:fill="FFFFFF"/>
        </w:rPr>
        <w:t>escription of the</w:t>
      </w:r>
      <w:r w:rsidR="00E50D46">
        <w:rPr>
          <w:color w:val="000000"/>
          <w:shd w:val="clear" w:color="auto" w:fill="FFFFFF"/>
        </w:rPr>
        <w:t xml:space="preserve"> framework to measure the performance of levy strategies in achieving their outcomes and require an annual report on levy expenditures, services and outcomes including how to report by </w:t>
      </w:r>
      <w:r w:rsidR="0027360E">
        <w:rPr>
          <w:color w:val="000000"/>
          <w:shd w:val="clear" w:color="auto" w:fill="FFFFFF"/>
        </w:rPr>
        <w:t>ZIP C</w:t>
      </w:r>
      <w:r w:rsidR="00E50D46">
        <w:rPr>
          <w:color w:val="000000"/>
          <w:shd w:val="clear" w:color="auto" w:fill="FFFFFF"/>
        </w:rPr>
        <w:t>ode level</w:t>
      </w:r>
      <w:r w:rsidR="00EB169C">
        <w:rPr>
          <w:color w:val="000000"/>
          <w:shd w:val="clear" w:color="auto" w:fill="FFFFFF"/>
        </w:rPr>
        <w:t>; and</w:t>
      </w:r>
    </w:p>
    <w:p w14:paraId="1F413BFB" w14:textId="23F2DB2F" w:rsidR="00803006" w:rsidRDefault="0038799B" w:rsidP="00025030">
      <w:pPr>
        <w:pStyle w:val="ListParagraph"/>
        <w:numPr>
          <w:ilvl w:val="0"/>
          <w:numId w:val="45"/>
        </w:numPr>
      </w:pPr>
      <w:r>
        <w:t xml:space="preserve">Identification of </w:t>
      </w:r>
      <w:r w:rsidR="003052F0">
        <w:t xml:space="preserve">strategies related to prevention, outreach and early intervention to address mental health and substance abuse impacts, in children and youth </w:t>
      </w:r>
      <w:r w:rsidR="00073EF4">
        <w:t xml:space="preserve">while considering </w:t>
      </w:r>
      <w:r w:rsidR="002A1CF8">
        <w:t xml:space="preserve">programs and services that access to substance </w:t>
      </w:r>
      <w:r w:rsidR="005123D0">
        <w:t>use disorder supports including awareness campaigns on substance abuse</w:t>
      </w:r>
      <w:r w:rsidR="00FC04ED">
        <w:t>.</w:t>
      </w:r>
    </w:p>
    <w:p w14:paraId="3129AD7C" w14:textId="77777777" w:rsidR="00803006" w:rsidRDefault="00803006" w:rsidP="003420B4">
      <w:pPr>
        <w:ind w:left="360"/>
      </w:pPr>
    </w:p>
    <w:p w14:paraId="043D5B4A" w14:textId="7E89D1EB" w:rsidR="008C1DED" w:rsidRDefault="00803006" w:rsidP="003420B4">
      <w:r>
        <w:t xml:space="preserve">A </w:t>
      </w:r>
      <w:r w:rsidR="006B4CC8">
        <w:t xml:space="preserve">comprehensive </w:t>
      </w:r>
      <w:r>
        <w:t xml:space="preserve">table of all requirements </w:t>
      </w:r>
      <w:r w:rsidR="00EB284A">
        <w:t xml:space="preserve">and how they </w:t>
      </w:r>
      <w:r w:rsidR="006B4CC8">
        <w:t xml:space="preserve">are addressed </w:t>
      </w:r>
      <w:r w:rsidR="005212E2">
        <w:t xml:space="preserve">within the </w:t>
      </w:r>
      <w:r w:rsidR="006F5483" w:rsidRPr="00354EFE">
        <w:rPr>
          <w:i/>
        </w:rPr>
        <w:t>Best Starts for Kids</w:t>
      </w:r>
      <w:r w:rsidR="006F5483">
        <w:t xml:space="preserve"> Implementation Plan 2022-2027 </w:t>
      </w:r>
      <w:r>
        <w:t xml:space="preserve">can be found in </w:t>
      </w:r>
      <w:r w:rsidR="00904618" w:rsidRPr="00D75A8A">
        <w:t>Appendix C</w:t>
      </w:r>
      <w:r w:rsidDel="00791013">
        <w:t xml:space="preserve">. </w:t>
      </w:r>
      <w:r w:rsidR="00C51013" w:rsidDel="00791013">
        <w:t xml:space="preserve"> </w:t>
      </w:r>
    </w:p>
    <w:p w14:paraId="16CC8597" w14:textId="77777777" w:rsidR="00ED4526" w:rsidRDefault="00ED4526" w:rsidP="00E019BD">
      <w:pPr>
        <w:spacing w:line="240" w:lineRule="auto"/>
      </w:pPr>
    </w:p>
    <w:p w14:paraId="6E3B7051" w14:textId="25A58070" w:rsidR="00032B45" w:rsidRPr="003C2590" w:rsidRDefault="00EB010A" w:rsidP="00EB010A">
      <w:pPr>
        <w:pStyle w:val="Heading2"/>
      </w:pPr>
      <w:bookmarkStart w:id="22" w:name="_Toc85188538"/>
      <w:r>
        <w:t xml:space="preserve">D. </w:t>
      </w:r>
      <w:r>
        <w:tab/>
      </w:r>
      <w:r w:rsidR="00F60CD2" w:rsidRPr="003C2590">
        <w:t>Report Methodology</w:t>
      </w:r>
      <w:bookmarkEnd w:id="22"/>
    </w:p>
    <w:p w14:paraId="312E1D16" w14:textId="25A58070" w:rsidR="00BF7570" w:rsidRDefault="00BF7570" w:rsidP="005B1E26">
      <w:pPr>
        <w:spacing w:line="240" w:lineRule="auto"/>
        <w:contextualSpacing/>
        <w:textAlignment w:val="baseline"/>
        <w:rPr>
          <w:rFonts w:cs="Calibri"/>
        </w:rPr>
      </w:pPr>
      <w:bookmarkStart w:id="23" w:name="_Hlk74684930"/>
    </w:p>
    <w:p w14:paraId="20FA103B" w14:textId="5ADA9429" w:rsidR="00F60CD2" w:rsidRPr="00D03F1F" w:rsidRDefault="00F60CD2" w:rsidP="003420B4">
      <w:pPr>
        <w:contextualSpacing/>
        <w:textAlignment w:val="baseline"/>
        <w:rPr>
          <w:rFonts w:cs="Calibri"/>
        </w:rPr>
      </w:pPr>
      <w:r w:rsidRPr="00D03F1F">
        <w:rPr>
          <w:rFonts w:cs="Calibri"/>
        </w:rPr>
        <w:t>The Department of Community and Human Services (DCHS) and Public Health—Seattle and King County (PHSKC)</w:t>
      </w:r>
      <w:r w:rsidR="005B1E26">
        <w:rPr>
          <w:rFonts w:cs="Calibri"/>
        </w:rPr>
        <w:t xml:space="preserve"> </w:t>
      </w:r>
      <w:r w:rsidRPr="00D03F1F">
        <w:rPr>
          <w:rFonts w:cs="Calibri"/>
        </w:rPr>
        <w:t>team</w:t>
      </w:r>
      <w:r w:rsidR="005B1E26">
        <w:rPr>
          <w:rFonts w:cs="Calibri"/>
        </w:rPr>
        <w:t xml:space="preserve"> </w:t>
      </w:r>
      <w:r w:rsidRPr="00D03F1F">
        <w:rPr>
          <w:rFonts w:cs="Calibri"/>
        </w:rPr>
        <w:t>administer</w:t>
      </w:r>
      <w:r w:rsidR="00FB4F38">
        <w:rPr>
          <w:rFonts w:cs="Calibri"/>
        </w:rPr>
        <w:t>ing</w:t>
      </w:r>
      <w:r w:rsidRPr="00D03F1F">
        <w:rPr>
          <w:rFonts w:cs="Calibri"/>
        </w:rPr>
        <w:t xml:space="preserve"> </w:t>
      </w:r>
      <w:r w:rsidRPr="00354EFE">
        <w:rPr>
          <w:rFonts w:cs="Calibri"/>
          <w:i/>
        </w:rPr>
        <w:t>Best Starts</w:t>
      </w:r>
      <w:r w:rsidRPr="00D03F1F">
        <w:rPr>
          <w:rFonts w:cs="Calibri"/>
        </w:rPr>
        <w:t xml:space="preserve"> prepared th</w:t>
      </w:r>
      <w:r w:rsidR="00032B45">
        <w:rPr>
          <w:rFonts w:cs="Calibri"/>
        </w:rPr>
        <w:t xml:space="preserve">e </w:t>
      </w:r>
      <w:r w:rsidR="007A13A4" w:rsidRPr="00354EFE">
        <w:rPr>
          <w:rFonts w:cs="Calibri"/>
          <w:i/>
        </w:rPr>
        <w:t xml:space="preserve">Best </w:t>
      </w:r>
      <w:r w:rsidR="007A13A4" w:rsidRPr="00354EFE">
        <w:rPr>
          <w:rFonts w:cs="Calibri"/>
          <w:i/>
          <w:iCs/>
        </w:rPr>
        <w:t>Start</w:t>
      </w:r>
      <w:r w:rsidR="001967C8" w:rsidRPr="00354EFE">
        <w:rPr>
          <w:rFonts w:cs="Calibri"/>
          <w:i/>
          <w:iCs/>
        </w:rPr>
        <w:t>s</w:t>
      </w:r>
      <w:r w:rsidR="007A13A4" w:rsidRPr="00354EFE">
        <w:rPr>
          <w:rFonts w:cs="Calibri"/>
          <w:i/>
        </w:rPr>
        <w:t xml:space="preserve"> for Kids</w:t>
      </w:r>
      <w:r w:rsidR="007A13A4" w:rsidRPr="00032B45">
        <w:rPr>
          <w:rFonts w:cs="Calibri"/>
        </w:rPr>
        <w:t xml:space="preserve"> Implementation Plan 2022-2027</w:t>
      </w:r>
      <w:r w:rsidR="00032B45">
        <w:rPr>
          <w:rFonts w:cs="Calibri"/>
        </w:rPr>
        <w:t>.</w:t>
      </w:r>
      <w:r w:rsidR="005B1E26">
        <w:rPr>
          <w:rFonts w:cs="Calibri"/>
        </w:rPr>
        <w:t xml:space="preserve"> </w:t>
      </w:r>
      <w:r w:rsidR="006E77EF">
        <w:rPr>
          <w:rFonts w:cs="Calibri"/>
        </w:rPr>
        <w:t>Th</w:t>
      </w:r>
      <w:r w:rsidR="00FB4F38">
        <w:rPr>
          <w:rFonts w:cs="Calibri"/>
        </w:rPr>
        <w:t>is</w:t>
      </w:r>
      <w:r w:rsidR="006E77EF">
        <w:rPr>
          <w:rFonts w:cs="Calibri"/>
        </w:rPr>
        <w:t xml:space="preserve"> interdepartmental team </w:t>
      </w:r>
      <w:r w:rsidR="00B06F8A">
        <w:rPr>
          <w:rFonts w:cs="Calibri"/>
        </w:rPr>
        <w:t xml:space="preserve">brought </w:t>
      </w:r>
      <w:r w:rsidR="00992318">
        <w:rPr>
          <w:rFonts w:cs="Calibri"/>
        </w:rPr>
        <w:t xml:space="preserve">together </w:t>
      </w:r>
      <w:r w:rsidR="00B06F8A">
        <w:rPr>
          <w:rFonts w:cs="Calibri"/>
        </w:rPr>
        <w:t>subject matter expertise</w:t>
      </w:r>
      <w:r w:rsidR="00CC0A9F">
        <w:rPr>
          <w:rFonts w:cs="Calibri"/>
        </w:rPr>
        <w:t xml:space="preserve">, examined </w:t>
      </w:r>
      <w:r w:rsidR="000B5FE9">
        <w:rPr>
          <w:rFonts w:cs="Calibri"/>
        </w:rPr>
        <w:t xml:space="preserve">successes and </w:t>
      </w:r>
      <w:r w:rsidR="008E726C">
        <w:rPr>
          <w:rFonts w:cs="Calibri"/>
        </w:rPr>
        <w:t xml:space="preserve">challenges from </w:t>
      </w:r>
      <w:r w:rsidR="00B851C9">
        <w:rPr>
          <w:rFonts w:cs="Calibri"/>
        </w:rPr>
        <w:t xml:space="preserve">the current Levy, </w:t>
      </w:r>
      <w:r w:rsidR="00AE67FE">
        <w:rPr>
          <w:rFonts w:cs="Calibri"/>
        </w:rPr>
        <w:t>cumulative community feedback</w:t>
      </w:r>
      <w:r w:rsidR="00315741">
        <w:rPr>
          <w:rFonts w:cs="Calibri"/>
        </w:rPr>
        <w:t>,</w:t>
      </w:r>
      <w:r w:rsidR="00B06F8A">
        <w:rPr>
          <w:rFonts w:cs="Calibri"/>
        </w:rPr>
        <w:t xml:space="preserve"> and data </w:t>
      </w:r>
      <w:r w:rsidR="009015B5">
        <w:rPr>
          <w:rFonts w:cs="Calibri"/>
        </w:rPr>
        <w:t>from</w:t>
      </w:r>
      <w:r w:rsidR="00B06F8A">
        <w:rPr>
          <w:rFonts w:cs="Calibri"/>
        </w:rPr>
        <w:t xml:space="preserve"> each department</w:t>
      </w:r>
      <w:r w:rsidR="00A07F59">
        <w:rPr>
          <w:rFonts w:cs="Calibri"/>
        </w:rPr>
        <w:t xml:space="preserve"> to ensure the Implementation Plan reflected </w:t>
      </w:r>
      <w:r w:rsidR="009C1179">
        <w:rPr>
          <w:rFonts w:cs="Calibri"/>
        </w:rPr>
        <w:t>communi</w:t>
      </w:r>
      <w:r w:rsidR="002303E3">
        <w:rPr>
          <w:rFonts w:cs="Calibri"/>
        </w:rPr>
        <w:t>ty input and</w:t>
      </w:r>
      <w:r w:rsidR="003911D6">
        <w:rPr>
          <w:rFonts w:cs="Calibri"/>
        </w:rPr>
        <w:t xml:space="preserve"> governing board </w:t>
      </w:r>
      <w:r w:rsidR="002303E3">
        <w:rPr>
          <w:rFonts w:cs="Calibri"/>
        </w:rPr>
        <w:t>guidance</w:t>
      </w:r>
      <w:r w:rsidR="003911D6">
        <w:rPr>
          <w:rFonts w:cs="Calibri"/>
        </w:rPr>
        <w:t xml:space="preserve">. Community and board </w:t>
      </w:r>
      <w:r w:rsidR="003E3436">
        <w:rPr>
          <w:rFonts w:cs="Calibri"/>
        </w:rPr>
        <w:t xml:space="preserve">participation in the development of this plan are outlined </w:t>
      </w:r>
      <w:r w:rsidR="00034E5A">
        <w:rPr>
          <w:rFonts w:cs="Calibri"/>
        </w:rPr>
        <w:t>in the next two sections of this report</w:t>
      </w:r>
      <w:r w:rsidR="0082770C">
        <w:rPr>
          <w:rFonts w:cs="Calibri"/>
        </w:rPr>
        <w:t>.</w:t>
      </w:r>
    </w:p>
    <w:p w14:paraId="3632FAF5" w14:textId="25A58070" w:rsidR="00F60CD2" w:rsidRPr="00D03F1F" w:rsidRDefault="00F60CD2" w:rsidP="00F60CD2">
      <w:pPr>
        <w:pStyle w:val="ListParagraph"/>
        <w:ind w:left="0"/>
        <w:rPr>
          <w:rFonts w:cs="Calibri"/>
        </w:rPr>
      </w:pPr>
    </w:p>
    <w:p w14:paraId="4884EF6B" w14:textId="77777777" w:rsidR="002E0C5F" w:rsidRDefault="002E0C5F">
      <w:pPr>
        <w:spacing w:line="240" w:lineRule="auto"/>
        <w:rPr>
          <w:rFonts w:eastAsiaTheme="majorEastAsia" w:cstheme="majorBidi"/>
          <w:color w:val="002060"/>
          <w:sz w:val="24"/>
          <w:szCs w:val="26"/>
        </w:rPr>
      </w:pPr>
      <w:r>
        <w:br w:type="page"/>
      </w:r>
    </w:p>
    <w:p w14:paraId="2E67F7CD" w14:textId="559B792F" w:rsidR="005C3758" w:rsidRPr="00D03F1F" w:rsidRDefault="003C2590" w:rsidP="00CD244C">
      <w:pPr>
        <w:pStyle w:val="Heading2"/>
        <w:rPr>
          <w:rFonts w:eastAsia="Calibri" w:cs="Calibri"/>
          <w:b/>
          <w:color w:val="000000" w:themeColor="text1"/>
        </w:rPr>
      </w:pPr>
      <w:bookmarkStart w:id="24" w:name="_Toc85188539"/>
      <w:r>
        <w:lastRenderedPageBreak/>
        <w:t>E</w:t>
      </w:r>
      <w:r w:rsidR="007268D3">
        <w:t xml:space="preserve">. </w:t>
      </w:r>
      <w:r w:rsidR="008A689A">
        <w:tab/>
      </w:r>
      <w:r w:rsidR="005C3758">
        <w:t>Community Engagement Summary</w:t>
      </w:r>
      <w:bookmarkEnd w:id="24"/>
      <w:r w:rsidR="005C3758">
        <w:t xml:space="preserve"> </w:t>
      </w:r>
    </w:p>
    <w:p w14:paraId="4EA79A6A" w14:textId="25A58070" w:rsidR="00D14AF9" w:rsidRDefault="00D14AF9" w:rsidP="005C3758">
      <w:pPr>
        <w:tabs>
          <w:tab w:val="left" w:pos="1688"/>
        </w:tabs>
        <w:contextualSpacing/>
        <w:rPr>
          <w:rFonts w:cs="Calibri"/>
        </w:rPr>
      </w:pPr>
    </w:p>
    <w:p w14:paraId="659A5241" w14:textId="640FD32F" w:rsidR="005C3758" w:rsidRPr="00D03F1F" w:rsidRDefault="005C3758" w:rsidP="005C3758">
      <w:pPr>
        <w:tabs>
          <w:tab w:val="left" w:pos="1688"/>
        </w:tabs>
        <w:contextualSpacing/>
        <w:rPr>
          <w:rFonts w:cs="Calibri"/>
        </w:rPr>
      </w:pPr>
      <w:r w:rsidRPr="00D03F1F">
        <w:rPr>
          <w:rFonts w:cs="Calibri"/>
        </w:rPr>
        <w:t>Communities informed planning for the proposed renewal</w:t>
      </w:r>
      <w:r w:rsidR="009C5120">
        <w:rPr>
          <w:rFonts w:cs="Calibri"/>
        </w:rPr>
        <w:t xml:space="preserve"> and</w:t>
      </w:r>
      <w:r w:rsidRPr="00D03F1F">
        <w:rPr>
          <w:rFonts w:cs="Calibri"/>
        </w:rPr>
        <w:t xml:space="preserve"> expansion</w:t>
      </w:r>
      <w:r w:rsidR="006569C5">
        <w:rPr>
          <w:rFonts w:cs="Calibri"/>
        </w:rPr>
        <w:t xml:space="preserve">, </w:t>
      </w:r>
      <w:r w:rsidR="002453BE">
        <w:rPr>
          <w:rFonts w:cs="Calibri"/>
        </w:rPr>
        <w:t xml:space="preserve">leading to the </w:t>
      </w:r>
      <w:r w:rsidRPr="00D03F1F">
        <w:rPr>
          <w:rFonts w:cs="Calibri"/>
          <w:i/>
        </w:rPr>
        <w:t>Best Starts for Kids</w:t>
      </w:r>
      <w:r w:rsidR="006569C5">
        <w:rPr>
          <w:rFonts w:cs="Calibri"/>
        </w:rPr>
        <w:t xml:space="preserve"> 2022</w:t>
      </w:r>
      <w:r w:rsidR="009C5120">
        <w:rPr>
          <w:rFonts w:cs="Calibri"/>
        </w:rPr>
        <w:t>-</w:t>
      </w:r>
      <w:r w:rsidR="006569C5">
        <w:rPr>
          <w:rFonts w:cs="Calibri"/>
        </w:rPr>
        <w:t xml:space="preserve">2027 </w:t>
      </w:r>
      <w:r w:rsidR="00461A44">
        <w:rPr>
          <w:rFonts w:cs="Calibri"/>
        </w:rPr>
        <w:t>I</w:t>
      </w:r>
      <w:r w:rsidR="006569C5">
        <w:rPr>
          <w:rFonts w:cs="Calibri"/>
        </w:rPr>
        <w:t xml:space="preserve">mplementation </w:t>
      </w:r>
      <w:r w:rsidR="00461A44">
        <w:rPr>
          <w:rFonts w:cs="Calibri"/>
        </w:rPr>
        <w:t>P</w:t>
      </w:r>
      <w:r w:rsidR="006569C5">
        <w:rPr>
          <w:rFonts w:cs="Calibri"/>
        </w:rPr>
        <w:t>lan</w:t>
      </w:r>
      <w:r w:rsidR="00081616">
        <w:rPr>
          <w:rFonts w:cs="Calibri"/>
        </w:rPr>
        <w:t>.</w:t>
      </w:r>
      <w:r w:rsidR="00E314B8">
        <w:rPr>
          <w:rFonts w:cs="Calibri"/>
        </w:rPr>
        <w:t xml:space="preserve"> </w:t>
      </w:r>
      <w:r w:rsidRPr="00D03F1F">
        <w:rPr>
          <w:rFonts w:cs="Calibri"/>
        </w:rPr>
        <w:t xml:space="preserve">In July 2020, </w:t>
      </w:r>
      <w:r w:rsidRPr="00D03F1F">
        <w:rPr>
          <w:rFonts w:cs="Calibri"/>
          <w:i/>
        </w:rPr>
        <w:t>Best Starts</w:t>
      </w:r>
      <w:r w:rsidRPr="00D03F1F">
        <w:rPr>
          <w:rFonts w:cs="Calibri"/>
        </w:rPr>
        <w:t xml:space="preserve"> sought community input via a survey on what the public felt had gone well and what modifications they wished to see if the levy were renewed. </w:t>
      </w:r>
      <w:r w:rsidRPr="00D03F1F">
        <w:rPr>
          <w:rFonts w:cs="Calibri"/>
          <w:i/>
        </w:rPr>
        <w:t>Best Starts</w:t>
      </w:r>
      <w:r w:rsidRPr="00D03F1F">
        <w:rPr>
          <w:rFonts w:cs="Calibri"/>
        </w:rPr>
        <w:t xml:space="preserve"> received over 180 responses to the survey. Building off this feedback, </w:t>
      </w:r>
      <w:bookmarkStart w:id="25" w:name="_Hlk74248651"/>
      <w:r w:rsidRPr="00D03F1F">
        <w:rPr>
          <w:rFonts w:cs="Calibri"/>
          <w:i/>
        </w:rPr>
        <w:t>Best Starts</w:t>
      </w:r>
      <w:r w:rsidRPr="00D03F1F">
        <w:rPr>
          <w:rFonts w:cs="Calibri"/>
        </w:rPr>
        <w:t xml:space="preserve"> then partnered with</w:t>
      </w:r>
      <w:r w:rsidR="00E214EE">
        <w:rPr>
          <w:rFonts w:cs="Calibri"/>
        </w:rPr>
        <w:t xml:space="preserve"> 10 </w:t>
      </w:r>
      <w:r w:rsidRPr="00D03F1F">
        <w:rPr>
          <w:rFonts w:cs="Calibri"/>
        </w:rPr>
        <w:t>regionally based coalitions of community organizations</w:t>
      </w:r>
      <w:r w:rsidRPr="00D03F1F" w:rsidDel="0058228E">
        <w:rPr>
          <w:rFonts w:cs="Calibri"/>
        </w:rPr>
        <w:t xml:space="preserve"> </w:t>
      </w:r>
      <w:r w:rsidRPr="00D03F1F">
        <w:rPr>
          <w:rFonts w:cs="Calibri"/>
        </w:rPr>
        <w:t>and five community stakeholder groups to host</w:t>
      </w:r>
      <w:r w:rsidR="00E214EE">
        <w:rPr>
          <w:rFonts w:cs="Calibri"/>
        </w:rPr>
        <w:t xml:space="preserve"> 15 </w:t>
      </w:r>
      <w:r w:rsidRPr="00D03F1F">
        <w:rPr>
          <w:rFonts w:cs="Calibri"/>
        </w:rPr>
        <w:t xml:space="preserve">listening sessions, from August through November 2020. Over 600 constituents attended the listening sessions and provided feedback. Community feedback stakeholder groups included Trauma Informed Restorative Practices Village, LGBTQ Allyship, Youth Development Executives of King County (YDEKC) and </w:t>
      </w:r>
      <w:r w:rsidRPr="00D03F1F">
        <w:rPr>
          <w:rFonts w:cs="Calibri"/>
          <w:i/>
        </w:rPr>
        <w:t>Best Starts for Kids</w:t>
      </w:r>
      <w:r w:rsidRPr="00D03F1F">
        <w:rPr>
          <w:rFonts w:cs="Calibri"/>
        </w:rPr>
        <w:t xml:space="preserve"> Summit Listening Sessions</w:t>
      </w:r>
      <w:bookmarkEnd w:id="25"/>
      <w:r w:rsidRPr="00D03F1F">
        <w:rPr>
          <w:rFonts w:cs="Calibri"/>
        </w:rPr>
        <w:t>.</w:t>
      </w:r>
      <w:r w:rsidRPr="00D03F1F">
        <w:rPr>
          <w:rStyle w:val="FootnoteReference"/>
          <w:rFonts w:cs="Calibri"/>
        </w:rPr>
        <w:footnoteReference w:id="79"/>
      </w:r>
      <w:r w:rsidRPr="00D03F1F">
        <w:rPr>
          <w:rFonts w:cs="Calibri"/>
        </w:rPr>
        <w:t xml:space="preserve"> </w:t>
      </w:r>
    </w:p>
    <w:p w14:paraId="6C527F32" w14:textId="77777777" w:rsidR="005C3758" w:rsidRPr="00D03F1F" w:rsidRDefault="005C3758" w:rsidP="005C3758">
      <w:pPr>
        <w:tabs>
          <w:tab w:val="left" w:pos="1688"/>
        </w:tabs>
        <w:contextualSpacing/>
        <w:rPr>
          <w:rFonts w:cs="Calibri"/>
        </w:rPr>
      </w:pPr>
    </w:p>
    <w:p w14:paraId="2E91FF41" w14:textId="18EC9253" w:rsidR="00E737E7" w:rsidRPr="00E737E7" w:rsidRDefault="00846E95" w:rsidP="00E737E7">
      <w:pPr>
        <w:tabs>
          <w:tab w:val="left" w:pos="1688"/>
        </w:tabs>
        <w:contextualSpacing/>
        <w:rPr>
          <w:rFonts w:cs="Calibri"/>
        </w:rPr>
      </w:pPr>
      <w:r>
        <w:rPr>
          <w:rFonts w:cs="Calibri"/>
        </w:rPr>
        <w:t>Rich feedback from the</w:t>
      </w:r>
      <w:r w:rsidRPr="00D03F1F">
        <w:rPr>
          <w:rFonts w:cs="Calibri"/>
        </w:rPr>
        <w:t xml:space="preserve"> </w:t>
      </w:r>
      <w:r w:rsidR="005C3758" w:rsidRPr="00D03F1F">
        <w:rPr>
          <w:rFonts w:cs="Calibri"/>
        </w:rPr>
        <w:t xml:space="preserve">community survey </w:t>
      </w:r>
      <w:r>
        <w:rPr>
          <w:rFonts w:cs="Calibri"/>
        </w:rPr>
        <w:t>and</w:t>
      </w:r>
      <w:r w:rsidR="005C3758" w:rsidRPr="00D03F1F">
        <w:rPr>
          <w:rFonts w:cs="Calibri"/>
        </w:rPr>
        <w:t xml:space="preserve"> listening sessions inform</w:t>
      </w:r>
      <w:r>
        <w:rPr>
          <w:rFonts w:cs="Calibri"/>
        </w:rPr>
        <w:t>ed</w:t>
      </w:r>
      <w:r w:rsidR="005C3758" w:rsidRPr="00D03F1F">
        <w:rPr>
          <w:rFonts w:cs="Calibri"/>
        </w:rPr>
        <w:t xml:space="preserve"> the recommendations for a renewed and expanded </w:t>
      </w:r>
      <w:r w:rsidR="005C3758" w:rsidRPr="00D03F1F">
        <w:rPr>
          <w:rFonts w:cs="Calibri"/>
          <w:i/>
        </w:rPr>
        <w:t>Best Starts</w:t>
      </w:r>
      <w:r w:rsidR="005C3758" w:rsidRPr="00D03F1F">
        <w:rPr>
          <w:rFonts w:cs="Calibri"/>
        </w:rPr>
        <w:t xml:space="preserve"> </w:t>
      </w:r>
      <w:r w:rsidR="00A24E7C">
        <w:rPr>
          <w:rFonts w:cs="Calibri"/>
        </w:rPr>
        <w:t>l</w:t>
      </w:r>
      <w:r w:rsidR="005C3758" w:rsidRPr="00D03F1F">
        <w:rPr>
          <w:rFonts w:cs="Calibri"/>
        </w:rPr>
        <w:t xml:space="preserve">evy. </w:t>
      </w:r>
      <w:r w:rsidR="00902C47">
        <w:rPr>
          <w:rFonts w:cs="Calibri"/>
        </w:rPr>
        <w:t>C</w:t>
      </w:r>
      <w:r w:rsidR="005C3758" w:rsidRPr="00D03F1F">
        <w:rPr>
          <w:rFonts w:cs="Calibri"/>
        </w:rPr>
        <w:t>ommunity</w:t>
      </w:r>
      <w:r w:rsidR="00902C47">
        <w:rPr>
          <w:rFonts w:cs="Calibri"/>
        </w:rPr>
        <w:t xml:space="preserve"> participants </w:t>
      </w:r>
      <w:r w:rsidR="005C3758" w:rsidRPr="00D03F1F">
        <w:rPr>
          <w:rFonts w:cs="Calibri"/>
        </w:rPr>
        <w:t xml:space="preserve">consistently expressed the desire to continue and expand current </w:t>
      </w:r>
      <w:r w:rsidR="005C3758" w:rsidRPr="00D03F1F">
        <w:rPr>
          <w:rFonts w:cs="Calibri"/>
          <w:i/>
        </w:rPr>
        <w:t>Best Starts</w:t>
      </w:r>
      <w:r w:rsidR="005C3758" w:rsidRPr="00D03F1F">
        <w:rPr>
          <w:rFonts w:cs="Calibri"/>
        </w:rPr>
        <w:t xml:space="preserve"> programs, and to amplify </w:t>
      </w:r>
      <w:r w:rsidR="005C3758" w:rsidRPr="00D03F1F">
        <w:rPr>
          <w:rFonts w:cs="Calibri"/>
          <w:i/>
        </w:rPr>
        <w:t>Best Sta</w:t>
      </w:r>
      <w:r w:rsidR="005C3758" w:rsidRPr="00902C47">
        <w:rPr>
          <w:rFonts w:cs="Calibri"/>
          <w:i/>
        </w:rPr>
        <w:t>rts</w:t>
      </w:r>
      <w:r w:rsidR="005C3758" w:rsidRPr="008B30B9">
        <w:rPr>
          <w:rFonts w:cs="Calibri"/>
          <w:i/>
        </w:rPr>
        <w:t xml:space="preserve">' </w:t>
      </w:r>
      <w:r w:rsidR="005C3758" w:rsidRPr="00D03F1F">
        <w:rPr>
          <w:rFonts w:cs="Calibri"/>
        </w:rPr>
        <w:t xml:space="preserve">commitment to racial equity. </w:t>
      </w:r>
      <w:bookmarkEnd w:id="23"/>
      <w:r w:rsidR="00F14DE3">
        <w:rPr>
          <w:rFonts w:cs="Calibri"/>
        </w:rPr>
        <w:t xml:space="preserve">Figure </w:t>
      </w:r>
      <w:r w:rsidR="00ED0A5B">
        <w:rPr>
          <w:rFonts w:cs="Calibri"/>
        </w:rPr>
        <w:t>3</w:t>
      </w:r>
      <w:r w:rsidR="009C58D1">
        <w:rPr>
          <w:rFonts w:cs="Calibri"/>
        </w:rPr>
        <w:t xml:space="preserve"> provides highlights </w:t>
      </w:r>
      <w:r w:rsidR="00B86531">
        <w:rPr>
          <w:rFonts w:cs="Calibri"/>
        </w:rPr>
        <w:t>of</w:t>
      </w:r>
      <w:r w:rsidR="009C58D1">
        <w:rPr>
          <w:rFonts w:cs="Calibri"/>
        </w:rPr>
        <w:t xml:space="preserve"> findings gathered from community engagement</w:t>
      </w:r>
      <w:r w:rsidR="00E4284C">
        <w:rPr>
          <w:rFonts w:cs="Calibri"/>
        </w:rPr>
        <w:t xml:space="preserve">. </w:t>
      </w:r>
    </w:p>
    <w:p w14:paraId="5A849843" w14:textId="77777777" w:rsidR="00B60709" w:rsidRPr="00975FDE" w:rsidRDefault="00B60709" w:rsidP="00975FDE">
      <w:pPr>
        <w:tabs>
          <w:tab w:val="left" w:pos="1688"/>
        </w:tabs>
        <w:contextualSpacing/>
        <w:rPr>
          <w:rFonts w:cs="Calibri"/>
        </w:rPr>
      </w:pPr>
    </w:p>
    <w:p w14:paraId="56AE8198" w14:textId="2AEB9028" w:rsidR="00975FDE" w:rsidRDefault="00975FDE" w:rsidP="00975FDE">
      <w:pPr>
        <w:pStyle w:val="Caption"/>
        <w:keepNext/>
      </w:pPr>
      <w:r>
        <w:lastRenderedPageBreak/>
        <w:t xml:space="preserve">Figure </w:t>
      </w:r>
      <w:fldSimple w:instr=" SEQ Figure \* ARABIC ">
        <w:r w:rsidR="00BA700A">
          <w:rPr>
            <w:noProof/>
          </w:rPr>
          <w:t>3</w:t>
        </w:r>
      </w:fldSimple>
      <w:r>
        <w:t xml:space="preserve">: </w:t>
      </w:r>
      <w:bookmarkStart w:id="26" w:name="Community_Partnership_Themes"/>
      <w:r>
        <w:t>Community Partnership Key Themes</w:t>
      </w:r>
    </w:p>
    <w:tbl>
      <w:tblPr>
        <w:tblStyle w:val="TableGrid"/>
        <w:tblW w:w="9041" w:type="dxa"/>
        <w:tblInd w:w="247"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9041"/>
      </w:tblGrid>
      <w:tr w:rsidR="0073581A" w14:paraId="615BFC0C" w14:textId="77777777" w:rsidTr="00C804ED">
        <w:trPr>
          <w:trHeight w:val="7284"/>
        </w:trPr>
        <w:tc>
          <w:tcPr>
            <w:tcW w:w="9041" w:type="dxa"/>
          </w:tcPr>
          <w:bookmarkEnd w:id="26"/>
          <w:p w14:paraId="395565D6" w14:textId="77777777" w:rsidR="0073581A" w:rsidRPr="00D03F1F" w:rsidRDefault="0073581A" w:rsidP="00C804ED">
            <w:pPr>
              <w:contextualSpacing/>
              <w:rPr>
                <w:rFonts w:cs="Calibri"/>
                <w:b/>
                <w:bCs/>
                <w:color w:val="4472C4" w:themeColor="accent1"/>
              </w:rPr>
            </w:pPr>
            <w:r w:rsidRPr="00D03F1F">
              <w:rPr>
                <w:rFonts w:cs="Calibri"/>
                <w:b/>
                <w:bCs/>
                <w:color w:val="4472C4" w:themeColor="accent1"/>
              </w:rPr>
              <w:t xml:space="preserve">Key Themes from </w:t>
            </w:r>
            <w:r w:rsidRPr="00D03F1F">
              <w:rPr>
                <w:rFonts w:cs="Calibri"/>
                <w:b/>
                <w:bCs/>
                <w:i/>
                <w:iCs/>
                <w:color w:val="4472C4" w:themeColor="accent1"/>
              </w:rPr>
              <w:t>Best Starts</w:t>
            </w:r>
            <w:r w:rsidRPr="00D03F1F">
              <w:rPr>
                <w:rFonts w:cs="Calibri"/>
                <w:b/>
                <w:bCs/>
                <w:color w:val="4472C4" w:themeColor="accent1"/>
              </w:rPr>
              <w:t xml:space="preserve">’ 2020 Community Partnership and Engagement:  </w:t>
            </w:r>
          </w:p>
          <w:p w14:paraId="1C308D86" w14:textId="77777777" w:rsidR="0073581A" w:rsidRPr="00D03F1F" w:rsidRDefault="0073581A" w:rsidP="00C804ED">
            <w:pPr>
              <w:contextualSpacing/>
              <w:rPr>
                <w:rFonts w:cs="Calibri"/>
                <w:b/>
                <w:bCs/>
                <w:color w:val="4472C4" w:themeColor="accent1"/>
              </w:rPr>
            </w:pPr>
            <w:r w:rsidRPr="00D03F1F">
              <w:rPr>
                <w:rFonts w:cs="Calibri"/>
                <w:b/>
                <w:bCs/>
              </w:rPr>
              <w:t xml:space="preserve">What </w:t>
            </w:r>
            <w:r w:rsidRPr="00D03F1F">
              <w:rPr>
                <w:rFonts w:cs="Calibri"/>
                <w:b/>
                <w:bCs/>
                <w:i/>
                <w:iCs/>
              </w:rPr>
              <w:t>Best Starts</w:t>
            </w:r>
            <w:r w:rsidRPr="00D03F1F">
              <w:rPr>
                <w:rFonts w:cs="Calibri"/>
                <w:b/>
                <w:bCs/>
              </w:rPr>
              <w:t xml:space="preserve"> priorities are most important to continue?</w:t>
            </w:r>
          </w:p>
          <w:p w14:paraId="0DB20BCC" w14:textId="1DD92F1F" w:rsidR="0073581A" w:rsidRPr="00D03F1F" w:rsidRDefault="0073581A" w:rsidP="009230D5">
            <w:pPr>
              <w:pStyle w:val="ListParagraph"/>
              <w:numPr>
                <w:ilvl w:val="1"/>
                <w:numId w:val="6"/>
              </w:numPr>
              <w:rPr>
                <w:rFonts w:cs="Calibri"/>
                <w:b/>
              </w:rPr>
            </w:pPr>
            <w:r w:rsidRPr="00D03F1F">
              <w:rPr>
                <w:rFonts w:cs="Calibri"/>
                <w:b/>
              </w:rPr>
              <w:t>Technical Assistance and Capacity Building has been important for CBOs</w:t>
            </w:r>
            <w:r w:rsidRPr="00D03F1F" w:rsidDel="00791013">
              <w:rPr>
                <w:rFonts w:cs="Calibri"/>
                <w:b/>
              </w:rPr>
              <w:t xml:space="preserve">. </w:t>
            </w:r>
            <w:r w:rsidRPr="00D03F1F">
              <w:rPr>
                <w:rFonts w:cs="Calibri"/>
                <w:i/>
              </w:rPr>
              <w:t>Best Starts</w:t>
            </w:r>
            <w:r w:rsidRPr="00D03F1F">
              <w:rPr>
                <w:rFonts w:cs="Calibri"/>
              </w:rPr>
              <w:t>’ approach to equity and effective contracting often meant working with community partners that have not engaged previously with King County. The ability to support partners in developing their organizations and to invest in their infrastructure has helped provider organizations deliver better services and meet County contracting requirements.</w:t>
            </w:r>
          </w:p>
          <w:p w14:paraId="027B5AD8" w14:textId="0B0DEE86" w:rsidR="0073581A" w:rsidRPr="00D03F1F" w:rsidRDefault="0073581A" w:rsidP="009230D5">
            <w:pPr>
              <w:pStyle w:val="ListParagraph"/>
              <w:numPr>
                <w:ilvl w:val="1"/>
                <w:numId w:val="6"/>
              </w:numPr>
              <w:rPr>
                <w:rFonts w:cs="Calibri"/>
                <w:b/>
              </w:rPr>
            </w:pPr>
            <w:r w:rsidRPr="00D03F1F">
              <w:rPr>
                <w:rFonts w:cs="Calibri"/>
                <w:b/>
              </w:rPr>
              <w:t>Flexibility to adjust funding to meet unmet needs, especially during COVID-19</w:t>
            </w:r>
            <w:r w:rsidR="00B8484B">
              <w:rPr>
                <w:rFonts w:cs="Calibri"/>
                <w:b/>
              </w:rPr>
              <w:t>,</w:t>
            </w:r>
            <w:r w:rsidRPr="00D03F1F">
              <w:rPr>
                <w:rFonts w:cs="Calibri"/>
                <w:b/>
              </w:rPr>
              <w:t xml:space="preserve"> has been critical</w:t>
            </w:r>
            <w:r w:rsidR="006B46C1">
              <w:rPr>
                <w:rFonts w:cs="Calibri"/>
                <w:b/>
              </w:rPr>
              <w:t xml:space="preserve">. </w:t>
            </w:r>
            <w:r w:rsidRPr="00D03F1F">
              <w:rPr>
                <w:rFonts w:cs="Calibri"/>
              </w:rPr>
              <w:t xml:space="preserve">Contracts that focus on </w:t>
            </w:r>
            <w:r w:rsidRPr="00D03F1F">
              <w:rPr>
                <w:rFonts w:cs="Calibri"/>
                <w:i/>
              </w:rPr>
              <w:t>what</w:t>
            </w:r>
            <w:r w:rsidRPr="00D03F1F">
              <w:rPr>
                <w:rFonts w:cs="Calibri"/>
              </w:rPr>
              <w:t xml:space="preserve"> changes and outcomes to achieve rather than on overly specific requirements on </w:t>
            </w:r>
            <w:r w:rsidRPr="00D03F1F">
              <w:rPr>
                <w:rFonts w:cs="Calibri"/>
                <w:i/>
              </w:rPr>
              <w:t>how</w:t>
            </w:r>
            <w:r w:rsidRPr="00D03F1F">
              <w:rPr>
                <w:rFonts w:cs="Calibri"/>
              </w:rPr>
              <w:t xml:space="preserve"> to provide services equip contracted partners with the right amount of flexibility to serve clients</w:t>
            </w:r>
            <w:r w:rsidR="006B46C1">
              <w:rPr>
                <w:rFonts w:cs="Calibri"/>
              </w:rPr>
              <w:t>.</w:t>
            </w:r>
            <w:r w:rsidR="006B46C1" w:rsidRPr="00D03F1F">
              <w:rPr>
                <w:rFonts w:cs="Calibri"/>
              </w:rPr>
              <w:t xml:space="preserve"> </w:t>
            </w:r>
            <w:r w:rsidRPr="00D03F1F">
              <w:rPr>
                <w:rFonts w:cs="Calibri"/>
              </w:rPr>
              <w:t>The ability to tailor services became even more important in 2020 as needs in communities changed quickly.</w:t>
            </w:r>
          </w:p>
          <w:p w14:paraId="5158B9C1" w14:textId="42AF2326" w:rsidR="0073581A" w:rsidRPr="00D03F1F" w:rsidRDefault="0073581A" w:rsidP="009230D5">
            <w:pPr>
              <w:pStyle w:val="ListParagraph"/>
              <w:numPr>
                <w:ilvl w:val="1"/>
                <w:numId w:val="6"/>
              </w:numPr>
              <w:rPr>
                <w:rFonts w:cs="Calibri"/>
                <w:b/>
              </w:rPr>
            </w:pPr>
            <w:r w:rsidRPr="00D03F1F">
              <w:rPr>
                <w:rFonts w:cs="Calibri"/>
                <w:b/>
              </w:rPr>
              <w:t>Clear focus on racial equity should continue and deepen</w:t>
            </w:r>
            <w:r w:rsidR="006B46C1">
              <w:rPr>
                <w:rFonts w:cs="Calibri"/>
                <w:b/>
              </w:rPr>
              <w:t xml:space="preserve">. </w:t>
            </w:r>
            <w:r w:rsidRPr="00D03F1F">
              <w:rPr>
                <w:rFonts w:cs="Calibri"/>
              </w:rPr>
              <w:t xml:space="preserve">Undoing a problem as engrained and pernicious as racism will require constant attention. Long-standing government practices have for centuries systematized racism. Government policies that will contribute to undoing racism must receive tireless support to succeed. </w:t>
            </w:r>
          </w:p>
          <w:p w14:paraId="1355E5C2" w14:textId="5CFB351B" w:rsidR="0073581A" w:rsidRPr="00A22A24" w:rsidRDefault="0073581A" w:rsidP="009230D5">
            <w:pPr>
              <w:pStyle w:val="ListParagraph"/>
              <w:numPr>
                <w:ilvl w:val="1"/>
                <w:numId w:val="6"/>
              </w:numPr>
              <w:rPr>
                <w:rFonts w:cs="Calibri"/>
                <w:b/>
              </w:rPr>
            </w:pPr>
            <w:r w:rsidRPr="00D03F1F">
              <w:rPr>
                <w:rFonts w:cs="Calibri"/>
                <w:b/>
              </w:rPr>
              <w:t xml:space="preserve">Multi-year funding structure </w:t>
            </w:r>
            <w:r w:rsidR="006A7EE6">
              <w:rPr>
                <w:rFonts w:cs="Calibri"/>
                <w:b/>
              </w:rPr>
              <w:t>creates needed stability</w:t>
            </w:r>
            <w:r w:rsidRPr="00D03F1F" w:rsidDel="00791013">
              <w:rPr>
                <w:rFonts w:cs="Calibri"/>
                <w:b/>
              </w:rPr>
              <w:t>.</w:t>
            </w:r>
            <w:r w:rsidR="00791013">
              <w:rPr>
                <w:rFonts w:cs="Calibri"/>
                <w:b/>
              </w:rPr>
              <w:t xml:space="preserve"> </w:t>
            </w:r>
            <w:r w:rsidRPr="00D03F1F">
              <w:rPr>
                <w:rFonts w:cs="Calibri"/>
              </w:rPr>
              <w:t xml:space="preserve">It is difficult for a community-based provider to hire and sustain staff and form effective client and community relationships when funding patterns create too much uncertainty. Although communities want opportunities for new organizations to apply for </w:t>
            </w:r>
            <w:r w:rsidRPr="00D03F1F">
              <w:rPr>
                <w:rFonts w:cs="Calibri"/>
                <w:i/>
              </w:rPr>
              <w:t>Best Starts</w:t>
            </w:r>
            <w:r w:rsidRPr="00D03F1F">
              <w:rPr>
                <w:rFonts w:cs="Calibri"/>
              </w:rPr>
              <w:t xml:space="preserve"> funding, funding commitments of greater than one year are stabilizing and better support effective services.</w:t>
            </w:r>
          </w:p>
        </w:tc>
      </w:tr>
    </w:tbl>
    <w:p w14:paraId="20E13785" w14:textId="77777777" w:rsidR="0073581A" w:rsidRPr="00D03F1F" w:rsidRDefault="0073581A" w:rsidP="0073581A">
      <w:pPr>
        <w:contextualSpacing/>
        <w:rPr>
          <w:rFonts w:cs="Calibri"/>
        </w:rPr>
      </w:pPr>
    </w:p>
    <w:tbl>
      <w:tblPr>
        <w:tblStyle w:val="TableGrid"/>
        <w:tblW w:w="9000" w:type="dxa"/>
        <w:tblInd w:w="240"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9000"/>
      </w:tblGrid>
      <w:tr w:rsidR="0073581A" w14:paraId="240C4E56" w14:textId="77777777" w:rsidTr="002C22A3">
        <w:tc>
          <w:tcPr>
            <w:tcW w:w="9000" w:type="dxa"/>
          </w:tcPr>
          <w:p w14:paraId="7B1BB704" w14:textId="77777777" w:rsidR="0073581A" w:rsidRPr="00D03F1F" w:rsidRDefault="0073581A" w:rsidP="00C804ED">
            <w:pPr>
              <w:contextualSpacing/>
              <w:rPr>
                <w:rFonts w:cs="Calibri"/>
                <w:b/>
                <w:bCs/>
                <w:color w:val="4472C4" w:themeColor="accent1"/>
              </w:rPr>
            </w:pPr>
            <w:r w:rsidRPr="00D03F1F">
              <w:rPr>
                <w:rFonts w:cs="Calibri"/>
                <w:b/>
                <w:bCs/>
                <w:color w:val="4472C4" w:themeColor="accent1"/>
              </w:rPr>
              <w:t xml:space="preserve">Key Themes from </w:t>
            </w:r>
            <w:r w:rsidRPr="00D03F1F">
              <w:rPr>
                <w:rFonts w:cs="Calibri"/>
                <w:b/>
                <w:bCs/>
                <w:i/>
                <w:iCs/>
                <w:color w:val="4472C4" w:themeColor="accent1"/>
              </w:rPr>
              <w:t>Best Starts</w:t>
            </w:r>
            <w:r w:rsidRPr="00D03F1F">
              <w:rPr>
                <w:rFonts w:cs="Calibri"/>
                <w:b/>
                <w:bCs/>
                <w:color w:val="4472C4" w:themeColor="accent1"/>
              </w:rPr>
              <w:t xml:space="preserve">’ 2020 Community Partnership and Engagement:  </w:t>
            </w:r>
          </w:p>
          <w:p w14:paraId="7148FC27" w14:textId="77777777" w:rsidR="0073581A" w:rsidRPr="00D03F1F" w:rsidRDefault="0073581A" w:rsidP="00C804ED">
            <w:pPr>
              <w:contextualSpacing/>
              <w:rPr>
                <w:rFonts w:cs="Calibri"/>
                <w:b/>
                <w:bCs/>
              </w:rPr>
            </w:pPr>
            <w:r w:rsidRPr="00D03F1F">
              <w:rPr>
                <w:rFonts w:cs="Calibri"/>
                <w:b/>
                <w:bCs/>
              </w:rPr>
              <w:t xml:space="preserve">How can </w:t>
            </w:r>
            <w:r w:rsidRPr="00D03F1F">
              <w:rPr>
                <w:rFonts w:cs="Calibri"/>
                <w:b/>
                <w:bCs/>
                <w:i/>
                <w:iCs/>
              </w:rPr>
              <w:t>Best Starts</w:t>
            </w:r>
            <w:r w:rsidRPr="00D03F1F">
              <w:rPr>
                <w:rFonts w:cs="Calibri"/>
                <w:b/>
                <w:bCs/>
              </w:rPr>
              <w:t xml:space="preserve"> for Kids improve?</w:t>
            </w:r>
          </w:p>
          <w:p w14:paraId="17FE4CFF" w14:textId="7A0E8E8F" w:rsidR="0073581A" w:rsidRPr="00D03F1F" w:rsidRDefault="0073581A" w:rsidP="009230D5">
            <w:pPr>
              <w:pStyle w:val="ListParagraph"/>
              <w:numPr>
                <w:ilvl w:val="1"/>
                <w:numId w:val="5"/>
              </w:numPr>
              <w:rPr>
                <w:rFonts w:cs="Calibri"/>
                <w:b/>
              </w:rPr>
            </w:pPr>
            <w:r w:rsidRPr="00D03F1F">
              <w:rPr>
                <w:rFonts w:cs="Calibri"/>
                <w:b/>
              </w:rPr>
              <w:t>Streamline data collection and reporting processes</w:t>
            </w:r>
            <w:r w:rsidRPr="00D03F1F" w:rsidDel="00791013">
              <w:rPr>
                <w:rFonts w:cs="Calibri"/>
                <w:b/>
              </w:rPr>
              <w:t xml:space="preserve">. </w:t>
            </w:r>
            <w:r w:rsidRPr="00D03F1F">
              <w:rPr>
                <w:rFonts w:cs="Calibri"/>
              </w:rPr>
              <w:t>Reporting, especially for smaller organizations, should not become so detailed or cumbersome that it distracts from service delivery.</w:t>
            </w:r>
          </w:p>
          <w:p w14:paraId="11DC8A9C" w14:textId="00316443" w:rsidR="0073581A" w:rsidRPr="00D03F1F" w:rsidRDefault="0073581A" w:rsidP="009230D5">
            <w:pPr>
              <w:pStyle w:val="ListParagraph"/>
              <w:numPr>
                <w:ilvl w:val="1"/>
                <w:numId w:val="5"/>
              </w:numPr>
              <w:rPr>
                <w:rFonts w:cs="Calibri"/>
                <w:b/>
              </w:rPr>
            </w:pPr>
            <w:r w:rsidRPr="00D03F1F">
              <w:rPr>
                <w:rFonts w:cs="Calibri"/>
                <w:b/>
              </w:rPr>
              <w:t>Continue to expand funding to reach all areas of King County, including rural and unincorporated</w:t>
            </w:r>
            <w:r w:rsidRPr="00D03F1F" w:rsidDel="00791013">
              <w:rPr>
                <w:rFonts w:cs="Calibri"/>
                <w:b/>
              </w:rPr>
              <w:t xml:space="preserve">. </w:t>
            </w:r>
            <w:r w:rsidRPr="00D03F1F">
              <w:rPr>
                <w:rFonts w:cs="Calibri"/>
              </w:rPr>
              <w:t xml:space="preserve">Scarcity of human services </w:t>
            </w:r>
            <w:r w:rsidR="006B0F5F">
              <w:rPr>
                <w:rFonts w:cs="Calibri"/>
              </w:rPr>
              <w:t xml:space="preserve">and public health </w:t>
            </w:r>
            <w:r w:rsidRPr="00D03F1F">
              <w:rPr>
                <w:rFonts w:cs="Calibri"/>
              </w:rPr>
              <w:t xml:space="preserve">funding means that programs are rarely well-funded enough to meet the level of need in the community. Expanding funding is important to allow </w:t>
            </w:r>
            <w:r w:rsidR="00242F3A">
              <w:rPr>
                <w:rFonts w:cs="Calibri"/>
              </w:rPr>
              <w:t xml:space="preserve">public health and human </w:t>
            </w:r>
            <w:r w:rsidRPr="00D03F1F">
              <w:rPr>
                <w:rFonts w:cs="Calibri"/>
              </w:rPr>
              <w:t>service areas to grow and create service access, even in more remote and less traditionally well served parts of the County.</w:t>
            </w:r>
          </w:p>
          <w:p w14:paraId="54BE5072" w14:textId="1AB30C54" w:rsidR="0073581A" w:rsidRPr="00D03F1F" w:rsidRDefault="0073581A" w:rsidP="009230D5">
            <w:pPr>
              <w:pStyle w:val="ListParagraph"/>
              <w:numPr>
                <w:ilvl w:val="1"/>
                <w:numId w:val="5"/>
              </w:numPr>
              <w:rPr>
                <w:rFonts w:eastAsia="Times New Roman" w:cs="Calibri"/>
                <w:b/>
              </w:rPr>
            </w:pPr>
            <w:r w:rsidRPr="00D03F1F">
              <w:rPr>
                <w:rFonts w:cs="Calibri"/>
                <w:b/>
              </w:rPr>
              <w:t>Provide continuity and flexible funding</w:t>
            </w:r>
            <w:r w:rsidRPr="00D03F1F" w:rsidDel="00791013">
              <w:rPr>
                <w:rFonts w:cs="Calibri"/>
                <w:b/>
              </w:rPr>
              <w:t xml:space="preserve">. </w:t>
            </w:r>
            <w:r w:rsidRPr="00D03F1F">
              <w:rPr>
                <w:rFonts w:eastAsia="Times New Roman" w:cs="Calibri"/>
              </w:rPr>
              <w:t xml:space="preserve">In addition to scarcity, community partners routinely experience funding instability and funding rigidity that complicate service delivery and effectiveness. Even though </w:t>
            </w:r>
            <w:r w:rsidRPr="00D03F1F">
              <w:rPr>
                <w:rFonts w:eastAsia="Times New Roman" w:cs="Calibri"/>
                <w:i/>
              </w:rPr>
              <w:t>Best Starts</w:t>
            </w:r>
            <w:r w:rsidRPr="00D03F1F">
              <w:rPr>
                <w:rFonts w:eastAsia="Times New Roman" w:cs="Calibri"/>
              </w:rPr>
              <w:t xml:space="preserve">’ relatively </w:t>
            </w:r>
            <w:r w:rsidRPr="00D03F1F">
              <w:rPr>
                <w:rFonts w:eastAsia="Times New Roman" w:cs="Calibri"/>
              </w:rPr>
              <w:lastRenderedPageBreak/>
              <w:t>longer and more flexible funding approaches were identified as a strength, community members identified the importance of doing more to promote continuity and flexibility.</w:t>
            </w:r>
          </w:p>
          <w:p w14:paraId="24211416" w14:textId="466277F7" w:rsidR="0073581A" w:rsidRPr="00D03F1F" w:rsidRDefault="0073581A" w:rsidP="009230D5">
            <w:pPr>
              <w:pStyle w:val="ListParagraph"/>
              <w:numPr>
                <w:ilvl w:val="1"/>
                <w:numId w:val="5"/>
              </w:numPr>
              <w:rPr>
                <w:rFonts w:cs="Calibri"/>
                <w:b/>
              </w:rPr>
            </w:pPr>
            <w:r w:rsidRPr="00D03F1F">
              <w:rPr>
                <w:rFonts w:cs="Calibri"/>
                <w:b/>
              </w:rPr>
              <w:t>Continue to develop intentional and effective partnerships with community, incorporate parents and young people in decision-making</w:t>
            </w:r>
            <w:r w:rsidRPr="00D03F1F" w:rsidDel="00791013">
              <w:rPr>
                <w:rFonts w:cs="Calibri"/>
                <w:b/>
              </w:rPr>
              <w:t xml:space="preserve">. </w:t>
            </w:r>
            <w:r w:rsidRPr="00D03F1F">
              <w:rPr>
                <w:rFonts w:cs="Calibri"/>
              </w:rPr>
              <w:t xml:space="preserve">The field of human services has a long history of </w:t>
            </w:r>
            <w:r w:rsidRPr="00D03F1F">
              <w:rPr>
                <w:rFonts w:cs="Calibri"/>
                <w:i/>
              </w:rPr>
              <w:t>doing</w:t>
            </w:r>
            <w:r w:rsidRPr="00D03F1F">
              <w:rPr>
                <w:rFonts w:cs="Calibri"/>
              </w:rPr>
              <w:t xml:space="preserve"> </w:t>
            </w:r>
            <w:r w:rsidRPr="00D03F1F">
              <w:rPr>
                <w:rFonts w:cs="Calibri"/>
                <w:i/>
              </w:rPr>
              <w:t xml:space="preserve">to </w:t>
            </w:r>
            <w:r w:rsidRPr="00D03F1F">
              <w:rPr>
                <w:rFonts w:cs="Calibri"/>
              </w:rPr>
              <w:t xml:space="preserve">communities and clients instead of </w:t>
            </w:r>
            <w:r w:rsidRPr="00D03F1F">
              <w:rPr>
                <w:rFonts w:cs="Calibri"/>
                <w:i/>
              </w:rPr>
              <w:t>working in partnership</w:t>
            </w:r>
            <w:r w:rsidRPr="00D03F1F">
              <w:rPr>
                <w:rFonts w:cs="Calibri"/>
              </w:rPr>
              <w:t xml:space="preserve"> with communities and clients. </w:t>
            </w:r>
            <w:r w:rsidRPr="00D03F1F">
              <w:rPr>
                <w:rFonts w:cs="Calibri"/>
                <w:i/>
              </w:rPr>
              <w:t>Best Starts</w:t>
            </w:r>
            <w:r w:rsidRPr="00D03F1F">
              <w:rPr>
                <w:rFonts w:cs="Calibri"/>
              </w:rPr>
              <w:t xml:space="preserve"> should deepen efforts to support communities’ and clients’ agency in their own development, including a specific focus on engaging children, youth</w:t>
            </w:r>
            <w:r w:rsidR="00102883">
              <w:rPr>
                <w:rFonts w:cs="Calibri"/>
              </w:rPr>
              <w:t>,</w:t>
            </w:r>
            <w:r w:rsidRPr="00D03F1F">
              <w:rPr>
                <w:rFonts w:cs="Calibri"/>
              </w:rPr>
              <w:t xml:space="preserve"> and young adults in decision making.</w:t>
            </w:r>
          </w:p>
        </w:tc>
      </w:tr>
    </w:tbl>
    <w:p w14:paraId="0725F184" w14:textId="77777777" w:rsidR="0073581A" w:rsidRDefault="0073581A" w:rsidP="0073581A">
      <w:pPr>
        <w:contextualSpacing/>
        <w:rPr>
          <w:rFonts w:eastAsiaTheme="majorEastAsia" w:cs="Calibri"/>
        </w:rPr>
      </w:pPr>
    </w:p>
    <w:p w14:paraId="55AF183D" w14:textId="0E3783A1" w:rsidR="0073581A" w:rsidRDefault="0073581A" w:rsidP="0073581A">
      <w:pPr>
        <w:contextualSpacing/>
        <w:rPr>
          <w:rFonts w:eastAsiaTheme="majorEastAsia" w:cs="Calibri"/>
        </w:rPr>
      </w:pPr>
      <w:r>
        <w:rPr>
          <w:rFonts w:eastAsiaTheme="majorEastAsia" w:cs="Calibri"/>
        </w:rPr>
        <w:t>Feedback from community engagement informed the Levy renewal proposal</w:t>
      </w:r>
      <w:r w:rsidR="0044217E">
        <w:rPr>
          <w:rFonts w:eastAsiaTheme="majorEastAsia" w:cs="Calibri"/>
        </w:rPr>
        <w:t xml:space="preserve"> in</w:t>
      </w:r>
      <w:r w:rsidR="00F54C13">
        <w:rPr>
          <w:rFonts w:eastAsiaTheme="majorEastAsia" w:cs="Calibri"/>
        </w:rPr>
        <w:t xml:space="preserve"> </w:t>
      </w:r>
      <w:r w:rsidR="00915902">
        <w:rPr>
          <w:rFonts w:eastAsiaTheme="majorEastAsia" w:cs="Calibri"/>
        </w:rPr>
        <w:t xml:space="preserve">Ordinance </w:t>
      </w:r>
      <w:r w:rsidR="00BC4D7D">
        <w:rPr>
          <w:rFonts w:eastAsiaTheme="majorEastAsia" w:cs="Calibri"/>
        </w:rPr>
        <w:t>19267</w:t>
      </w:r>
      <w:r w:rsidR="003C190F">
        <w:rPr>
          <w:rFonts w:eastAsiaTheme="majorEastAsia" w:cs="Calibri"/>
        </w:rPr>
        <w:t xml:space="preserve"> </w:t>
      </w:r>
      <w:r>
        <w:rPr>
          <w:rFonts w:eastAsiaTheme="majorEastAsia" w:cs="Calibri"/>
        </w:rPr>
        <w:t xml:space="preserve">along with this Implementation Plan. </w:t>
      </w:r>
      <w:r w:rsidRPr="00C0580F">
        <w:rPr>
          <w:rFonts w:eastAsiaTheme="majorEastAsia" w:cs="Calibri"/>
          <w:i/>
          <w:iCs/>
        </w:rPr>
        <w:t>Best Starts</w:t>
      </w:r>
      <w:r>
        <w:rPr>
          <w:rFonts w:eastAsiaTheme="majorEastAsia" w:cs="Calibri"/>
        </w:rPr>
        <w:t xml:space="preserve"> centers community </w:t>
      </w:r>
      <w:r w:rsidR="00165F3F">
        <w:rPr>
          <w:rFonts w:eastAsiaTheme="majorEastAsia" w:cs="Calibri"/>
        </w:rPr>
        <w:t xml:space="preserve">voice </w:t>
      </w:r>
      <w:r>
        <w:rPr>
          <w:rFonts w:eastAsiaTheme="majorEastAsia" w:cs="Calibri"/>
        </w:rPr>
        <w:t>in creating a strong policy frame and levy</w:t>
      </w:r>
      <w:r w:rsidR="00915902">
        <w:rPr>
          <w:rFonts w:eastAsiaTheme="majorEastAsia" w:cs="Calibri"/>
        </w:rPr>
        <w:t xml:space="preserve"> </w:t>
      </w:r>
      <w:r w:rsidR="005E3AF3">
        <w:rPr>
          <w:rFonts w:eastAsiaTheme="majorEastAsia" w:cs="Calibri"/>
        </w:rPr>
        <w:t>strategies</w:t>
      </w:r>
      <w:r w:rsidR="00915902">
        <w:rPr>
          <w:rFonts w:eastAsiaTheme="majorEastAsia" w:cs="Calibri"/>
        </w:rPr>
        <w:t xml:space="preserve"> so that</w:t>
      </w:r>
      <w:r w:rsidR="00A0617B">
        <w:rPr>
          <w:rFonts w:eastAsiaTheme="majorEastAsia" w:cs="Calibri"/>
        </w:rPr>
        <w:t xml:space="preserve"> </w:t>
      </w:r>
      <w:r w:rsidR="00997951">
        <w:rPr>
          <w:rFonts w:eastAsiaTheme="majorEastAsia" w:cs="Calibri"/>
        </w:rPr>
        <w:t xml:space="preserve">the work of </w:t>
      </w:r>
      <w:r w:rsidR="00997951" w:rsidRPr="00354EFE">
        <w:rPr>
          <w:rFonts w:eastAsiaTheme="majorEastAsia" w:cs="Calibri"/>
          <w:i/>
        </w:rPr>
        <w:t>Best Starts</w:t>
      </w:r>
      <w:r w:rsidR="00997951">
        <w:rPr>
          <w:rFonts w:eastAsiaTheme="majorEastAsia" w:cs="Calibri"/>
        </w:rPr>
        <w:t xml:space="preserve"> </w:t>
      </w:r>
      <w:r w:rsidR="00FF2742">
        <w:rPr>
          <w:rFonts w:eastAsiaTheme="majorEastAsia" w:cs="Calibri"/>
        </w:rPr>
        <w:t xml:space="preserve">is co-designed in </w:t>
      </w:r>
      <w:r w:rsidR="007B67E9">
        <w:rPr>
          <w:rFonts w:eastAsiaTheme="majorEastAsia" w:cs="Calibri"/>
        </w:rPr>
        <w:t>partnership with</w:t>
      </w:r>
      <w:r w:rsidR="00266321" w:rsidDel="00B62C44">
        <w:rPr>
          <w:rFonts w:eastAsiaTheme="majorEastAsia" w:cs="Calibri"/>
        </w:rPr>
        <w:t xml:space="preserve"> </w:t>
      </w:r>
      <w:r w:rsidR="00266321">
        <w:rPr>
          <w:rFonts w:eastAsiaTheme="majorEastAsia" w:cs="Calibri"/>
        </w:rPr>
        <w:t xml:space="preserve">community </w:t>
      </w:r>
      <w:r w:rsidR="00424520">
        <w:rPr>
          <w:rFonts w:eastAsiaTheme="majorEastAsia" w:cs="Calibri"/>
        </w:rPr>
        <w:t xml:space="preserve">to reflect the needs and goals of the </w:t>
      </w:r>
      <w:r w:rsidR="00B538B2">
        <w:rPr>
          <w:rFonts w:eastAsiaTheme="majorEastAsia" w:cs="Calibri"/>
        </w:rPr>
        <w:t xml:space="preserve">entire </w:t>
      </w:r>
      <w:r w:rsidR="00424520">
        <w:rPr>
          <w:rFonts w:eastAsiaTheme="majorEastAsia" w:cs="Calibri"/>
        </w:rPr>
        <w:t xml:space="preserve">county. </w:t>
      </w:r>
    </w:p>
    <w:p w14:paraId="3941BA59" w14:textId="77777777" w:rsidR="0073581A" w:rsidRDefault="0073581A" w:rsidP="0073581A">
      <w:pPr>
        <w:contextualSpacing/>
        <w:rPr>
          <w:rFonts w:eastAsiaTheme="majorEastAsia" w:cs="Calibri"/>
        </w:rPr>
      </w:pPr>
    </w:p>
    <w:p w14:paraId="25D3BD17" w14:textId="42203D24" w:rsidR="00342243" w:rsidRDefault="0073581A" w:rsidP="00342243">
      <w:pPr>
        <w:contextualSpacing/>
        <w:rPr>
          <w:rFonts w:eastAsiaTheme="majorEastAsia" w:cs="Calibri"/>
        </w:rPr>
      </w:pPr>
      <w:r>
        <w:rPr>
          <w:rFonts w:eastAsiaTheme="majorEastAsia" w:cs="Calibri"/>
        </w:rPr>
        <w:t>In June 2021</w:t>
      </w:r>
      <w:r w:rsidR="00C213B3">
        <w:rPr>
          <w:rFonts w:eastAsiaTheme="majorEastAsia" w:cs="Calibri"/>
        </w:rPr>
        <w:t>,</w:t>
      </w:r>
      <w:r>
        <w:rPr>
          <w:rFonts w:eastAsiaTheme="majorEastAsia" w:cs="Calibri"/>
        </w:rPr>
        <w:t xml:space="preserve"> </w:t>
      </w:r>
      <w:r w:rsidRPr="00C0580F">
        <w:rPr>
          <w:rFonts w:eastAsiaTheme="majorEastAsia" w:cs="Calibri"/>
          <w:i/>
          <w:iCs/>
        </w:rPr>
        <w:t>Best Starts</w:t>
      </w:r>
      <w:r>
        <w:rPr>
          <w:rFonts w:eastAsiaTheme="majorEastAsia" w:cs="Calibri"/>
        </w:rPr>
        <w:t xml:space="preserve"> went back to community</w:t>
      </w:r>
      <w:r w:rsidR="00EC7911">
        <w:rPr>
          <w:rFonts w:eastAsiaTheme="majorEastAsia" w:cs="Calibri"/>
        </w:rPr>
        <w:t xml:space="preserve"> members</w:t>
      </w:r>
      <w:r>
        <w:rPr>
          <w:rFonts w:eastAsiaTheme="majorEastAsia" w:cs="Calibri"/>
        </w:rPr>
        <w:t xml:space="preserve"> and asked the question:  Based on what </w:t>
      </w:r>
      <w:r w:rsidRPr="00D07E43">
        <w:rPr>
          <w:rFonts w:eastAsiaTheme="majorEastAsia" w:cs="Calibri"/>
          <w:i/>
          <w:iCs/>
        </w:rPr>
        <w:t>Best Starts</w:t>
      </w:r>
      <w:r>
        <w:rPr>
          <w:rFonts w:eastAsiaTheme="majorEastAsia" w:cs="Calibri"/>
        </w:rPr>
        <w:t xml:space="preserve"> heard when </w:t>
      </w:r>
      <w:r w:rsidR="003D3561">
        <w:rPr>
          <w:rFonts w:eastAsiaTheme="majorEastAsia" w:cs="Calibri"/>
        </w:rPr>
        <w:t xml:space="preserve">engaging in the renewal process, </w:t>
      </w:r>
      <w:r>
        <w:rPr>
          <w:rFonts w:eastAsiaTheme="majorEastAsia" w:cs="Calibri"/>
        </w:rPr>
        <w:t xml:space="preserve">what additional feedback do you have?  </w:t>
      </w:r>
      <w:r w:rsidR="003D3561">
        <w:rPr>
          <w:rFonts w:eastAsiaTheme="majorEastAsia" w:cs="Calibri"/>
        </w:rPr>
        <w:t xml:space="preserve"> </w:t>
      </w:r>
      <w:r w:rsidR="003D3561" w:rsidRPr="00D03F1F">
        <w:rPr>
          <w:rFonts w:cs="Calibri"/>
          <w:i/>
        </w:rPr>
        <w:t>Best Starts</w:t>
      </w:r>
      <w:r w:rsidR="003D3561" w:rsidRPr="00D03F1F">
        <w:rPr>
          <w:rFonts w:cs="Calibri"/>
        </w:rPr>
        <w:t xml:space="preserve"> then partnered </w:t>
      </w:r>
      <w:r w:rsidR="003D3561">
        <w:rPr>
          <w:rFonts w:cs="Calibri"/>
        </w:rPr>
        <w:t>again with the same</w:t>
      </w:r>
      <w:r w:rsidR="00E214EE">
        <w:rPr>
          <w:rFonts w:cs="Calibri"/>
        </w:rPr>
        <w:t xml:space="preserve"> </w:t>
      </w:r>
      <w:r w:rsidR="0090492A">
        <w:rPr>
          <w:rFonts w:cs="Calibri"/>
        </w:rPr>
        <w:t>ten</w:t>
      </w:r>
      <w:r w:rsidR="00E214EE">
        <w:rPr>
          <w:rFonts w:cs="Calibri"/>
        </w:rPr>
        <w:t xml:space="preserve"> </w:t>
      </w:r>
      <w:r w:rsidR="003D3561" w:rsidRPr="00D03F1F">
        <w:rPr>
          <w:rFonts w:cs="Calibri"/>
        </w:rPr>
        <w:t>regionally based coalitions of community organizations</w:t>
      </w:r>
      <w:r w:rsidR="003D3561" w:rsidRPr="00D03F1F" w:rsidDel="0058228E">
        <w:rPr>
          <w:rFonts w:cs="Calibri"/>
        </w:rPr>
        <w:t xml:space="preserve"> </w:t>
      </w:r>
      <w:r w:rsidR="003D3561" w:rsidRPr="00D03F1F">
        <w:rPr>
          <w:rFonts w:cs="Calibri"/>
        </w:rPr>
        <w:t>and five community stakeholder groups to host</w:t>
      </w:r>
      <w:r w:rsidR="00E214EE">
        <w:rPr>
          <w:rFonts w:cs="Calibri"/>
        </w:rPr>
        <w:t xml:space="preserve"> </w:t>
      </w:r>
      <w:r w:rsidR="0090492A">
        <w:rPr>
          <w:rFonts w:cs="Calibri"/>
        </w:rPr>
        <w:t xml:space="preserve">fifteen </w:t>
      </w:r>
      <w:r w:rsidR="003D3561" w:rsidRPr="00D03F1F">
        <w:rPr>
          <w:rFonts w:cs="Calibri"/>
        </w:rPr>
        <w:t>listening sessions</w:t>
      </w:r>
      <w:r w:rsidR="00192F3C" w:rsidDel="00791013">
        <w:rPr>
          <w:rFonts w:cs="Calibri"/>
        </w:rPr>
        <w:t xml:space="preserve">. </w:t>
      </w:r>
      <w:r w:rsidR="003D3561" w:rsidDel="00791013">
        <w:rPr>
          <w:rFonts w:cs="Calibri"/>
        </w:rPr>
        <w:t xml:space="preserve"> </w:t>
      </w:r>
      <w:r>
        <w:rPr>
          <w:rFonts w:eastAsiaTheme="majorEastAsia" w:cs="Calibri"/>
        </w:rPr>
        <w:t>Community indicated the following refinements</w:t>
      </w:r>
      <w:r w:rsidR="005A7FB1">
        <w:rPr>
          <w:rFonts w:eastAsiaTheme="majorEastAsia" w:cs="Calibri"/>
        </w:rPr>
        <w:t xml:space="preserve"> </w:t>
      </w:r>
      <w:r>
        <w:rPr>
          <w:rFonts w:eastAsiaTheme="majorEastAsia" w:cs="Calibri"/>
        </w:rPr>
        <w:t>as reflected in this Implementation Plan</w:t>
      </w:r>
      <w:r w:rsidDel="00791013">
        <w:rPr>
          <w:rFonts w:eastAsiaTheme="majorEastAsia" w:cs="Calibri"/>
        </w:rPr>
        <w:t>.</w:t>
      </w:r>
      <w:r w:rsidR="00C67BCA" w:rsidDel="00791013">
        <w:rPr>
          <w:rFonts w:eastAsiaTheme="majorEastAsia" w:cs="Calibri"/>
        </w:rPr>
        <w:t xml:space="preserve">  </w:t>
      </w:r>
      <w:r w:rsidR="0034405D">
        <w:rPr>
          <w:rFonts w:eastAsiaTheme="majorEastAsia" w:cs="Calibri"/>
        </w:rPr>
        <w:t>During</w:t>
      </w:r>
      <w:r w:rsidR="00930913">
        <w:rPr>
          <w:rFonts w:eastAsiaTheme="majorEastAsia" w:cs="Calibri"/>
        </w:rPr>
        <w:t xml:space="preserve"> the community feedback sessions </w:t>
      </w:r>
      <w:r w:rsidR="00D46287">
        <w:rPr>
          <w:rFonts w:eastAsiaTheme="majorEastAsia" w:cs="Calibri"/>
        </w:rPr>
        <w:t>in</w:t>
      </w:r>
      <w:r w:rsidR="00930913">
        <w:rPr>
          <w:rFonts w:eastAsiaTheme="majorEastAsia" w:cs="Calibri"/>
        </w:rPr>
        <w:t xml:space="preserve"> June of 2021</w:t>
      </w:r>
      <w:r w:rsidR="0034405D">
        <w:rPr>
          <w:rFonts w:eastAsiaTheme="majorEastAsia" w:cs="Calibri"/>
        </w:rPr>
        <w:t xml:space="preserve">, </w:t>
      </w:r>
      <w:r w:rsidR="00D46287">
        <w:rPr>
          <w:rFonts w:eastAsiaTheme="majorEastAsia" w:cs="Calibri"/>
        </w:rPr>
        <w:t xml:space="preserve">the </w:t>
      </w:r>
      <w:r w:rsidR="00AB4396">
        <w:rPr>
          <w:rFonts w:eastAsiaTheme="majorEastAsia" w:cs="Calibri"/>
        </w:rPr>
        <w:t>prevalent</w:t>
      </w:r>
      <w:r w:rsidR="00AE75DD">
        <w:rPr>
          <w:rFonts w:eastAsiaTheme="majorEastAsia" w:cs="Calibri"/>
        </w:rPr>
        <w:t xml:space="preserve"> theme</w:t>
      </w:r>
      <w:r w:rsidR="00AB4396">
        <w:rPr>
          <w:rFonts w:eastAsiaTheme="majorEastAsia" w:cs="Calibri"/>
        </w:rPr>
        <w:t>s</w:t>
      </w:r>
      <w:r w:rsidR="00AE75DD">
        <w:rPr>
          <w:rFonts w:eastAsiaTheme="majorEastAsia" w:cs="Calibri"/>
        </w:rPr>
        <w:t xml:space="preserve"> </w:t>
      </w:r>
      <w:r w:rsidR="00806469">
        <w:rPr>
          <w:rFonts w:eastAsiaTheme="majorEastAsia" w:cs="Calibri"/>
        </w:rPr>
        <w:t>remained consistent</w:t>
      </w:r>
      <w:r w:rsidR="00C760AA">
        <w:rPr>
          <w:rFonts w:eastAsiaTheme="majorEastAsia" w:cs="Calibri"/>
        </w:rPr>
        <w:t xml:space="preserve">.  The </w:t>
      </w:r>
      <w:r w:rsidR="00B745F3">
        <w:rPr>
          <w:rFonts w:eastAsiaTheme="majorEastAsia" w:cs="Calibri"/>
        </w:rPr>
        <w:t>need to</w:t>
      </w:r>
      <w:r w:rsidR="00AE75DD">
        <w:rPr>
          <w:rFonts w:eastAsiaTheme="majorEastAsia" w:cs="Calibri"/>
        </w:rPr>
        <w:t xml:space="preserve"> support </w:t>
      </w:r>
      <w:r w:rsidR="0075215C">
        <w:rPr>
          <w:rFonts w:eastAsiaTheme="majorEastAsia" w:cs="Calibri"/>
        </w:rPr>
        <w:t xml:space="preserve">the </w:t>
      </w:r>
      <w:r w:rsidR="00AE75DD">
        <w:rPr>
          <w:rFonts w:eastAsiaTheme="majorEastAsia" w:cs="Calibri"/>
        </w:rPr>
        <w:t>youth and young adults</w:t>
      </w:r>
      <w:r w:rsidR="0090577F">
        <w:rPr>
          <w:rFonts w:eastAsiaTheme="majorEastAsia" w:cs="Calibri"/>
        </w:rPr>
        <w:t>’</w:t>
      </w:r>
      <w:r w:rsidR="00AE75DD">
        <w:rPr>
          <w:rFonts w:eastAsiaTheme="majorEastAsia" w:cs="Calibri"/>
        </w:rPr>
        <w:t xml:space="preserve"> </w:t>
      </w:r>
      <w:r w:rsidR="00A37BD4">
        <w:rPr>
          <w:rFonts w:eastAsiaTheme="majorEastAsia" w:cs="Calibri"/>
        </w:rPr>
        <w:t xml:space="preserve">mental wellness through </w:t>
      </w:r>
      <w:r w:rsidR="00AB4396">
        <w:rPr>
          <w:rFonts w:eastAsiaTheme="majorEastAsia" w:cs="Calibri"/>
        </w:rPr>
        <w:t xml:space="preserve">community driven approaches </w:t>
      </w:r>
      <w:r w:rsidR="00155C5E">
        <w:rPr>
          <w:rFonts w:eastAsiaTheme="majorEastAsia" w:cs="Calibri"/>
        </w:rPr>
        <w:t>was identif</w:t>
      </w:r>
      <w:r w:rsidR="00B4154D">
        <w:rPr>
          <w:rFonts w:eastAsiaTheme="majorEastAsia" w:cs="Calibri"/>
        </w:rPr>
        <w:t xml:space="preserve">ied </w:t>
      </w:r>
      <w:r w:rsidR="00AB4396">
        <w:rPr>
          <w:rFonts w:eastAsiaTheme="majorEastAsia" w:cs="Calibri"/>
        </w:rPr>
        <w:t xml:space="preserve">along with the need </w:t>
      </w:r>
      <w:r w:rsidR="003D2059">
        <w:rPr>
          <w:rFonts w:eastAsiaTheme="majorEastAsia" w:cs="Calibri"/>
        </w:rPr>
        <w:t xml:space="preserve">and excitement for childcare subsidies. </w:t>
      </w:r>
    </w:p>
    <w:p w14:paraId="5CBF29D1" w14:textId="77777777" w:rsidR="00930913" w:rsidRPr="00C90C7B" w:rsidRDefault="00930913" w:rsidP="00CD244C">
      <w:pPr>
        <w:contextualSpacing/>
        <w:rPr>
          <w:rFonts w:asciiTheme="minorHAnsi" w:eastAsiaTheme="majorEastAsia" w:hAnsiTheme="minorHAnsi" w:cstheme="minorHAnsi"/>
        </w:rPr>
      </w:pPr>
    </w:p>
    <w:p w14:paraId="1C63FDFC" w14:textId="42E904FA" w:rsidR="00342243" w:rsidRDefault="008B070B" w:rsidP="00342243">
      <w:pPr>
        <w:contextualSpacing/>
      </w:pPr>
      <w:r>
        <w:rPr>
          <w:rFonts w:cs="Calibri"/>
        </w:rPr>
        <w:t>Continued c</w:t>
      </w:r>
      <w:r w:rsidRPr="00D03F1F">
        <w:rPr>
          <w:rFonts w:cs="Calibri"/>
        </w:rPr>
        <w:t xml:space="preserve">ommunity engagement and feedback throughout a renewed and expanded, voter-approved </w:t>
      </w:r>
      <w:r w:rsidRPr="00D03F1F">
        <w:rPr>
          <w:rFonts w:cs="Calibri"/>
          <w:i/>
        </w:rPr>
        <w:t>Best Starts</w:t>
      </w:r>
      <w:r w:rsidRPr="00D03F1F">
        <w:rPr>
          <w:rFonts w:cs="Calibri"/>
        </w:rPr>
        <w:t xml:space="preserve"> levy will be crucial </w:t>
      </w:r>
      <w:r>
        <w:rPr>
          <w:rFonts w:cs="Calibri"/>
        </w:rPr>
        <w:t>to respond</w:t>
      </w:r>
      <w:r w:rsidRPr="00D03F1F">
        <w:rPr>
          <w:rFonts w:cs="Calibri"/>
        </w:rPr>
        <w:t xml:space="preserve"> to existing and emerging community needs.</w:t>
      </w:r>
      <w:r w:rsidRPr="00D729F2">
        <w:rPr>
          <w:rStyle w:val="FootnoteReference"/>
        </w:rPr>
        <w:t xml:space="preserve"> </w:t>
      </w:r>
    </w:p>
    <w:p w14:paraId="0BFACA35" w14:textId="2334DCBB" w:rsidR="00905848" w:rsidRPr="001D66E7" w:rsidRDefault="00905848" w:rsidP="00905848">
      <w:pPr>
        <w:contextualSpacing/>
        <w:rPr>
          <w:caps/>
          <w:color w:val="FFFFFF" w:themeColor="background1"/>
          <w:spacing w:val="15"/>
          <w:highlight w:val="yellow"/>
        </w:rPr>
      </w:pPr>
    </w:p>
    <w:p w14:paraId="040C9809" w14:textId="58C6AC15" w:rsidR="00C65A32" w:rsidRDefault="00342243" w:rsidP="00CD244C">
      <w:pPr>
        <w:pStyle w:val="Heading2"/>
      </w:pPr>
      <w:bookmarkStart w:id="27" w:name="_Toc85188540"/>
      <w:r>
        <w:t>F</w:t>
      </w:r>
      <w:r w:rsidR="00C81148">
        <w:t xml:space="preserve">. </w:t>
      </w:r>
      <w:r w:rsidR="008A689A">
        <w:tab/>
      </w:r>
      <w:r w:rsidR="008424C5">
        <w:t>Govern</w:t>
      </w:r>
      <w:r w:rsidR="000D615F">
        <w:t>ing Board Guid</w:t>
      </w:r>
      <w:r w:rsidR="008424C5">
        <w:t>ance</w:t>
      </w:r>
      <w:bookmarkEnd w:id="27"/>
    </w:p>
    <w:p w14:paraId="4517DECB" w14:textId="77777777" w:rsidR="000E4525" w:rsidRDefault="000E4525" w:rsidP="00557668">
      <w:pPr>
        <w:pStyle w:val="ListParagraph"/>
        <w:ind w:left="0"/>
        <w:rPr>
          <w:rFonts w:eastAsia="Calibri" w:cs="Calibri"/>
        </w:rPr>
      </w:pPr>
    </w:p>
    <w:p w14:paraId="7AC7A9F7" w14:textId="5FFDB5D0" w:rsidR="008424C5" w:rsidRPr="00557668" w:rsidRDefault="008424C5" w:rsidP="00557668">
      <w:pPr>
        <w:pStyle w:val="ListParagraph"/>
        <w:ind w:left="0"/>
        <w:rPr>
          <w:rFonts w:cs="Calibri"/>
        </w:rPr>
      </w:pPr>
      <w:r w:rsidRPr="009D050D">
        <w:rPr>
          <w:rFonts w:eastAsia="Calibri" w:cs="Calibri"/>
        </w:rPr>
        <w:t xml:space="preserve">King County Ordinance 18217 established the Children and Youth Advisory Board (CYAB) in January 2016 to oversee </w:t>
      </w:r>
      <w:r w:rsidRPr="71D2A87E">
        <w:rPr>
          <w:rFonts w:eastAsia="Calibri" w:cs="Calibri"/>
          <w:i/>
          <w:iCs/>
        </w:rPr>
        <w:t>Best Starts</w:t>
      </w:r>
      <w:r w:rsidRPr="009D050D">
        <w:rPr>
          <w:rFonts w:eastAsia="Calibri" w:cs="Calibri"/>
        </w:rPr>
        <w:t xml:space="preserve"> and the Youth Action Plan (YAP).</w:t>
      </w:r>
      <w:r w:rsidR="00A24E7C" w:rsidRPr="00B568D6">
        <w:rPr>
          <w:rStyle w:val="FootnoteReference"/>
          <w:rFonts w:eastAsia="Calibri" w:cs="Calibri"/>
        </w:rPr>
        <w:footnoteReference w:id="80"/>
      </w:r>
      <w:r w:rsidR="00F85E22" w:rsidRPr="00F85E22">
        <w:rPr>
          <w:vertAlign w:val="superscript"/>
        </w:rPr>
        <w:t>,</w:t>
      </w:r>
      <w:r>
        <w:rPr>
          <w:rStyle w:val="FootnoteReference"/>
          <w:rFonts w:eastAsia="Calibri" w:cs="Calibri"/>
        </w:rPr>
        <w:footnoteReference w:id="81"/>
      </w:r>
      <w:r w:rsidRPr="009D050D">
        <w:rPr>
          <w:rFonts w:eastAsia="Calibri" w:cs="Calibri"/>
        </w:rPr>
        <w:t xml:space="preserve"> </w:t>
      </w:r>
      <w:r w:rsidRPr="00D03F1F">
        <w:rPr>
          <w:rFonts w:eastAsia="Calibri" w:cs="Calibri"/>
        </w:rPr>
        <w:t xml:space="preserve">The Communities of Opportunity (COO) Governance Group (GG) serves as the COO </w:t>
      </w:r>
      <w:r w:rsidRPr="71D2A87E">
        <w:rPr>
          <w:rFonts w:eastAsia="Calibri" w:cs="Calibri"/>
          <w:i/>
          <w:iCs/>
        </w:rPr>
        <w:t>Best Starts</w:t>
      </w:r>
      <w:r w:rsidR="006B4BB7">
        <w:rPr>
          <w:rFonts w:eastAsia="Calibri" w:cs="Calibri"/>
          <w:i/>
          <w:iCs/>
        </w:rPr>
        <w:t xml:space="preserve"> for Kids</w:t>
      </w:r>
      <w:r w:rsidR="001847FA">
        <w:rPr>
          <w:rFonts w:eastAsia="Calibri" w:cs="Calibri"/>
        </w:rPr>
        <w:t xml:space="preserve"> Levy </w:t>
      </w:r>
      <w:r w:rsidRPr="00D03F1F">
        <w:rPr>
          <w:rFonts w:eastAsia="Calibri" w:cs="Calibri"/>
        </w:rPr>
        <w:t>Advisory Board</w:t>
      </w:r>
      <w:r w:rsidR="00727D7A">
        <w:rPr>
          <w:rFonts w:eastAsia="Calibri" w:cs="Calibri"/>
        </w:rPr>
        <w:t xml:space="preserve"> </w:t>
      </w:r>
      <w:r w:rsidRPr="00D03F1F">
        <w:rPr>
          <w:rFonts w:eastAsia="Calibri" w:cs="Calibri"/>
        </w:rPr>
        <w:t xml:space="preserve">established </w:t>
      </w:r>
      <w:r w:rsidR="00CD2479">
        <w:rPr>
          <w:rFonts w:eastAsia="Calibri" w:cs="Calibri"/>
        </w:rPr>
        <w:t xml:space="preserve">in King County Code chapter 2A.300 </w:t>
      </w:r>
      <w:r w:rsidR="00911997">
        <w:rPr>
          <w:rFonts w:eastAsia="Calibri" w:cs="Calibri"/>
        </w:rPr>
        <w:t>by</w:t>
      </w:r>
      <w:r w:rsidRPr="00D03F1F">
        <w:rPr>
          <w:rFonts w:eastAsia="Calibri" w:cs="Calibri"/>
        </w:rPr>
        <w:t xml:space="preserve"> Ordinance 18442</w:t>
      </w:r>
      <w:r w:rsidR="00911997">
        <w:rPr>
          <w:rFonts w:eastAsia="Calibri" w:cs="Calibri"/>
        </w:rPr>
        <w:t xml:space="preserve"> in 2016</w:t>
      </w:r>
      <w:r w:rsidR="00C179D4">
        <w:rPr>
          <w:rFonts w:eastAsia="Calibri" w:cs="Calibri"/>
        </w:rPr>
        <w:t>.</w:t>
      </w:r>
      <w:r w:rsidRPr="00D03F1F">
        <w:rPr>
          <w:rStyle w:val="FootnoteReference"/>
          <w:rFonts w:eastAsia="Calibri" w:cs="Calibri"/>
        </w:rPr>
        <w:footnoteReference w:id="82"/>
      </w:r>
      <w:r w:rsidR="00B8416B">
        <w:rPr>
          <w:rFonts w:eastAsia="Calibri" w:cs="Calibri"/>
        </w:rPr>
        <w:t xml:space="preserve"> </w:t>
      </w:r>
      <w:r w:rsidR="006E4913">
        <w:rPr>
          <w:rFonts w:eastAsia="Calibri" w:cs="Calibri"/>
        </w:rPr>
        <w:t xml:space="preserve">The </w:t>
      </w:r>
      <w:r w:rsidR="005C5673">
        <w:rPr>
          <w:rFonts w:eastAsia="Calibri" w:cs="Calibri"/>
        </w:rPr>
        <w:t xml:space="preserve">governance boards provide both </w:t>
      </w:r>
      <w:r w:rsidR="00552547">
        <w:rPr>
          <w:rFonts w:eastAsia="Calibri" w:cs="Calibri"/>
        </w:rPr>
        <w:t xml:space="preserve">oversight </w:t>
      </w:r>
      <w:r w:rsidR="00D76CEC">
        <w:rPr>
          <w:rFonts w:eastAsia="Calibri" w:cs="Calibri"/>
        </w:rPr>
        <w:t xml:space="preserve">and strategic vision to </w:t>
      </w:r>
      <w:r w:rsidR="0020576B" w:rsidRPr="00354EFE">
        <w:rPr>
          <w:rFonts w:eastAsia="Calibri" w:cs="Calibri"/>
          <w:i/>
        </w:rPr>
        <w:t>Best Starts</w:t>
      </w:r>
      <w:r w:rsidR="0020576B">
        <w:rPr>
          <w:rFonts w:eastAsia="Calibri" w:cs="Calibri"/>
        </w:rPr>
        <w:t>.</w:t>
      </w:r>
      <w:r w:rsidR="009E462B">
        <w:rPr>
          <w:rFonts w:eastAsia="Calibri" w:cs="Calibri"/>
        </w:rPr>
        <w:t xml:space="preserve"> </w:t>
      </w:r>
      <w:r w:rsidR="00F16F03" w:rsidRPr="00D03F1F">
        <w:rPr>
          <w:rFonts w:cs="Calibri"/>
        </w:rPr>
        <w:t>Strategy</w:t>
      </w:r>
      <w:r w:rsidR="00F16F03">
        <w:rPr>
          <w:rFonts w:cs="Calibri"/>
        </w:rPr>
        <w:t>-</w:t>
      </w:r>
      <w:r w:rsidR="00F16F03" w:rsidRPr="00D03F1F">
        <w:rPr>
          <w:rFonts w:cs="Calibri"/>
        </w:rPr>
        <w:t xml:space="preserve">specific </w:t>
      </w:r>
      <w:r w:rsidR="00F16F03">
        <w:rPr>
          <w:rFonts w:cs="Calibri"/>
        </w:rPr>
        <w:t xml:space="preserve">board </w:t>
      </w:r>
      <w:r w:rsidR="00F16F03" w:rsidRPr="00D03F1F">
        <w:rPr>
          <w:rFonts w:cs="Calibri"/>
        </w:rPr>
        <w:t>workgroups guided planning</w:t>
      </w:r>
      <w:r w:rsidR="00F16F03">
        <w:rPr>
          <w:rFonts w:cs="Calibri"/>
        </w:rPr>
        <w:t xml:space="preserve"> in February, March, and April of 2021</w:t>
      </w:r>
      <w:r w:rsidR="00F16F03" w:rsidRPr="00D03F1F">
        <w:rPr>
          <w:rFonts w:cs="Calibri"/>
        </w:rPr>
        <w:t>.</w:t>
      </w:r>
      <w:r w:rsidR="009E462B">
        <w:rPr>
          <w:rFonts w:eastAsia="Calibri" w:cs="Calibri"/>
        </w:rPr>
        <w:t xml:space="preserve"> </w:t>
      </w:r>
      <w:r w:rsidR="009E462B" w:rsidRPr="00D03F1F">
        <w:rPr>
          <w:rFonts w:cs="Calibri"/>
        </w:rPr>
        <w:t xml:space="preserve">Both boards hosted workdays in May 2021 to provide input and </w:t>
      </w:r>
      <w:r w:rsidR="009E462B">
        <w:rPr>
          <w:rFonts w:cs="Calibri"/>
        </w:rPr>
        <w:t xml:space="preserve">voted to </w:t>
      </w:r>
      <w:r w:rsidR="009E462B" w:rsidRPr="00D03F1F">
        <w:rPr>
          <w:rFonts w:cs="Calibri"/>
        </w:rPr>
        <w:t>endors</w:t>
      </w:r>
      <w:r w:rsidR="009E462B">
        <w:rPr>
          <w:rFonts w:cs="Calibri"/>
        </w:rPr>
        <w:t>e</w:t>
      </w:r>
      <w:r w:rsidR="009E462B" w:rsidRPr="00D03F1F">
        <w:rPr>
          <w:rFonts w:cs="Calibri"/>
        </w:rPr>
        <w:t xml:space="preserve"> the </w:t>
      </w:r>
      <w:r w:rsidR="009E462B" w:rsidRPr="00354EFE">
        <w:rPr>
          <w:rFonts w:cs="Calibri"/>
          <w:i/>
        </w:rPr>
        <w:t>Best Starts</w:t>
      </w:r>
      <w:r w:rsidR="009E462B">
        <w:rPr>
          <w:rFonts w:cs="Calibri"/>
        </w:rPr>
        <w:t xml:space="preserve"> Implementation Plan 2022-2027 in June </w:t>
      </w:r>
      <w:r w:rsidR="00005A8F">
        <w:rPr>
          <w:rFonts w:cs="Calibri"/>
        </w:rPr>
        <w:t>2021</w:t>
      </w:r>
      <w:r w:rsidR="009E462B">
        <w:rPr>
          <w:rFonts w:cs="Calibri"/>
        </w:rPr>
        <w:t>.</w:t>
      </w:r>
      <w:r w:rsidR="009E462B" w:rsidRPr="00D03F1F">
        <w:rPr>
          <w:rFonts w:cs="Calibri"/>
        </w:rPr>
        <w:t xml:space="preserve"> </w:t>
      </w:r>
    </w:p>
    <w:p w14:paraId="58D06483" w14:textId="77777777" w:rsidR="008424C5" w:rsidRDefault="008424C5" w:rsidP="008424C5">
      <w:pPr>
        <w:spacing w:line="257" w:lineRule="auto"/>
        <w:rPr>
          <w:rFonts w:eastAsia="Calibri" w:cs="Calibri"/>
        </w:rPr>
      </w:pPr>
    </w:p>
    <w:p w14:paraId="30B46E69" w14:textId="01D59331" w:rsidR="003A174A" w:rsidRDefault="008424C5" w:rsidP="00926C10">
      <w:r w:rsidRPr="00D03F1F">
        <w:lastRenderedPageBreak/>
        <w:t>By October 1, 2021, the Executive will transmit a</w:t>
      </w:r>
      <w:r w:rsidR="008C0BDF">
        <w:t xml:space="preserve"> separate</w:t>
      </w:r>
      <w:r w:rsidRPr="00D03F1F">
        <w:t xml:space="preserve"> </w:t>
      </w:r>
      <w:r w:rsidRPr="71D2A87E">
        <w:rPr>
          <w:i/>
          <w:iCs/>
        </w:rPr>
        <w:t>Best Starts for Kids</w:t>
      </w:r>
      <w:r w:rsidRPr="00D03F1F">
        <w:t xml:space="preserve"> governance update re</w:t>
      </w:r>
      <w:r w:rsidR="005C5673">
        <w:t>p</w:t>
      </w:r>
      <w:r w:rsidRPr="00D03F1F">
        <w:t xml:space="preserve">ort that </w:t>
      </w:r>
      <w:r w:rsidR="00CD531E">
        <w:t xml:space="preserve">will recommend </w:t>
      </w:r>
      <w:r w:rsidR="00EF218D">
        <w:t xml:space="preserve">changes </w:t>
      </w:r>
      <w:r w:rsidR="00D03953">
        <w:t>to</w:t>
      </w:r>
      <w:r w:rsidR="00EF218D">
        <w:t xml:space="preserve"> </w:t>
      </w:r>
      <w:r w:rsidRPr="00D03F1F">
        <w:t xml:space="preserve">the King County Code </w:t>
      </w:r>
      <w:r w:rsidR="00EF218D">
        <w:t>to refine</w:t>
      </w:r>
      <w:r w:rsidRPr="00D03F1F">
        <w:t xml:space="preserve"> the composition </w:t>
      </w:r>
      <w:r w:rsidR="00A66B07">
        <w:t>of the boards</w:t>
      </w:r>
      <w:r w:rsidR="00F47997">
        <w:t xml:space="preserve">. Refinements </w:t>
      </w:r>
      <w:r w:rsidR="22A92A25">
        <w:t>will</w:t>
      </w:r>
      <w:r w:rsidR="37B807A4">
        <w:t xml:space="preserve"> include updates to better reflect</w:t>
      </w:r>
      <w:r w:rsidRPr="00D03F1F">
        <w:t xml:space="preserve"> the </w:t>
      </w:r>
      <w:r w:rsidR="37B807A4">
        <w:t>communities being served</w:t>
      </w:r>
      <w:r w:rsidR="6B65CB12">
        <w:t>. P</w:t>
      </w:r>
      <w:r w:rsidR="008C0BDF">
        <w:t>roposed legislation to implement these recommendations</w:t>
      </w:r>
      <w:r w:rsidR="012190E1">
        <w:t xml:space="preserve"> will accompany the report</w:t>
      </w:r>
      <w:r w:rsidR="00A87114">
        <w:t xml:space="preserve">. </w:t>
      </w:r>
    </w:p>
    <w:p w14:paraId="67C61FFD" w14:textId="77777777" w:rsidR="00926C10" w:rsidRPr="00926C10" w:rsidRDefault="00926C10" w:rsidP="00926C10"/>
    <w:p w14:paraId="08F43DE7" w14:textId="77777777" w:rsidR="00284686" w:rsidRDefault="00284686">
      <w:pPr>
        <w:spacing w:line="240" w:lineRule="auto"/>
        <w:rPr>
          <w:rFonts w:eastAsiaTheme="majorEastAsia" w:cstheme="majorBidi"/>
          <w:b/>
          <w:bCs/>
          <w:color w:val="2F5496" w:themeColor="accent1" w:themeShade="BF"/>
          <w:sz w:val="28"/>
          <w:szCs w:val="32"/>
        </w:rPr>
      </w:pPr>
      <w:r>
        <w:rPr>
          <w:b/>
          <w:bCs/>
        </w:rPr>
        <w:br w:type="page"/>
      </w:r>
    </w:p>
    <w:p w14:paraId="1DA8BDD9" w14:textId="506EEDB3" w:rsidR="26C1364F" w:rsidRPr="00284686" w:rsidRDefault="009C3A0B" w:rsidP="00354EFE">
      <w:pPr>
        <w:pStyle w:val="Heading1"/>
        <w:spacing w:before="0"/>
        <w:contextualSpacing/>
        <w:rPr>
          <w:b/>
        </w:rPr>
      </w:pPr>
      <w:bookmarkStart w:id="28" w:name="_IV._Best_Starts"/>
      <w:bookmarkStart w:id="29" w:name="_Toc85188541"/>
      <w:bookmarkEnd w:id="28"/>
      <w:r w:rsidRPr="00284686">
        <w:rPr>
          <w:b/>
        </w:rPr>
        <w:lastRenderedPageBreak/>
        <w:t>IV</w:t>
      </w:r>
      <w:r w:rsidR="004C3F52" w:rsidRPr="00284686">
        <w:rPr>
          <w:b/>
        </w:rPr>
        <w:t xml:space="preserve">. </w:t>
      </w:r>
      <w:r w:rsidR="006E6A58" w:rsidRPr="00284686">
        <w:rPr>
          <w:b/>
        </w:rPr>
        <w:t>Best Starts</w:t>
      </w:r>
      <w:r w:rsidR="00111407" w:rsidRPr="00284686">
        <w:rPr>
          <w:b/>
        </w:rPr>
        <w:t xml:space="preserve"> </w:t>
      </w:r>
      <w:r w:rsidR="00090776" w:rsidRPr="00284686">
        <w:rPr>
          <w:b/>
        </w:rPr>
        <w:t>P</w:t>
      </w:r>
      <w:r w:rsidR="00111407" w:rsidRPr="00284686">
        <w:rPr>
          <w:b/>
        </w:rPr>
        <w:t>lan for 2022-2027</w:t>
      </w:r>
      <w:bookmarkEnd w:id="29"/>
    </w:p>
    <w:p w14:paraId="415707F3" w14:textId="77777777" w:rsidR="00CA7B99" w:rsidRPr="00CA7B99" w:rsidRDefault="00CA7B99" w:rsidP="00CA7B99"/>
    <w:p w14:paraId="194C2B19" w14:textId="7748649D" w:rsidR="00C30980" w:rsidRDefault="00D426ED" w:rsidP="00025030">
      <w:pPr>
        <w:pStyle w:val="Heading2"/>
        <w:numPr>
          <w:ilvl w:val="0"/>
          <w:numId w:val="63"/>
        </w:numPr>
      </w:pPr>
      <w:bookmarkStart w:id="30" w:name="_Toc85188542"/>
      <w:bookmarkStart w:id="31" w:name="Framework_Results"/>
      <w:r>
        <w:t>Framework and</w:t>
      </w:r>
      <w:r w:rsidR="00C30980">
        <w:t xml:space="preserve"> Results</w:t>
      </w:r>
      <w:bookmarkEnd w:id="30"/>
    </w:p>
    <w:bookmarkEnd w:id="31"/>
    <w:p w14:paraId="5A9E9462" w14:textId="10AF58FC" w:rsidR="00CE5231" w:rsidRDefault="00CE5231" w:rsidP="00CE5231"/>
    <w:p w14:paraId="31F565CF" w14:textId="556770D0" w:rsidR="00CE5231" w:rsidRDefault="00C072D3" w:rsidP="00CE5231">
      <w:r>
        <w:t xml:space="preserve">This section describes </w:t>
      </w:r>
      <w:r w:rsidR="00433DDC">
        <w:t>t</w:t>
      </w:r>
      <w:r w:rsidR="00C759F6">
        <w:t xml:space="preserve">he theoretical framework </w:t>
      </w:r>
      <w:r w:rsidR="00124A09">
        <w:t xml:space="preserve">and intended results </w:t>
      </w:r>
      <w:r w:rsidR="00C759F6">
        <w:t xml:space="preserve">for </w:t>
      </w:r>
      <w:r w:rsidR="00C759F6" w:rsidRPr="00354EFE">
        <w:rPr>
          <w:i/>
        </w:rPr>
        <w:t>Best Starts</w:t>
      </w:r>
      <w:r w:rsidR="00433DDC">
        <w:t>,</w:t>
      </w:r>
      <w:r w:rsidR="00C759F6">
        <w:t xml:space="preserve"> </w:t>
      </w:r>
      <w:r w:rsidR="00A31E37">
        <w:t xml:space="preserve">which </w:t>
      </w:r>
      <w:r w:rsidR="00C759F6">
        <w:t xml:space="preserve">draw upon </w:t>
      </w:r>
      <w:r w:rsidR="00873F7D">
        <w:t>continuous community input and national</w:t>
      </w:r>
      <w:r w:rsidR="00C759F6">
        <w:t xml:space="preserve"> </w:t>
      </w:r>
      <w:r w:rsidR="00CE1BF4">
        <w:t>science</w:t>
      </w:r>
      <w:r w:rsidR="00046AE2">
        <w:t xml:space="preserve"> and</w:t>
      </w:r>
      <w:r w:rsidR="00CE1BF4">
        <w:t xml:space="preserve"> </w:t>
      </w:r>
      <w:r w:rsidR="00046AE2">
        <w:t>research</w:t>
      </w:r>
      <w:r w:rsidR="00081616">
        <w:t>.</w:t>
      </w:r>
      <w:r w:rsidR="006E6A58">
        <w:t xml:space="preserve"> </w:t>
      </w:r>
      <w:r w:rsidR="00D9123E">
        <w:t>The</w:t>
      </w:r>
      <w:r w:rsidR="00046AE2">
        <w:t xml:space="preserve"> framework </w:t>
      </w:r>
      <w:r w:rsidR="005407CF">
        <w:t>identifies key</w:t>
      </w:r>
      <w:r w:rsidR="00EB3640">
        <w:t xml:space="preserve"> </w:t>
      </w:r>
      <w:r w:rsidR="00C12563">
        <w:t xml:space="preserve">promotive and protective factors </w:t>
      </w:r>
      <w:r w:rsidR="00804CD5">
        <w:t>as well as common risk factor</w:t>
      </w:r>
      <w:r w:rsidR="00FA5925">
        <w:t>s</w:t>
      </w:r>
      <w:r w:rsidR="00804CD5">
        <w:t xml:space="preserve"> that </w:t>
      </w:r>
      <w:r w:rsidR="00043594" w:rsidRPr="00354EFE">
        <w:rPr>
          <w:i/>
        </w:rPr>
        <w:t>Best Starts</w:t>
      </w:r>
      <w:r w:rsidR="00043594">
        <w:t xml:space="preserve"> programming </w:t>
      </w:r>
      <w:r w:rsidR="00F850F5">
        <w:t>focuses on</w:t>
      </w:r>
      <w:r w:rsidR="00043594">
        <w:t xml:space="preserve"> to</w:t>
      </w:r>
      <w:r w:rsidR="00046AE2">
        <w:t xml:space="preserve"> </w:t>
      </w:r>
      <w:r w:rsidR="006446FE">
        <w:t>undo long</w:t>
      </w:r>
      <w:r w:rsidR="000A54B9">
        <w:t>-</w:t>
      </w:r>
      <w:r w:rsidR="006446FE">
        <w:t>standing d</w:t>
      </w:r>
      <w:r w:rsidR="00C12563">
        <w:t>isparities</w:t>
      </w:r>
      <w:r w:rsidR="00043594">
        <w:t>.</w:t>
      </w:r>
      <w:r w:rsidR="00ED5240">
        <w:t xml:space="preserve"> </w:t>
      </w:r>
      <w:r w:rsidR="002D50AC">
        <w:t xml:space="preserve">These </w:t>
      </w:r>
      <w:r w:rsidR="0063320E">
        <w:t xml:space="preserve">factors, which </w:t>
      </w:r>
      <w:r w:rsidR="007009E7">
        <w:t xml:space="preserve">align with the </w:t>
      </w:r>
      <w:r w:rsidR="00182C6B">
        <w:t>outcomes identified</w:t>
      </w:r>
      <w:r w:rsidR="0052722A">
        <w:t xml:space="preserve"> in Ordinance 19267</w:t>
      </w:r>
      <w:r w:rsidR="00182C6B">
        <w:t>, include</w:t>
      </w:r>
      <w:r w:rsidR="0089554C">
        <w:t xml:space="preserve"> results such as</w:t>
      </w:r>
      <w:r w:rsidR="00F21472">
        <w:t xml:space="preserve">: promoting </w:t>
      </w:r>
      <w:r w:rsidR="00B03DF4">
        <w:t>connections</w:t>
      </w:r>
      <w:r w:rsidR="00F21472">
        <w:t>,</w:t>
      </w:r>
      <w:r w:rsidR="00351448">
        <w:t xml:space="preserve"> improving social-emotional competence, and reducin</w:t>
      </w:r>
      <w:r w:rsidR="0089554C">
        <w:t xml:space="preserve">g </w:t>
      </w:r>
      <w:r w:rsidR="00803C15">
        <w:t>poor</w:t>
      </w:r>
      <w:r w:rsidR="0089554C">
        <w:t xml:space="preserve"> birth outcomes</w:t>
      </w:r>
      <w:r w:rsidR="00803C15">
        <w:t>.</w:t>
      </w:r>
      <w:r w:rsidR="00542ECF">
        <w:rPr>
          <w:rStyle w:val="FootnoteReference"/>
        </w:rPr>
        <w:footnoteReference w:id="83"/>
      </w:r>
      <w:r w:rsidR="002D50AC">
        <w:t xml:space="preserve"> </w:t>
      </w:r>
      <w:r w:rsidR="007267FB">
        <w:t xml:space="preserve">Research demonstrates that increasing protective factors and decreasing risk factors </w:t>
      </w:r>
      <w:r w:rsidR="002C513C">
        <w:t>will improve outcomes for youth and their</w:t>
      </w:r>
      <w:r w:rsidR="00C12563">
        <w:t xml:space="preserve"> commu</w:t>
      </w:r>
      <w:r w:rsidR="002C7388">
        <w:t>nities</w:t>
      </w:r>
      <w:r w:rsidR="002C513C">
        <w:t xml:space="preserve">, to </w:t>
      </w:r>
      <w:r w:rsidR="00FA5925">
        <w:t>ensure</w:t>
      </w:r>
      <w:r w:rsidR="002C7388">
        <w:t xml:space="preserve"> that all young people in King County are healthy, happy and safe and thriving.</w:t>
      </w:r>
      <w:r w:rsidR="006376D0">
        <w:rPr>
          <w:rStyle w:val="FootnoteReference"/>
        </w:rPr>
        <w:footnoteReference w:id="84"/>
      </w:r>
    </w:p>
    <w:p w14:paraId="6EF9D3A6" w14:textId="01396CE9" w:rsidR="00D17022" w:rsidRDefault="00D17022" w:rsidP="00CE5231"/>
    <w:p w14:paraId="5AC959AF" w14:textId="666E85D5" w:rsidR="00C971EA" w:rsidRDefault="00D17022" w:rsidP="00CE5231">
      <w:bookmarkStart w:id="33" w:name="_Hlk74685021"/>
      <w:r>
        <w:t>The graphic</w:t>
      </w:r>
      <w:r w:rsidR="004C01CD">
        <w:t>s</w:t>
      </w:r>
      <w:r>
        <w:t xml:space="preserve"> below</w:t>
      </w:r>
      <w:r w:rsidR="00CF1A8E">
        <w:t xml:space="preserve">, </w:t>
      </w:r>
      <w:r>
        <w:t>adapted from the Center for the Study of Social Policy</w:t>
      </w:r>
      <w:r w:rsidR="00DE7EF9">
        <w:t xml:space="preserve">: </w:t>
      </w:r>
      <w:r>
        <w:t>Youth Thrive</w:t>
      </w:r>
      <w:r w:rsidR="00CF1A8E">
        <w:t>,</w:t>
      </w:r>
      <w:r>
        <w:t xml:space="preserve"> illustrate </w:t>
      </w:r>
      <w:r w:rsidR="006D60E1">
        <w:t xml:space="preserve">the relationship between </w:t>
      </w:r>
      <w:r w:rsidR="0016283C">
        <w:t xml:space="preserve">promotive and </w:t>
      </w:r>
      <w:r w:rsidR="004D6CC6">
        <w:t>protective factors, risk factors, and outcomes</w:t>
      </w:r>
      <w:r>
        <w:t>.</w:t>
      </w:r>
      <w:r w:rsidR="00F370BB">
        <w:rPr>
          <w:rStyle w:val="FootnoteReference"/>
        </w:rPr>
        <w:footnoteReference w:id="85"/>
      </w:r>
      <w:r w:rsidR="00FF173C">
        <w:t xml:space="preserve"> </w:t>
      </w:r>
      <w:r w:rsidR="006365F4">
        <w:t xml:space="preserve">The three versions </w:t>
      </w:r>
      <w:r w:rsidR="00802DFE">
        <w:t>of the graphic</w:t>
      </w:r>
      <w:r w:rsidR="006365F4">
        <w:t xml:space="preserve"> are adaptations of the </w:t>
      </w:r>
      <w:r w:rsidR="004201E1">
        <w:rPr>
          <w:i/>
          <w:iCs/>
        </w:rPr>
        <w:t xml:space="preserve">Best Starts </w:t>
      </w:r>
      <w:r w:rsidR="004201E1">
        <w:t xml:space="preserve">theoretical </w:t>
      </w:r>
      <w:r w:rsidR="00026C98">
        <w:t xml:space="preserve">framework </w:t>
      </w:r>
      <w:r w:rsidR="00646492">
        <w:t xml:space="preserve">for three populations: youth ages </w:t>
      </w:r>
      <w:r w:rsidR="00DE7EF9">
        <w:t>zero to five</w:t>
      </w:r>
      <w:r w:rsidR="00646492">
        <w:t>, you</w:t>
      </w:r>
      <w:r w:rsidR="00AB6324">
        <w:t>th</w:t>
      </w:r>
      <w:r w:rsidR="00646492">
        <w:t xml:space="preserve"> ages </w:t>
      </w:r>
      <w:r w:rsidR="00DE7EF9">
        <w:t xml:space="preserve">five to </w:t>
      </w:r>
      <w:r w:rsidR="00646492">
        <w:t>24, and communities.</w:t>
      </w:r>
      <w:r w:rsidR="002C5058">
        <w:t xml:space="preserve"> </w:t>
      </w:r>
      <w:r w:rsidR="00345630">
        <w:t>The three applications of the framework</w:t>
      </w:r>
      <w:r w:rsidR="00760304">
        <w:t xml:space="preserve"> are the basis for identifying </w:t>
      </w:r>
      <w:r w:rsidR="00760304" w:rsidRPr="00354EFE">
        <w:rPr>
          <w:i/>
        </w:rPr>
        <w:t>Best Starts</w:t>
      </w:r>
      <w:r w:rsidR="00760304">
        <w:t xml:space="preserve"> </w:t>
      </w:r>
      <w:r w:rsidR="00C2179B">
        <w:t xml:space="preserve">investment areas and </w:t>
      </w:r>
      <w:r w:rsidR="00760304">
        <w:t>strategies</w:t>
      </w:r>
      <w:r w:rsidR="00345630">
        <w:t>.</w:t>
      </w:r>
    </w:p>
    <w:p w14:paraId="1F02CD1B" w14:textId="77777777" w:rsidR="00C971EA" w:rsidRDefault="00C971EA" w:rsidP="00CE5231"/>
    <w:p w14:paraId="48B80580" w14:textId="6085DDBE" w:rsidR="00557F82" w:rsidRDefault="00D17022" w:rsidP="00CE5231">
      <w:r>
        <w:t xml:space="preserve">Graphic 1 </w:t>
      </w:r>
      <w:r w:rsidR="00A76628">
        <w:t>depict</w:t>
      </w:r>
      <w:r w:rsidR="00091481">
        <w:t>s</w:t>
      </w:r>
      <w:r w:rsidR="00A76628">
        <w:t xml:space="preserve"> </w:t>
      </w:r>
      <w:r>
        <w:t xml:space="preserve">the </w:t>
      </w:r>
      <w:r w:rsidR="00D26CF2">
        <w:t>intended results</w:t>
      </w:r>
      <w:r>
        <w:t xml:space="preserve"> for </w:t>
      </w:r>
      <w:r w:rsidRPr="00354EFE">
        <w:rPr>
          <w:i/>
        </w:rPr>
        <w:t>Best Starts</w:t>
      </w:r>
      <w:r>
        <w:t xml:space="preserve">’ </w:t>
      </w:r>
      <w:r w:rsidR="00053470">
        <w:t xml:space="preserve">programs serving </w:t>
      </w:r>
      <w:r w:rsidR="000C2213">
        <w:t xml:space="preserve">prenatal to age </w:t>
      </w:r>
      <w:r w:rsidR="00364377">
        <w:t>f</w:t>
      </w:r>
      <w:r w:rsidR="000C2213">
        <w:t>ive</w:t>
      </w:r>
      <w:r>
        <w:t xml:space="preserve">: </w:t>
      </w:r>
      <w:r w:rsidR="00B42527">
        <w:t>increasing</w:t>
      </w:r>
      <w:r>
        <w:t xml:space="preserve"> </w:t>
      </w:r>
      <w:r w:rsidR="00CB5597">
        <w:t xml:space="preserve">promotive and </w:t>
      </w:r>
      <w:r>
        <w:t xml:space="preserve">protective factors </w:t>
      </w:r>
      <w:r w:rsidR="00B42527">
        <w:t>as shown</w:t>
      </w:r>
      <w:r>
        <w:t xml:space="preserve"> on the left </w:t>
      </w:r>
      <w:r w:rsidR="00B42527">
        <w:t>and decreasing</w:t>
      </w:r>
      <w:r>
        <w:t xml:space="preserve"> </w:t>
      </w:r>
      <w:r w:rsidR="000C2213">
        <w:t>risk</w:t>
      </w:r>
      <w:r>
        <w:t xml:space="preserve"> factors</w:t>
      </w:r>
      <w:r w:rsidR="00B42527">
        <w:t xml:space="preserve"> as shown</w:t>
      </w:r>
      <w:r>
        <w:t xml:space="preserve"> on the right</w:t>
      </w:r>
      <w:r w:rsidR="00D15AFD">
        <w:t>. Together these interve</w:t>
      </w:r>
      <w:r w:rsidR="00B04495">
        <w:t xml:space="preserve">ntions drive toward the </w:t>
      </w:r>
      <w:r>
        <w:t xml:space="preserve">dynamic outcomes </w:t>
      </w:r>
      <w:r w:rsidR="00B04495">
        <w:t xml:space="preserve">identified </w:t>
      </w:r>
      <w:r>
        <w:t>in the middle</w:t>
      </w:r>
      <w:bookmarkEnd w:id="33"/>
      <w:r w:rsidR="00726A1F">
        <w:t>, which</w:t>
      </w:r>
      <w:r w:rsidR="00CF138F">
        <w:t xml:space="preserve"> include strong </w:t>
      </w:r>
      <w:r w:rsidR="003D4588">
        <w:t xml:space="preserve">child development </w:t>
      </w:r>
      <w:r w:rsidR="002A479C">
        <w:t>in the context of</w:t>
      </w:r>
      <w:r w:rsidR="003D4588">
        <w:t xml:space="preserve"> thriving families and support</w:t>
      </w:r>
      <w:r w:rsidR="002A479C">
        <w:t>ive</w:t>
      </w:r>
      <w:r w:rsidR="003D4588">
        <w:t xml:space="preserve"> communities.</w:t>
      </w:r>
      <w:r w:rsidR="00726A1F">
        <w:t xml:space="preserve"> This </w:t>
      </w:r>
      <w:r w:rsidR="003544C1">
        <w:t xml:space="preserve">application of the </w:t>
      </w:r>
      <w:r w:rsidR="00726A1F">
        <w:t>framework guide</w:t>
      </w:r>
      <w:r w:rsidR="003355F6">
        <w:t>s</w:t>
      </w:r>
      <w:r w:rsidR="00726A1F">
        <w:t xml:space="preserve"> the development of Investing Early strategies.</w:t>
      </w:r>
      <w:r w:rsidR="00EF1E3B">
        <w:t xml:space="preserve"> </w:t>
      </w:r>
      <w:r w:rsidR="005C2FF9">
        <w:t xml:space="preserve">It also helps to shape </w:t>
      </w:r>
      <w:r w:rsidR="00D8410C">
        <w:t>th</w:t>
      </w:r>
      <w:r w:rsidR="00A27904">
        <w:t xml:space="preserve">ree </w:t>
      </w:r>
      <w:r w:rsidR="00505EEF" w:rsidRPr="001E3298">
        <w:rPr>
          <w:i/>
          <w:iCs/>
        </w:rPr>
        <w:t>Best Starts</w:t>
      </w:r>
      <w:r w:rsidR="00505EEF">
        <w:t xml:space="preserve"> </w:t>
      </w:r>
      <w:r w:rsidR="00A27904">
        <w:t xml:space="preserve">investment areas that span age groups: the </w:t>
      </w:r>
      <w:r w:rsidR="00513F90">
        <w:t>Child Care Subsid</w:t>
      </w:r>
      <w:r w:rsidR="00337310">
        <w:t>y Program</w:t>
      </w:r>
      <w:r w:rsidR="00513F90">
        <w:t xml:space="preserve"> and </w:t>
      </w:r>
      <w:r w:rsidR="00DC53C0">
        <w:t>Workforce</w:t>
      </w:r>
      <w:r w:rsidR="00513F90">
        <w:t xml:space="preserve"> Demonstration Project</w:t>
      </w:r>
      <w:r w:rsidR="00D8410C">
        <w:t xml:space="preserve"> </w:t>
      </w:r>
      <w:r w:rsidR="002861EF">
        <w:t>investment area</w:t>
      </w:r>
      <w:r w:rsidR="005459B3">
        <w:t>, the Youth and Family Homelessness Prevention Initiative,</w:t>
      </w:r>
      <w:r w:rsidR="006129B6">
        <w:t xml:space="preserve"> </w:t>
      </w:r>
      <w:r w:rsidR="005459B3">
        <w:t>and</w:t>
      </w:r>
      <w:r w:rsidR="006129B6">
        <w:t xml:space="preserve"> </w:t>
      </w:r>
      <w:r w:rsidR="00505EEF" w:rsidRPr="00DE2CD0">
        <w:t>the</w:t>
      </w:r>
      <w:r w:rsidR="00505EEF">
        <w:rPr>
          <w:i/>
          <w:iCs/>
        </w:rPr>
        <w:t xml:space="preserve"> </w:t>
      </w:r>
      <w:r w:rsidR="00521EF3">
        <w:t>Capital Grant</w:t>
      </w:r>
      <w:r w:rsidR="0027360E">
        <w:t>s</w:t>
      </w:r>
      <w:r w:rsidR="00521EF3">
        <w:t xml:space="preserve"> Program</w:t>
      </w:r>
      <w:r w:rsidR="00726A1F">
        <w:t>.</w:t>
      </w:r>
    </w:p>
    <w:p w14:paraId="7B86D951" w14:textId="21C80FBC" w:rsidR="003774E6" w:rsidRDefault="003774E6" w:rsidP="003774E6">
      <w:pPr>
        <w:spacing w:line="240" w:lineRule="auto"/>
      </w:pPr>
    </w:p>
    <w:p w14:paraId="3B60AE04" w14:textId="60F83E86" w:rsidR="005F14D1" w:rsidRDefault="005F14D1" w:rsidP="005F14D1">
      <w:pPr>
        <w:pStyle w:val="Caption"/>
        <w:keepNext/>
        <w:spacing w:after="0"/>
      </w:pPr>
      <w:bookmarkStart w:id="34" w:name="_Hlk76113566"/>
      <w:r>
        <w:lastRenderedPageBreak/>
        <w:t>Graphic 1: Promotive and Protective Factors (0-5)</w:t>
      </w:r>
    </w:p>
    <w:bookmarkEnd w:id="34"/>
    <w:p w14:paraId="0F0DDD88" w14:textId="77777777" w:rsidR="00C971EA" w:rsidRDefault="2AF9C948" w:rsidP="00C971EA">
      <w:r>
        <w:rPr>
          <w:noProof/>
        </w:rPr>
        <w:drawing>
          <wp:inline distT="0" distB="0" distL="0" distR="0" wp14:anchorId="7D711A5F" wp14:editId="0CD2E6E2">
            <wp:extent cx="5943600" cy="2695575"/>
            <wp:effectExtent l="0" t="0" r="0" b="9525"/>
            <wp:docPr id="3" name="Picture 4" descr="C:\Users\mmcjenn\AppData\Local\Microsoft\Windows\INetCache\Content.MSO\B8C71BD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14:paraId="177D33D9" w14:textId="77777777" w:rsidR="0059604D" w:rsidRDefault="0059604D" w:rsidP="005B7033">
      <w:pPr>
        <w:pStyle w:val="Caption"/>
        <w:keepNext/>
        <w:spacing w:after="0"/>
        <w:rPr>
          <w:i w:val="0"/>
          <w:color w:val="auto"/>
          <w:sz w:val="22"/>
          <w:szCs w:val="22"/>
        </w:rPr>
      </w:pPr>
    </w:p>
    <w:p w14:paraId="5081F382" w14:textId="7B982981" w:rsidR="005B7033" w:rsidRDefault="001B08FB" w:rsidP="003420B4">
      <w:pPr>
        <w:pStyle w:val="Caption"/>
        <w:keepNext/>
        <w:spacing w:after="0" w:line="259" w:lineRule="auto"/>
      </w:pPr>
      <w:r w:rsidRPr="00D06DA2">
        <w:rPr>
          <w:i w:val="0"/>
          <w:noProof/>
          <w:color w:val="auto"/>
          <w:sz w:val="22"/>
          <w:szCs w:val="22"/>
        </w:rPr>
        <mc:AlternateContent>
          <mc:Choice Requires="wps">
            <w:drawing>
              <wp:anchor distT="0" distB="0" distL="114300" distR="114300" simplePos="0" relativeHeight="251658240" behindDoc="0" locked="0" layoutInCell="1" allowOverlap="1" wp14:anchorId="3860E58A" wp14:editId="4A3B725E">
                <wp:simplePos x="0" y="0"/>
                <wp:positionH relativeFrom="column">
                  <wp:posOffset>0</wp:posOffset>
                </wp:positionH>
                <wp:positionV relativeFrom="paragraph">
                  <wp:posOffset>654050</wp:posOffset>
                </wp:positionV>
                <wp:extent cx="5943600" cy="1619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161925"/>
                        </a:xfrm>
                        <a:prstGeom prst="rect">
                          <a:avLst/>
                        </a:prstGeom>
                        <a:solidFill>
                          <a:prstClr val="white"/>
                        </a:solidFill>
                        <a:ln>
                          <a:noFill/>
                        </a:ln>
                      </wps:spPr>
                      <wps:txbx>
                        <w:txbxContent>
                          <w:p w14:paraId="2A7F7627" w14:textId="771BA5FA" w:rsidR="001D1C68" w:rsidRDefault="001D1C68" w:rsidP="001B08FB">
                            <w:pPr>
                              <w:pStyle w:val="Caption"/>
                              <w:rPr>
                                <w:color w:val="auto"/>
                              </w:rPr>
                            </w:pPr>
                            <w:r>
                              <w:t>Graphic 2: Promotive and Protective Factors (5-24)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0E58A" id="Text Box 5" o:spid="_x0000_s1027" type="#_x0000_t202" style="position:absolute;margin-left:0;margin-top:51.5pt;width:468pt;height:1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" stroked="f">
                <v:textbox inset="0,0,0,0">
                  <w:txbxContent>
                    <w:p w14:paraId="2A7F7627" w14:textId="771BA5FA" w:rsidR="001D1C68" w:rsidRDefault="001D1C68" w:rsidP="001B08FB">
                      <w:pPr>
                        <w:pStyle w:val="Caption"/>
                        <w:rPr>
                          <w:color w:val="auto"/>
                        </w:rPr>
                      </w:pPr>
                      <w:r>
                        <w:t>Graphic 2: Promotive and Protective Factors (5-24)</w:t>
                      </w:r>
                    </w:p>
                  </w:txbxContent>
                </v:textbox>
                <w10:wrap type="square"/>
              </v:shape>
            </w:pict>
          </mc:Fallback>
        </mc:AlternateContent>
      </w:r>
      <w:r w:rsidR="75367536" w:rsidRPr="00D06DA2">
        <w:rPr>
          <w:i w:val="0"/>
          <w:color w:val="auto"/>
          <w:sz w:val="22"/>
          <w:szCs w:val="22"/>
        </w:rPr>
        <w:t>Graphic 2</w:t>
      </w:r>
      <w:r w:rsidR="53E6F5A0" w:rsidRPr="00D06DA2">
        <w:rPr>
          <w:i w:val="0"/>
          <w:color w:val="auto"/>
          <w:sz w:val="22"/>
          <w:szCs w:val="22"/>
        </w:rPr>
        <w:t xml:space="preserve"> depicts</w:t>
      </w:r>
      <w:r w:rsidR="75367536" w:rsidRPr="00D06DA2">
        <w:rPr>
          <w:i w:val="0"/>
          <w:color w:val="auto"/>
          <w:sz w:val="22"/>
          <w:szCs w:val="22"/>
        </w:rPr>
        <w:t xml:space="preserve"> </w:t>
      </w:r>
      <w:r w:rsidR="24147681" w:rsidRPr="00D06DA2">
        <w:rPr>
          <w:i w:val="0"/>
          <w:color w:val="auto"/>
          <w:sz w:val="22"/>
          <w:szCs w:val="22"/>
        </w:rPr>
        <w:t>the</w:t>
      </w:r>
      <w:r w:rsidR="75367536" w:rsidRPr="00D06DA2">
        <w:rPr>
          <w:i w:val="0"/>
          <w:color w:val="auto"/>
          <w:sz w:val="22"/>
          <w:szCs w:val="22"/>
        </w:rPr>
        <w:t xml:space="preserve"> framework</w:t>
      </w:r>
      <w:r w:rsidR="7E6FC9F3" w:rsidRPr="00D06DA2">
        <w:rPr>
          <w:i w:val="0"/>
          <w:color w:val="auto"/>
          <w:sz w:val="22"/>
          <w:szCs w:val="22"/>
        </w:rPr>
        <w:t xml:space="preserve"> </w:t>
      </w:r>
      <w:r w:rsidR="53E6F5A0" w:rsidRPr="00D06DA2">
        <w:rPr>
          <w:i w:val="0"/>
          <w:color w:val="auto"/>
          <w:sz w:val="22"/>
          <w:szCs w:val="22"/>
        </w:rPr>
        <w:t>a</w:t>
      </w:r>
      <w:r w:rsidR="24147681" w:rsidRPr="00D06DA2">
        <w:rPr>
          <w:i w:val="0"/>
          <w:color w:val="auto"/>
          <w:sz w:val="22"/>
          <w:szCs w:val="22"/>
        </w:rPr>
        <w:t>s</w:t>
      </w:r>
      <w:r w:rsidR="530EA16B" w:rsidRPr="00D06DA2">
        <w:rPr>
          <w:i w:val="0"/>
          <w:color w:val="auto"/>
          <w:sz w:val="22"/>
          <w:szCs w:val="22"/>
        </w:rPr>
        <w:t xml:space="preserve"> </w:t>
      </w:r>
      <w:r w:rsidR="7FDC7C23" w:rsidRPr="00D06DA2">
        <w:rPr>
          <w:i w:val="0"/>
          <w:color w:val="auto"/>
          <w:sz w:val="22"/>
          <w:szCs w:val="22"/>
        </w:rPr>
        <w:t xml:space="preserve">adjusted to </w:t>
      </w:r>
      <w:r w:rsidR="75367536" w:rsidRPr="00D06DA2">
        <w:rPr>
          <w:i w:val="0"/>
          <w:color w:val="auto"/>
          <w:sz w:val="22"/>
          <w:szCs w:val="22"/>
        </w:rPr>
        <w:t xml:space="preserve">reflect developmental </w:t>
      </w:r>
      <w:r w:rsidR="7C5AF8F0" w:rsidRPr="00D06DA2">
        <w:rPr>
          <w:i w:val="0"/>
          <w:color w:val="auto"/>
          <w:sz w:val="22"/>
          <w:szCs w:val="22"/>
        </w:rPr>
        <w:t xml:space="preserve">needs for </w:t>
      </w:r>
      <w:r w:rsidR="7A72CD88" w:rsidRPr="00D06DA2">
        <w:rPr>
          <w:i w:val="0"/>
          <w:color w:val="auto"/>
          <w:sz w:val="22"/>
          <w:szCs w:val="22"/>
        </w:rPr>
        <w:t>youth</w:t>
      </w:r>
      <w:r w:rsidR="57E5E441" w:rsidRPr="00D06DA2">
        <w:rPr>
          <w:i w:val="0"/>
          <w:color w:val="auto"/>
          <w:sz w:val="22"/>
          <w:szCs w:val="22"/>
        </w:rPr>
        <w:t xml:space="preserve"> </w:t>
      </w:r>
      <w:r w:rsidR="6D2711B0" w:rsidRPr="00D06DA2">
        <w:rPr>
          <w:i w:val="0"/>
          <w:color w:val="auto"/>
          <w:sz w:val="22"/>
          <w:szCs w:val="22"/>
        </w:rPr>
        <w:t>age</w:t>
      </w:r>
      <w:r w:rsidR="7A72CD88" w:rsidRPr="00D06DA2">
        <w:rPr>
          <w:i w:val="0"/>
          <w:color w:val="auto"/>
          <w:sz w:val="22"/>
          <w:szCs w:val="22"/>
        </w:rPr>
        <w:t>s</w:t>
      </w:r>
      <w:r w:rsidR="6D2711B0" w:rsidRPr="00D06DA2">
        <w:rPr>
          <w:i w:val="0"/>
          <w:color w:val="auto"/>
          <w:sz w:val="22"/>
          <w:szCs w:val="22"/>
        </w:rPr>
        <w:t xml:space="preserve"> five to 24</w:t>
      </w:r>
      <w:r w:rsidR="3CF7E1AE" w:rsidRPr="00D06DA2">
        <w:rPr>
          <w:i w:val="0"/>
          <w:color w:val="auto"/>
          <w:sz w:val="22"/>
          <w:szCs w:val="22"/>
        </w:rPr>
        <w:t xml:space="preserve">. </w:t>
      </w:r>
      <w:r w:rsidR="28C94A39" w:rsidRPr="00D06DA2">
        <w:rPr>
          <w:i w:val="0"/>
          <w:color w:val="auto"/>
          <w:sz w:val="22"/>
          <w:szCs w:val="22"/>
        </w:rPr>
        <w:t>A</w:t>
      </w:r>
      <w:r w:rsidR="3210EFB0" w:rsidRPr="00D06DA2">
        <w:rPr>
          <w:i w:val="0"/>
          <w:color w:val="auto"/>
          <w:sz w:val="22"/>
          <w:szCs w:val="22"/>
        </w:rPr>
        <w:t>t</w:t>
      </w:r>
      <w:r w:rsidR="28C94A39" w:rsidRPr="00D06DA2">
        <w:rPr>
          <w:i w:val="0"/>
          <w:color w:val="auto"/>
          <w:sz w:val="22"/>
          <w:szCs w:val="22"/>
        </w:rPr>
        <w:t xml:space="preserve"> this age, dynamic</w:t>
      </w:r>
      <w:r w:rsidR="4DC4CCAB" w:rsidRPr="00D06DA2">
        <w:rPr>
          <w:i w:val="0"/>
          <w:color w:val="auto"/>
          <w:sz w:val="22"/>
          <w:szCs w:val="22"/>
        </w:rPr>
        <w:t xml:space="preserve"> outcomes include health and resilience</w:t>
      </w:r>
      <w:r w:rsidR="409F043C" w:rsidRPr="00D06DA2">
        <w:rPr>
          <w:i w:val="0"/>
          <w:color w:val="auto"/>
          <w:sz w:val="22"/>
          <w:szCs w:val="22"/>
        </w:rPr>
        <w:t>, supportive networks, and success in school, workplace, and community</w:t>
      </w:r>
      <w:r w:rsidR="409F043C">
        <w:t>.</w:t>
      </w:r>
    </w:p>
    <w:p w14:paraId="390B651F" w14:textId="37719DC2" w:rsidR="005B7033" w:rsidRDefault="005B7033" w:rsidP="005B7033">
      <w:pPr>
        <w:pStyle w:val="Caption"/>
        <w:keepNext/>
        <w:spacing w:after="0"/>
      </w:pPr>
      <w:r w:rsidRPr="005B7033">
        <w:rPr>
          <w:i w:val="0"/>
          <w:iCs w:val="0"/>
          <w:noProof/>
          <w:sz w:val="22"/>
          <w:szCs w:val="22"/>
        </w:rPr>
        <w:drawing>
          <wp:anchor distT="0" distB="0" distL="114300" distR="114300" simplePos="0" relativeHeight="251658242" behindDoc="0" locked="0" layoutInCell="1" allowOverlap="1" wp14:anchorId="1A9D07ED" wp14:editId="1CBDE6EF">
            <wp:simplePos x="0" y="0"/>
            <wp:positionH relativeFrom="margin">
              <wp:align>right</wp:align>
            </wp:positionH>
            <wp:positionV relativeFrom="paragraph">
              <wp:posOffset>319405</wp:posOffset>
            </wp:positionV>
            <wp:extent cx="5943600" cy="2893695"/>
            <wp:effectExtent l="0" t="0" r="0" b="1905"/>
            <wp:wrapSquare wrapText="bothSides"/>
            <wp:docPr id="2017331371" name="Picture 3" descr="C:\Users\mmcjenn\AppData\Local\Microsoft\Windows\INetCache\Content.MSO\373D20F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943600" cy="2893695"/>
                    </a:xfrm>
                    <a:prstGeom prst="rect">
                      <a:avLst/>
                    </a:prstGeom>
                  </pic:spPr>
                </pic:pic>
              </a:graphicData>
            </a:graphic>
            <wp14:sizeRelH relativeFrom="page">
              <wp14:pctWidth>0</wp14:pctWidth>
            </wp14:sizeRelH>
            <wp14:sizeRelV relativeFrom="page">
              <wp14:pctHeight>0</wp14:pctHeight>
            </wp14:sizeRelV>
          </wp:anchor>
        </w:drawing>
      </w:r>
    </w:p>
    <w:p w14:paraId="1EA35128" w14:textId="25A58070" w:rsidR="001B08FB" w:rsidRDefault="001B08FB" w:rsidP="00CE5231"/>
    <w:p w14:paraId="18D1C53F" w14:textId="77777777" w:rsidR="00A64E22" w:rsidRDefault="00A64E22" w:rsidP="00CE5231"/>
    <w:p w14:paraId="1313E5D0" w14:textId="55EF99E1" w:rsidR="00D17022" w:rsidRDefault="00255B2C" w:rsidP="00CE5231">
      <w:r>
        <w:t>This</w:t>
      </w:r>
      <w:r w:rsidR="003544C1">
        <w:t xml:space="preserve"> application of the</w:t>
      </w:r>
      <w:r>
        <w:t xml:space="preserve"> </w:t>
      </w:r>
      <w:r w:rsidR="003355F6">
        <w:t>framework guides the development of Sustain the Gain strategies.</w:t>
      </w:r>
      <w:r w:rsidR="00EF1E3B">
        <w:t xml:space="preserve"> </w:t>
      </w:r>
      <w:r w:rsidR="005C2FF9">
        <w:t>It also helps to inform</w:t>
      </w:r>
      <w:r w:rsidR="002E30B5">
        <w:t xml:space="preserve"> </w:t>
      </w:r>
      <w:r w:rsidR="00331DA6" w:rsidRPr="001E3298">
        <w:rPr>
          <w:i/>
          <w:iCs/>
        </w:rPr>
        <w:t>Best Starts’</w:t>
      </w:r>
      <w:r w:rsidR="00331DA6">
        <w:t xml:space="preserve"> the </w:t>
      </w:r>
      <w:r w:rsidR="00EF1E3B">
        <w:t>Child Care Subsid</w:t>
      </w:r>
      <w:r w:rsidR="00337310">
        <w:t>y Program</w:t>
      </w:r>
      <w:r w:rsidR="00EF1E3B">
        <w:t xml:space="preserve"> and </w:t>
      </w:r>
      <w:r w:rsidR="00DC53C0">
        <w:t>Workforce</w:t>
      </w:r>
      <w:r w:rsidR="00EF1E3B">
        <w:t xml:space="preserve"> Demonstration Project</w:t>
      </w:r>
      <w:r w:rsidR="00A27904">
        <w:t xml:space="preserve">, </w:t>
      </w:r>
      <w:r w:rsidR="00331DA6">
        <w:t xml:space="preserve">the </w:t>
      </w:r>
      <w:r w:rsidR="00332E96">
        <w:t xml:space="preserve">Youth and </w:t>
      </w:r>
      <w:r w:rsidR="00332E96">
        <w:lastRenderedPageBreak/>
        <w:t>Family Homelessness Prevention Initiative</w:t>
      </w:r>
      <w:r w:rsidR="00A27904">
        <w:t>,</w:t>
      </w:r>
      <w:r w:rsidR="00332E96">
        <w:t xml:space="preserve"> and </w:t>
      </w:r>
      <w:r w:rsidR="00331DA6">
        <w:t xml:space="preserve">the </w:t>
      </w:r>
      <w:r w:rsidR="006129B6">
        <w:t>Capital Grant</w:t>
      </w:r>
      <w:r w:rsidR="0027360E">
        <w:t>s</w:t>
      </w:r>
      <w:r w:rsidR="006129B6">
        <w:t xml:space="preserve"> Program</w:t>
      </w:r>
      <w:r w:rsidR="00ED7E27">
        <w:t>, the three investment areas that serve multiple age ranges</w:t>
      </w:r>
      <w:r w:rsidR="003355F6">
        <w:t>.</w:t>
      </w:r>
    </w:p>
    <w:p w14:paraId="4AAE300F" w14:textId="77777777" w:rsidR="00741EDB" w:rsidRDefault="00741EDB" w:rsidP="00CE5231"/>
    <w:p w14:paraId="6DBD0A74" w14:textId="7AD2D3CC" w:rsidR="001B08FB" w:rsidRPr="00384D9B" w:rsidRDefault="00E506F2" w:rsidP="003420B4">
      <w:pPr>
        <w:rPr>
          <w:rFonts w:ascii="Segoe UI" w:eastAsia="Times New Roman" w:hAnsi="Segoe UI" w:cs="Segoe UI"/>
          <w:sz w:val="21"/>
          <w:szCs w:val="21"/>
        </w:rPr>
      </w:pPr>
      <w:r>
        <w:t>The</w:t>
      </w:r>
      <w:r w:rsidR="00883EC6" w:rsidRPr="00CB137F">
        <w:t xml:space="preserve"> </w:t>
      </w:r>
      <w:r w:rsidR="00805802">
        <w:t>Communities of Opportunity (COO)</w:t>
      </w:r>
      <w:r w:rsidR="00883EC6" w:rsidRPr="00CB137F">
        <w:t xml:space="preserve"> Governance Group met </w:t>
      </w:r>
      <w:r w:rsidR="00AF7205">
        <w:t>durin</w:t>
      </w:r>
      <w:r w:rsidR="00F30FDA">
        <w:t xml:space="preserve">g winter 2020 through spring of 2021 </w:t>
      </w:r>
      <w:r w:rsidR="00883EC6" w:rsidRPr="00CB137F">
        <w:t>to review the set of principles, strategies and investments, and expected outcomes</w:t>
      </w:r>
      <w:r w:rsidR="00805802">
        <w:t xml:space="preserve"> </w:t>
      </w:r>
      <w:r w:rsidR="5D28D962">
        <w:t>for COO.  This led</w:t>
      </w:r>
      <w:r w:rsidR="00883EC6" w:rsidRPr="00CB137F">
        <w:t xml:space="preserve"> to </w:t>
      </w:r>
      <w:r w:rsidR="04E36145">
        <w:t>the</w:t>
      </w:r>
      <w:r w:rsidR="00721079">
        <w:t xml:space="preserve"> </w:t>
      </w:r>
      <w:r w:rsidR="00546DB8">
        <w:t xml:space="preserve">theoretical </w:t>
      </w:r>
      <w:r w:rsidR="00721079">
        <w:t>framework for COO</w:t>
      </w:r>
      <w:r w:rsidR="00462FF7">
        <w:t xml:space="preserve"> outlined in Graphic 3</w:t>
      </w:r>
      <w:r w:rsidR="00805802">
        <w:t xml:space="preserve"> below</w:t>
      </w:r>
      <w:r w:rsidR="76581E41">
        <w:t xml:space="preserve"> </w:t>
      </w:r>
      <w:r w:rsidR="4F8C47BD">
        <w:t xml:space="preserve">which </w:t>
      </w:r>
      <w:r w:rsidR="5EB5FEA2">
        <w:t xml:space="preserve">reinforces the alignment with </w:t>
      </w:r>
      <w:r w:rsidR="005C5946" w:rsidRPr="005C5946">
        <w:rPr>
          <w:i/>
          <w:iCs/>
        </w:rPr>
        <w:t>Best Starts</w:t>
      </w:r>
      <w:r w:rsidR="5EB5FEA2">
        <w:t>.  T</w:t>
      </w:r>
      <w:r w:rsidR="00FB5931">
        <w:t xml:space="preserve">his </w:t>
      </w:r>
      <w:r w:rsidR="1F8AD73F">
        <w:t>also</w:t>
      </w:r>
      <w:r w:rsidR="00FB5931" w:rsidRPr="00D7177E">
        <w:t xml:space="preserve"> reflects a community-designed and research</w:t>
      </w:r>
      <w:r w:rsidR="002C62D2" w:rsidRPr="00D7177E">
        <w:t>-based</w:t>
      </w:r>
      <w:r w:rsidR="00FB5931" w:rsidRPr="00D7177E">
        <w:t xml:space="preserve"> commitment to racial and economic equity.</w:t>
      </w:r>
      <w:r w:rsidR="00215171" w:rsidRPr="00D7177E">
        <w:t xml:space="preserve"> S</w:t>
      </w:r>
      <w:r w:rsidR="00215171">
        <w:t>imilarly</w:t>
      </w:r>
      <w:r w:rsidR="00405DBB">
        <w:t>,</w:t>
      </w:r>
      <w:r w:rsidR="00215171">
        <w:t xml:space="preserve"> </w:t>
      </w:r>
      <w:r w:rsidR="00405DBB">
        <w:t>the</w:t>
      </w:r>
      <w:r w:rsidR="000B79A2">
        <w:t xml:space="preserve"> positive outcomes </w:t>
      </w:r>
      <w:r w:rsidR="00E74E74">
        <w:t>observ</w:t>
      </w:r>
      <w:r w:rsidR="00AC5229">
        <w:t>abl</w:t>
      </w:r>
      <w:r w:rsidR="00E74E74">
        <w:t>e in</w:t>
      </w:r>
      <w:r w:rsidR="00D72F53">
        <w:t xml:space="preserve"> equitable communities </w:t>
      </w:r>
      <w:r w:rsidR="009F6FBA">
        <w:t xml:space="preserve">are shown </w:t>
      </w:r>
      <w:r w:rsidR="000B79A2">
        <w:t xml:space="preserve">on the left, </w:t>
      </w:r>
      <w:r w:rsidR="00E02023">
        <w:t xml:space="preserve">while the </w:t>
      </w:r>
      <w:r w:rsidR="00E6248F">
        <w:t xml:space="preserve">factors </w:t>
      </w:r>
      <w:r w:rsidR="00E02023" w:rsidRPr="00354EFE">
        <w:rPr>
          <w:i/>
        </w:rPr>
        <w:t>Best Starts</w:t>
      </w:r>
      <w:r w:rsidR="00E02023">
        <w:t xml:space="preserve"> strives to reduce </w:t>
      </w:r>
      <w:r w:rsidR="00702049">
        <w:t xml:space="preserve">related to systemic barriers </w:t>
      </w:r>
      <w:r w:rsidR="00E02023">
        <w:t>are shown</w:t>
      </w:r>
      <w:r w:rsidR="00E6248F">
        <w:t xml:space="preserve"> on the right</w:t>
      </w:r>
      <w:r w:rsidR="00E02023">
        <w:t>.</w:t>
      </w:r>
      <w:r w:rsidR="00702049">
        <w:t xml:space="preserve"> </w:t>
      </w:r>
      <w:r w:rsidR="003F0E79">
        <w:t>The intended results</w:t>
      </w:r>
      <w:r w:rsidR="00405DBB">
        <w:t xml:space="preserve"> of Communities of Opportunity</w:t>
      </w:r>
      <w:r w:rsidR="003F0E79">
        <w:t xml:space="preserve"> </w:t>
      </w:r>
      <w:r w:rsidR="00E842E2">
        <w:t>are in the center</w:t>
      </w:r>
      <w:r w:rsidR="00B25942">
        <w:t xml:space="preserve">, and </w:t>
      </w:r>
      <w:r w:rsidR="00496DDA">
        <w:t xml:space="preserve">include </w:t>
      </w:r>
      <w:r w:rsidR="000347B4">
        <w:t xml:space="preserve">healthy </w:t>
      </w:r>
      <w:r w:rsidR="00F71407">
        <w:t>and economically secure people, inclusive and affordable communities, and anti-racist systems.</w:t>
      </w:r>
      <w:r w:rsidR="00B25942">
        <w:t xml:space="preserve"> This application of the framework guides the implementation of Communities of Opportunity.</w:t>
      </w:r>
    </w:p>
    <w:p w14:paraId="60C681CD" w14:textId="77777777" w:rsidR="001B08FB" w:rsidRDefault="005B3FA5" w:rsidP="00DB6183">
      <w:r>
        <w:rPr>
          <w:noProof/>
        </w:rPr>
        <w:t xml:space="preserve"> </w:t>
      </w:r>
    </w:p>
    <w:p w14:paraId="3A6E724F" w14:textId="4B8CF4F2" w:rsidR="001B08FB" w:rsidRDefault="001B08FB" w:rsidP="001B08FB">
      <w:pPr>
        <w:pStyle w:val="Caption"/>
        <w:keepNext/>
      </w:pPr>
      <w:r>
        <w:t xml:space="preserve">Graphic </w:t>
      </w:r>
      <w:r w:rsidR="00081E1B">
        <w:t>3</w:t>
      </w:r>
      <w:r>
        <w:t xml:space="preserve">: </w:t>
      </w:r>
      <w:r w:rsidR="00242F3A">
        <w:t xml:space="preserve">Promotive and </w:t>
      </w:r>
      <w:r>
        <w:t>Protective Factors (COO)</w:t>
      </w:r>
    </w:p>
    <w:p w14:paraId="0020882B" w14:textId="219E2B4E" w:rsidR="00DB6183" w:rsidRDefault="00A90F7B" w:rsidP="00DB6183">
      <w:r>
        <w:rPr>
          <w:noProof/>
        </w:rPr>
        <w:drawing>
          <wp:inline distT="0" distB="0" distL="0" distR="0" wp14:anchorId="4BF00249" wp14:editId="368A8C87">
            <wp:extent cx="5800954" cy="2788304"/>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1415" cy="2793332"/>
                    </a:xfrm>
                    <a:prstGeom prst="rect">
                      <a:avLst/>
                    </a:prstGeom>
                  </pic:spPr>
                </pic:pic>
              </a:graphicData>
            </a:graphic>
          </wp:inline>
        </w:drawing>
      </w:r>
      <w:r w:rsidR="00DB6183">
        <w:br w:type="textWrapping" w:clear="all"/>
      </w:r>
    </w:p>
    <w:p w14:paraId="39C2392A" w14:textId="6834D29C" w:rsidR="002C3F7B" w:rsidRDefault="00E427F1" w:rsidP="00F33C6F">
      <w:r>
        <w:t>Th</w:t>
      </w:r>
      <w:r w:rsidR="007C1FBD">
        <w:t>is</w:t>
      </w:r>
      <w:r>
        <w:t xml:space="preserve"> theoretical framework</w:t>
      </w:r>
      <w:r w:rsidR="00A66FD3">
        <w:t xml:space="preserve"> and its three applications</w:t>
      </w:r>
      <w:r w:rsidR="003251E4">
        <w:t xml:space="preserve"> </w:t>
      </w:r>
      <w:r w:rsidR="00EC3C41">
        <w:t xml:space="preserve">guide </w:t>
      </w:r>
      <w:r w:rsidR="00EC3C41" w:rsidRPr="00923820">
        <w:rPr>
          <w:i/>
        </w:rPr>
        <w:t xml:space="preserve">Best </w:t>
      </w:r>
      <w:r w:rsidR="00C02521" w:rsidRPr="00923820">
        <w:rPr>
          <w:i/>
        </w:rPr>
        <w:t>Starts’</w:t>
      </w:r>
      <w:r w:rsidR="008A5559">
        <w:t xml:space="preserve"> identification of </w:t>
      </w:r>
      <w:r w:rsidR="00C2179B">
        <w:t xml:space="preserve">investment areas and </w:t>
      </w:r>
      <w:r w:rsidR="008A5559">
        <w:t>strate</w:t>
      </w:r>
      <w:r w:rsidR="008829F2">
        <w:t>gies</w:t>
      </w:r>
      <w:r w:rsidR="00C33E63">
        <w:t xml:space="preserve">. </w:t>
      </w:r>
      <w:r w:rsidR="00360800">
        <w:t>The Investing Early, Sustain the Gain, and Communities of Opportunity</w:t>
      </w:r>
      <w:r w:rsidR="000D76E7">
        <w:t xml:space="preserve"> investment</w:t>
      </w:r>
      <w:r w:rsidR="00360800">
        <w:t xml:space="preserve"> </w:t>
      </w:r>
      <w:r w:rsidR="00AE3B41">
        <w:t>strategies are</w:t>
      </w:r>
      <w:r w:rsidR="000D3429">
        <w:t xml:space="preserve"> each</w:t>
      </w:r>
      <w:r w:rsidR="00AE3B41">
        <w:t xml:space="preserve"> aligned with a single application of the framework. </w:t>
      </w:r>
      <w:r w:rsidR="005C2FF9">
        <w:t xml:space="preserve">As noted above, </w:t>
      </w:r>
      <w:r w:rsidR="00C06726">
        <w:t xml:space="preserve">Investments in </w:t>
      </w:r>
      <w:r w:rsidR="00536F67">
        <w:t>Youth and Family Homelessness Prevention</w:t>
      </w:r>
      <w:r w:rsidR="00F85401">
        <w:t xml:space="preserve"> Initiative, Child Care</w:t>
      </w:r>
      <w:r w:rsidR="007116A5">
        <w:t xml:space="preserve"> Subsid</w:t>
      </w:r>
      <w:r w:rsidR="00337310">
        <w:t>y Program</w:t>
      </w:r>
      <w:r w:rsidR="007116A5">
        <w:t xml:space="preserve"> and </w:t>
      </w:r>
      <w:r w:rsidR="00337310">
        <w:t xml:space="preserve">Workforce </w:t>
      </w:r>
      <w:r w:rsidR="007116A5">
        <w:t>Demonstration Project</w:t>
      </w:r>
      <w:r w:rsidR="00536F67">
        <w:t xml:space="preserve">, </w:t>
      </w:r>
      <w:r w:rsidR="00F85401">
        <w:t xml:space="preserve">and </w:t>
      </w:r>
      <w:r w:rsidR="007116A5">
        <w:t xml:space="preserve">Capital Grants </w:t>
      </w:r>
      <w:r w:rsidR="00F85401">
        <w:t xml:space="preserve">span the </w:t>
      </w:r>
      <w:r w:rsidR="005931A7">
        <w:t>age ranges</w:t>
      </w:r>
      <w:r w:rsidR="006614D6">
        <w:t xml:space="preserve"> </w:t>
      </w:r>
      <w:r w:rsidR="007116A5">
        <w:rPr>
          <w:i/>
          <w:iCs/>
        </w:rPr>
        <w:t xml:space="preserve">Best Starts </w:t>
      </w:r>
      <w:r w:rsidR="006614D6">
        <w:t>serve</w:t>
      </w:r>
      <w:r w:rsidR="007116A5">
        <w:t>s</w:t>
      </w:r>
      <w:r w:rsidR="006614D6">
        <w:t xml:space="preserve"> and thus are </w:t>
      </w:r>
      <w:r w:rsidR="00EA76EE">
        <w:t xml:space="preserve">informed by the frameworks </w:t>
      </w:r>
      <w:r w:rsidR="006614D6">
        <w:t>represented in Graphics 1</w:t>
      </w:r>
      <w:r w:rsidR="00720CBC">
        <w:t>,</w:t>
      </w:r>
      <w:r w:rsidR="006614D6">
        <w:t>2</w:t>
      </w:r>
      <w:r w:rsidR="00720CBC">
        <w:t>,</w:t>
      </w:r>
      <w:r w:rsidR="006614D6">
        <w:t xml:space="preserve"> and </w:t>
      </w:r>
      <w:r w:rsidR="00720CBC">
        <w:t>3</w:t>
      </w:r>
      <w:r w:rsidR="006614D6">
        <w:t xml:space="preserve">. These </w:t>
      </w:r>
      <w:r w:rsidR="00CF3703">
        <w:t xml:space="preserve">investment </w:t>
      </w:r>
      <w:r w:rsidR="002C3F7B">
        <w:t>areas</w:t>
      </w:r>
      <w:r w:rsidR="00CF3703">
        <w:t xml:space="preserve"> </w:t>
      </w:r>
      <w:r w:rsidR="00E80484">
        <w:t>aim</w:t>
      </w:r>
      <w:r w:rsidR="002C3F7B">
        <w:t xml:space="preserve"> to reduce</w:t>
      </w:r>
      <w:r w:rsidR="00770B7C">
        <w:t xml:space="preserve"> the risk </w:t>
      </w:r>
      <w:r w:rsidR="00935528">
        <w:t xml:space="preserve">of unsafe, unstable, </w:t>
      </w:r>
      <w:r w:rsidR="00F63CD1">
        <w:t>or inequitable environments.</w:t>
      </w:r>
      <w:r w:rsidR="00C33E63">
        <w:t xml:space="preserve"> </w:t>
      </w:r>
    </w:p>
    <w:p w14:paraId="5A8C4884" w14:textId="77777777" w:rsidR="002C3F7B" w:rsidRDefault="002C3F7B" w:rsidP="00F33C6F"/>
    <w:p w14:paraId="6B869DBD" w14:textId="15800B18" w:rsidR="00405DBB" w:rsidRDefault="00E10FBB" w:rsidP="00F33C6F">
      <w:r>
        <w:t>The strategy selection process wi</w:t>
      </w:r>
      <w:r w:rsidR="002C3F7B">
        <w:t>thin each i</w:t>
      </w:r>
      <w:r w:rsidR="00BF5EAC">
        <w:t>nvestment area</w:t>
      </w:r>
      <w:r>
        <w:t xml:space="preserve"> was </w:t>
      </w:r>
      <w:r w:rsidR="00086E2A">
        <w:t>grounded in</w:t>
      </w:r>
      <w:r>
        <w:t xml:space="preserve"> the theoretical framework and </w:t>
      </w:r>
      <w:r w:rsidR="00086E2A">
        <w:t xml:space="preserve">guided by </w:t>
      </w:r>
      <w:r w:rsidR="0066483A">
        <w:t>community feedback.</w:t>
      </w:r>
      <w:r w:rsidR="002C3F7B">
        <w:t xml:space="preserve"> </w:t>
      </w:r>
      <w:r w:rsidR="005C0ED4">
        <w:t>Each</w:t>
      </w:r>
      <w:r w:rsidR="00176700">
        <w:t xml:space="preserve"> selected </w:t>
      </w:r>
      <w:r w:rsidR="005C0ED4">
        <w:t>strategy</w:t>
      </w:r>
      <w:r w:rsidR="00CD0559">
        <w:t xml:space="preserve"> </w:t>
      </w:r>
      <w:r w:rsidR="00B015A1">
        <w:t>reflects</w:t>
      </w:r>
      <w:r w:rsidR="00254D29">
        <w:t xml:space="preserve"> community feedback and </w:t>
      </w:r>
      <w:r w:rsidR="00092A8E">
        <w:t>address</w:t>
      </w:r>
      <w:r w:rsidR="005C0ED4">
        <w:t>es</w:t>
      </w:r>
      <w:r w:rsidR="00092A8E">
        <w:t xml:space="preserve"> one or more </w:t>
      </w:r>
      <w:r w:rsidR="00EF36EB">
        <w:t xml:space="preserve">promotive, </w:t>
      </w:r>
      <w:r w:rsidR="006D6459">
        <w:t>protective</w:t>
      </w:r>
      <w:r w:rsidR="00EF36EB">
        <w:t>,</w:t>
      </w:r>
      <w:r w:rsidR="006D6459">
        <w:t xml:space="preserve"> or risk factors</w:t>
      </w:r>
      <w:r w:rsidR="005C0ED4">
        <w:t xml:space="preserve">, </w:t>
      </w:r>
      <w:r w:rsidR="00861BD5">
        <w:t>which</w:t>
      </w:r>
      <w:r w:rsidR="00254D29">
        <w:t xml:space="preserve"> often intersect. </w:t>
      </w:r>
      <w:r w:rsidR="002F6AD9">
        <w:t>The</w:t>
      </w:r>
      <w:r w:rsidR="00C4069E">
        <w:t xml:space="preserve"> </w:t>
      </w:r>
      <w:r w:rsidR="00254D29">
        <w:t xml:space="preserve">set of strategies </w:t>
      </w:r>
      <w:r w:rsidR="004C39E8">
        <w:t xml:space="preserve">is </w:t>
      </w:r>
      <w:r w:rsidR="00254D29">
        <w:lastRenderedPageBreak/>
        <w:t>designed</w:t>
      </w:r>
      <w:r w:rsidR="004C39E8">
        <w:t xml:space="preserve"> to </w:t>
      </w:r>
      <w:r w:rsidR="00254D29">
        <w:t xml:space="preserve">address all </w:t>
      </w:r>
      <w:r w:rsidR="00630D64">
        <w:t xml:space="preserve">of </w:t>
      </w:r>
      <w:r w:rsidR="00254D29">
        <w:t>the dynamic outcomes</w:t>
      </w:r>
      <w:r w:rsidR="0093273F">
        <w:t xml:space="preserve"> </w:t>
      </w:r>
      <w:r w:rsidR="00630D64">
        <w:t>in the framework</w:t>
      </w:r>
      <w:r w:rsidR="001A2466">
        <w:t xml:space="preserve">. Together, they </w:t>
      </w:r>
      <w:r w:rsidR="00325F3D">
        <w:t xml:space="preserve">provide a framework </w:t>
      </w:r>
      <w:r w:rsidR="009A57BD">
        <w:t xml:space="preserve">and </w:t>
      </w:r>
      <w:r w:rsidR="00EF36EB">
        <w:t>guide</w:t>
      </w:r>
      <w:r w:rsidR="006939CF">
        <w:t xml:space="preserve"> </w:t>
      </w:r>
      <w:r w:rsidR="009A57BD">
        <w:t>to promote</w:t>
      </w:r>
      <w:r w:rsidR="00A72B0A">
        <w:t xml:space="preserve"> positive outcomes for all </w:t>
      </w:r>
      <w:r w:rsidR="00E427F1" w:rsidRPr="00354EFE">
        <w:rPr>
          <w:i/>
        </w:rPr>
        <w:t>Best Starts</w:t>
      </w:r>
      <w:r w:rsidR="00A72B0A">
        <w:t xml:space="preserve"> families, children, youth and communities. </w:t>
      </w:r>
      <w:r w:rsidR="00EF36EB">
        <w:t xml:space="preserve">They also inform the </w:t>
      </w:r>
      <w:r w:rsidR="00354943">
        <w:t>development of performance measures and evaluation plans for all the selected strategies.</w:t>
      </w:r>
      <w:r w:rsidR="00354943">
        <w:rPr>
          <w:rStyle w:val="FootnoteReference"/>
        </w:rPr>
        <w:footnoteReference w:id="86"/>
      </w:r>
    </w:p>
    <w:p w14:paraId="17BDD852" w14:textId="77777777" w:rsidR="001F6106" w:rsidRDefault="001F6106" w:rsidP="001F6106"/>
    <w:p w14:paraId="4781B706" w14:textId="4D808F73" w:rsidR="001F6106" w:rsidRPr="00881EFD" w:rsidRDefault="002B254F" w:rsidP="00881EFD">
      <w:pPr>
        <w:rPr>
          <w:rFonts w:asciiTheme="minorHAnsi" w:eastAsiaTheme="majorEastAsia" w:hAnsiTheme="minorHAnsi" w:cstheme="minorHAnsi"/>
          <w:b/>
          <w:color w:val="4472C4" w:themeColor="accent1"/>
        </w:rPr>
      </w:pPr>
      <w:r w:rsidRPr="00C42480">
        <w:rPr>
          <w:rFonts w:asciiTheme="minorHAnsi" w:hAnsiTheme="minorHAnsi" w:cstheme="minorHAnsi"/>
        </w:rPr>
        <w:t xml:space="preserve">To achieve </w:t>
      </w:r>
      <w:r w:rsidRPr="00C42480">
        <w:rPr>
          <w:rFonts w:asciiTheme="minorHAnsi" w:hAnsiTheme="minorHAnsi" w:cstheme="minorHAnsi"/>
          <w:i/>
        </w:rPr>
        <w:t>Best Starts</w:t>
      </w:r>
      <w:r w:rsidRPr="00C42480">
        <w:rPr>
          <w:rFonts w:asciiTheme="minorHAnsi" w:hAnsiTheme="minorHAnsi" w:cstheme="minorHAnsi"/>
        </w:rPr>
        <w:t xml:space="preserve">’ results, </w:t>
      </w:r>
      <w:r w:rsidR="00E5460A">
        <w:rPr>
          <w:rFonts w:asciiTheme="minorHAnsi" w:hAnsiTheme="minorHAnsi" w:cstheme="minorHAnsi"/>
        </w:rPr>
        <w:t xml:space="preserve">each of </w:t>
      </w:r>
      <w:r w:rsidRPr="00C42480">
        <w:rPr>
          <w:rFonts w:asciiTheme="minorHAnsi" w:hAnsiTheme="minorHAnsi" w:cstheme="minorHAnsi"/>
        </w:rPr>
        <w:t>the initiative</w:t>
      </w:r>
      <w:r w:rsidR="00E5460A">
        <w:rPr>
          <w:rFonts w:asciiTheme="minorHAnsi" w:hAnsiTheme="minorHAnsi" w:cstheme="minorHAnsi"/>
        </w:rPr>
        <w:t xml:space="preserve">’s </w:t>
      </w:r>
      <w:r w:rsidR="008E115F" w:rsidRPr="00033DB6">
        <w:rPr>
          <w:rFonts w:asciiTheme="minorHAnsi" w:hAnsiTheme="minorHAnsi" w:cstheme="minorHAnsi"/>
        </w:rPr>
        <w:t>eight</w:t>
      </w:r>
      <w:r w:rsidR="008E115F" w:rsidRPr="004A76DA">
        <w:rPr>
          <w:rFonts w:asciiTheme="minorHAnsi" w:hAnsiTheme="minorHAnsi" w:cstheme="minorHAnsi"/>
          <w:b/>
        </w:rPr>
        <w:t xml:space="preserve"> </w:t>
      </w:r>
      <w:r w:rsidRPr="00C42480">
        <w:rPr>
          <w:rFonts w:asciiTheme="minorHAnsi" w:hAnsiTheme="minorHAnsi" w:cstheme="minorHAnsi"/>
        </w:rPr>
        <w:t>investment areas</w:t>
      </w:r>
      <w:r w:rsidR="00E5460A">
        <w:rPr>
          <w:rFonts w:asciiTheme="minorHAnsi" w:hAnsiTheme="minorHAnsi" w:cstheme="minorHAnsi"/>
        </w:rPr>
        <w:t xml:space="preserve"> are </w:t>
      </w:r>
      <w:r w:rsidRPr="00C42480">
        <w:rPr>
          <w:rFonts w:asciiTheme="minorHAnsi" w:hAnsiTheme="minorHAnsi" w:cstheme="minorHAnsi"/>
        </w:rPr>
        <w:t xml:space="preserve">grounded in the </w:t>
      </w:r>
      <w:r w:rsidR="007C1FBD">
        <w:rPr>
          <w:rFonts w:asciiTheme="minorHAnsi" w:hAnsiTheme="minorHAnsi" w:cstheme="minorHAnsi"/>
        </w:rPr>
        <w:t>f</w:t>
      </w:r>
      <w:r w:rsidRPr="00C42480">
        <w:rPr>
          <w:rFonts w:asciiTheme="minorHAnsi" w:hAnsiTheme="minorHAnsi" w:cstheme="minorHAnsi"/>
        </w:rPr>
        <w:t xml:space="preserve">ramework </w:t>
      </w:r>
      <w:r w:rsidR="00431510">
        <w:rPr>
          <w:rFonts w:asciiTheme="minorHAnsi" w:hAnsiTheme="minorHAnsi" w:cstheme="minorHAnsi"/>
        </w:rPr>
        <w:t xml:space="preserve">as noted </w:t>
      </w:r>
      <w:r w:rsidRPr="00C42480">
        <w:rPr>
          <w:rFonts w:asciiTheme="minorHAnsi" w:hAnsiTheme="minorHAnsi" w:cstheme="minorHAnsi"/>
        </w:rPr>
        <w:t>above</w:t>
      </w:r>
      <w:r w:rsidRPr="004A76DA">
        <w:rPr>
          <w:rFonts w:asciiTheme="minorHAnsi" w:hAnsiTheme="minorHAnsi" w:cstheme="minorHAnsi"/>
          <w:b/>
          <w:bCs/>
          <w:i/>
          <w:iCs/>
        </w:rPr>
        <w:t>.</w:t>
      </w:r>
      <w:r w:rsidRPr="004A76DA">
        <w:rPr>
          <w:rFonts w:asciiTheme="minorHAnsi" w:hAnsiTheme="minorHAnsi" w:cstheme="minorHAnsi"/>
        </w:rPr>
        <w:t xml:space="preserve"> The </w:t>
      </w:r>
      <w:r w:rsidR="008E115F">
        <w:rPr>
          <w:rFonts w:asciiTheme="minorHAnsi" w:hAnsiTheme="minorHAnsi" w:cstheme="minorHAnsi"/>
        </w:rPr>
        <w:t>eight</w:t>
      </w:r>
      <w:r w:rsidR="008E115F" w:rsidRPr="004A76DA">
        <w:rPr>
          <w:rFonts w:asciiTheme="minorHAnsi" w:hAnsiTheme="minorHAnsi" w:cstheme="minorHAnsi"/>
        </w:rPr>
        <w:t xml:space="preserve"> </w:t>
      </w:r>
      <w:r w:rsidR="00A60FEC" w:rsidRPr="004A76DA">
        <w:rPr>
          <w:rFonts w:asciiTheme="minorHAnsi" w:hAnsiTheme="minorHAnsi" w:cstheme="minorHAnsi"/>
        </w:rPr>
        <w:t>in</w:t>
      </w:r>
      <w:r w:rsidRPr="004A76DA">
        <w:rPr>
          <w:rFonts w:asciiTheme="minorHAnsi" w:hAnsiTheme="minorHAnsi" w:cstheme="minorHAnsi"/>
        </w:rPr>
        <w:t>vestment areas are</w:t>
      </w:r>
      <w:r w:rsidR="00337310">
        <w:rPr>
          <w:rFonts w:asciiTheme="minorHAnsi" w:hAnsiTheme="minorHAnsi" w:cstheme="minorHAnsi"/>
        </w:rPr>
        <w:t xml:space="preserve"> the</w:t>
      </w:r>
      <w:r w:rsidRPr="004A76DA">
        <w:rPr>
          <w:rFonts w:asciiTheme="minorHAnsi" w:hAnsiTheme="minorHAnsi" w:cstheme="minorHAnsi"/>
        </w:rPr>
        <w:t xml:space="preserve"> Child Care</w:t>
      </w:r>
      <w:r w:rsidR="005E75A8" w:rsidRPr="004A76DA">
        <w:rPr>
          <w:rFonts w:asciiTheme="minorHAnsi" w:hAnsiTheme="minorHAnsi" w:cstheme="minorHAnsi"/>
        </w:rPr>
        <w:t xml:space="preserve"> </w:t>
      </w:r>
      <w:r w:rsidR="007116A5">
        <w:rPr>
          <w:rFonts w:asciiTheme="minorHAnsi" w:hAnsiTheme="minorHAnsi" w:cstheme="minorHAnsi"/>
        </w:rPr>
        <w:t>Subsid</w:t>
      </w:r>
      <w:r w:rsidR="00337310">
        <w:rPr>
          <w:rFonts w:asciiTheme="minorHAnsi" w:hAnsiTheme="minorHAnsi" w:cstheme="minorHAnsi"/>
        </w:rPr>
        <w:t>y Program</w:t>
      </w:r>
      <w:r w:rsidR="007116A5">
        <w:rPr>
          <w:rFonts w:asciiTheme="minorHAnsi" w:hAnsiTheme="minorHAnsi" w:cstheme="minorHAnsi"/>
        </w:rPr>
        <w:t xml:space="preserve"> </w:t>
      </w:r>
      <w:r w:rsidR="005E75A8" w:rsidRPr="004A76DA">
        <w:rPr>
          <w:rFonts w:asciiTheme="minorHAnsi" w:hAnsiTheme="minorHAnsi" w:cstheme="minorHAnsi"/>
        </w:rPr>
        <w:t>and Wage Demonstration Project</w:t>
      </w:r>
      <w:r w:rsidRPr="004A76DA">
        <w:rPr>
          <w:rFonts w:asciiTheme="minorHAnsi" w:hAnsiTheme="minorHAnsi" w:cstheme="minorHAnsi"/>
        </w:rPr>
        <w:t>,</w:t>
      </w:r>
      <w:r w:rsidR="00306BD9" w:rsidRPr="004A76DA">
        <w:rPr>
          <w:rFonts w:asciiTheme="minorHAnsi" w:hAnsiTheme="minorHAnsi" w:cstheme="minorHAnsi"/>
        </w:rPr>
        <w:t xml:space="preserve"> </w:t>
      </w:r>
      <w:r w:rsidRPr="004A76DA">
        <w:rPr>
          <w:rFonts w:asciiTheme="minorHAnsi" w:hAnsiTheme="minorHAnsi" w:cstheme="minorHAnsi"/>
        </w:rPr>
        <w:t>Invest</w:t>
      </w:r>
      <w:r w:rsidR="00D91F3E">
        <w:rPr>
          <w:rFonts w:asciiTheme="minorHAnsi" w:hAnsiTheme="minorHAnsi" w:cstheme="minorHAnsi"/>
        </w:rPr>
        <w:t>ing</w:t>
      </w:r>
      <w:r w:rsidRPr="004A76DA">
        <w:rPr>
          <w:rFonts w:asciiTheme="minorHAnsi" w:hAnsiTheme="minorHAnsi" w:cstheme="minorHAnsi"/>
        </w:rPr>
        <w:t xml:space="preserve"> Early, Sustain the Gain,</w:t>
      </w:r>
      <w:r w:rsidR="00915437" w:rsidRPr="004A76DA">
        <w:rPr>
          <w:rFonts w:asciiTheme="minorHAnsi" w:hAnsiTheme="minorHAnsi" w:cstheme="minorHAnsi"/>
        </w:rPr>
        <w:t xml:space="preserve"> Youth and Family Homelessness Prevention Initiative,</w:t>
      </w:r>
      <w:r w:rsidRPr="004A76DA">
        <w:rPr>
          <w:rFonts w:asciiTheme="minorHAnsi" w:hAnsiTheme="minorHAnsi" w:cstheme="minorHAnsi"/>
        </w:rPr>
        <w:t xml:space="preserve"> Communities of Opportunity, </w:t>
      </w:r>
      <w:r w:rsidR="00915437" w:rsidRPr="004A76DA">
        <w:rPr>
          <w:rFonts w:asciiTheme="minorHAnsi" w:hAnsiTheme="minorHAnsi" w:cstheme="minorHAnsi"/>
        </w:rPr>
        <w:t>Capital Projects, Capacity</w:t>
      </w:r>
      <w:r w:rsidR="00593955" w:rsidRPr="004A76DA">
        <w:rPr>
          <w:rFonts w:asciiTheme="minorHAnsi" w:hAnsiTheme="minorHAnsi" w:cstheme="minorHAnsi"/>
        </w:rPr>
        <w:t xml:space="preserve"> Building and Technical Assistance, and </w:t>
      </w:r>
      <w:r w:rsidR="00C5422E">
        <w:rPr>
          <w:rFonts w:asciiTheme="minorHAnsi" w:hAnsiTheme="minorHAnsi" w:cstheme="minorHAnsi"/>
        </w:rPr>
        <w:t>Data</w:t>
      </w:r>
      <w:r w:rsidR="00593955" w:rsidRPr="004A76DA">
        <w:rPr>
          <w:rFonts w:asciiTheme="minorHAnsi" w:hAnsiTheme="minorHAnsi" w:cstheme="minorHAnsi"/>
        </w:rPr>
        <w:t xml:space="preserve"> and</w:t>
      </w:r>
      <w:r w:rsidR="007E4E44" w:rsidRPr="004A76DA">
        <w:rPr>
          <w:rFonts w:asciiTheme="minorHAnsi" w:hAnsiTheme="minorHAnsi" w:cstheme="minorHAnsi"/>
        </w:rPr>
        <w:t xml:space="preserve"> </w:t>
      </w:r>
      <w:r w:rsidRPr="004A76DA">
        <w:rPr>
          <w:rFonts w:asciiTheme="minorHAnsi" w:hAnsiTheme="minorHAnsi" w:cstheme="minorHAnsi"/>
        </w:rPr>
        <w:t>Evaluation.</w:t>
      </w:r>
      <w:r w:rsidR="007E4E44" w:rsidRPr="004A76DA">
        <w:rPr>
          <w:rFonts w:asciiTheme="minorHAnsi" w:hAnsiTheme="minorHAnsi" w:cstheme="minorHAnsi"/>
        </w:rPr>
        <w:t xml:space="preserve"> </w:t>
      </w:r>
      <w:r w:rsidR="0058543D" w:rsidRPr="004A76DA">
        <w:rPr>
          <w:rFonts w:asciiTheme="minorHAnsi" w:hAnsiTheme="minorHAnsi" w:cstheme="minorHAnsi"/>
        </w:rPr>
        <w:t xml:space="preserve">Details for each investment area are described in Section </w:t>
      </w:r>
      <w:r w:rsidR="00EB0A7D" w:rsidRPr="004A76DA">
        <w:rPr>
          <w:rFonts w:asciiTheme="minorHAnsi" w:hAnsiTheme="minorHAnsi" w:cstheme="minorHAnsi"/>
        </w:rPr>
        <w:t>C</w:t>
      </w:r>
      <w:r w:rsidR="004A76DA" w:rsidRPr="004A76DA">
        <w:rPr>
          <w:rFonts w:asciiTheme="minorHAnsi" w:hAnsiTheme="minorHAnsi" w:cstheme="minorHAnsi"/>
        </w:rPr>
        <w:t>.</w:t>
      </w:r>
    </w:p>
    <w:p w14:paraId="6C64DC75" w14:textId="77777777" w:rsidR="00C30980" w:rsidRPr="00C30980" w:rsidRDefault="00C30980" w:rsidP="001F6106"/>
    <w:p w14:paraId="0CE53F7F" w14:textId="14F70B08" w:rsidR="006749D6" w:rsidRDefault="003453FE" w:rsidP="003453FE">
      <w:pPr>
        <w:pStyle w:val="Heading2"/>
        <w:spacing w:before="0"/>
        <w:contextualSpacing/>
      </w:pPr>
      <w:bookmarkStart w:id="35" w:name="_B._Fiscal_Overview"/>
      <w:bookmarkStart w:id="36" w:name="_Toc85188543"/>
      <w:bookmarkEnd w:id="35"/>
      <w:r>
        <w:t>B.</w:t>
      </w:r>
      <w:r w:rsidR="345E48B2">
        <w:tab/>
      </w:r>
      <w:r w:rsidR="00F77DE4">
        <w:t>Fiscal Overview</w:t>
      </w:r>
      <w:bookmarkEnd w:id="36"/>
    </w:p>
    <w:p w14:paraId="6B9678AE" w14:textId="77777777" w:rsidR="00C5422E" w:rsidRDefault="00C5422E" w:rsidP="00CC3979">
      <w:pPr>
        <w:contextualSpacing/>
        <w:rPr>
          <w:rFonts w:eastAsiaTheme="majorEastAsia" w:cs="Calibri"/>
        </w:rPr>
      </w:pPr>
    </w:p>
    <w:p w14:paraId="3BE73A9E" w14:textId="5A5B76C1" w:rsidR="00062F33" w:rsidRDefault="00CC3979" w:rsidP="00CC3979">
      <w:pPr>
        <w:contextualSpacing/>
        <w:rPr>
          <w:rFonts w:cs="Calibri"/>
        </w:rPr>
      </w:pPr>
      <w:r w:rsidRPr="007835AA">
        <w:rPr>
          <w:rFonts w:eastAsiaTheme="majorEastAsia" w:cs="Calibri"/>
        </w:rPr>
        <w:t>This section describes</w:t>
      </w:r>
      <w:r w:rsidRPr="007835AA">
        <w:rPr>
          <w:rFonts w:cs="Calibri"/>
        </w:rPr>
        <w:t xml:space="preserve"> annual allocations of levy proceeds </w:t>
      </w:r>
      <w:r w:rsidR="00062F33">
        <w:rPr>
          <w:rFonts w:cs="Calibri"/>
        </w:rPr>
        <w:t xml:space="preserve">based on the </w:t>
      </w:r>
      <w:r w:rsidRPr="007835AA">
        <w:rPr>
          <w:rFonts w:cs="Calibri"/>
        </w:rPr>
        <w:t>requirements</w:t>
      </w:r>
      <w:r w:rsidR="00A04E09">
        <w:rPr>
          <w:rFonts w:cs="Calibri"/>
        </w:rPr>
        <w:t xml:space="preserve"> from Ordinance 19267</w:t>
      </w:r>
      <w:r w:rsidRPr="007835AA">
        <w:rPr>
          <w:rFonts w:cs="Calibri"/>
        </w:rPr>
        <w:t>, and the structure of the overall levy</w:t>
      </w:r>
      <w:r w:rsidR="00791013">
        <w:rPr>
          <w:rFonts w:cs="Calibri"/>
        </w:rPr>
        <w:t>.</w:t>
      </w:r>
      <w:r w:rsidR="00371391" w:rsidRPr="00E10CCF">
        <w:rPr>
          <w:rStyle w:val="FootnoteReference"/>
        </w:rPr>
        <w:footnoteReference w:id="87"/>
      </w:r>
      <w:r w:rsidR="00895C0F" w:rsidRPr="00E10CCF">
        <w:rPr>
          <w:rStyle w:val="CommentReference"/>
          <w:sz w:val="22"/>
          <w:szCs w:val="22"/>
        </w:rPr>
        <w:t xml:space="preserve"> </w:t>
      </w:r>
      <w:r w:rsidR="00395058">
        <w:t xml:space="preserve">A spending plan reflecting </w:t>
      </w:r>
      <w:r w:rsidR="00A71C84">
        <w:t xml:space="preserve">expected revenue of </w:t>
      </w:r>
      <w:r w:rsidR="00895C0F">
        <w:t>$</w:t>
      </w:r>
      <w:r w:rsidR="00FA4667">
        <w:t>883.8</w:t>
      </w:r>
      <w:r w:rsidR="00895C0F">
        <w:t xml:space="preserve"> million over the six years of </w:t>
      </w:r>
      <w:r w:rsidR="00EE5F53">
        <w:t>Best Start</w:t>
      </w:r>
      <w:r w:rsidR="005D245D">
        <w:t>s</w:t>
      </w:r>
      <w:r w:rsidR="00EE5F53">
        <w:t xml:space="preserve"> 2022-2027</w:t>
      </w:r>
      <w:r w:rsidR="00A15325">
        <w:t xml:space="preserve"> is outlined in detail</w:t>
      </w:r>
      <w:r w:rsidR="00E13925">
        <w:t xml:space="preserve"> below. </w:t>
      </w:r>
      <w:r w:rsidR="00CD2EDB">
        <w:t xml:space="preserve"> </w:t>
      </w:r>
    </w:p>
    <w:p w14:paraId="68F43D1F" w14:textId="77777777" w:rsidR="00062F33" w:rsidRDefault="00062F33" w:rsidP="00CC3979">
      <w:pPr>
        <w:contextualSpacing/>
        <w:rPr>
          <w:rFonts w:cs="Calibri"/>
        </w:rPr>
      </w:pPr>
    </w:p>
    <w:p w14:paraId="6230D836" w14:textId="2DE163A2" w:rsidR="00CC3979" w:rsidRDefault="001747D8" w:rsidP="00CC3979">
      <w:pPr>
        <w:contextualSpacing/>
        <w:rPr>
          <w:rFonts w:cs="Calibri"/>
        </w:rPr>
      </w:pPr>
      <w:r>
        <w:rPr>
          <w:rFonts w:cs="Calibri"/>
        </w:rPr>
        <w:t xml:space="preserve">The following assumptions </w:t>
      </w:r>
      <w:r w:rsidR="0054628B">
        <w:rPr>
          <w:rFonts w:cs="Calibri"/>
        </w:rPr>
        <w:t>are the base of the</w:t>
      </w:r>
      <w:r w:rsidR="00E41B02">
        <w:rPr>
          <w:rFonts w:cs="Calibri"/>
        </w:rPr>
        <w:t xml:space="preserve"> Best Starts 2022-2027 Implementation Plan</w:t>
      </w:r>
      <w:r w:rsidR="00E411AC">
        <w:rPr>
          <w:rFonts w:cs="Calibri"/>
        </w:rPr>
        <w:t xml:space="preserve"> </w:t>
      </w:r>
      <w:r w:rsidR="0054628B">
        <w:rPr>
          <w:rFonts w:cs="Calibri"/>
        </w:rPr>
        <w:t>fiscal requirements</w:t>
      </w:r>
      <w:r w:rsidR="0009751A">
        <w:rPr>
          <w:rFonts w:cs="Calibri"/>
        </w:rPr>
        <w:t>:</w:t>
      </w:r>
    </w:p>
    <w:p w14:paraId="26EF7931" w14:textId="70535A7A" w:rsidR="0009751A" w:rsidRPr="00004D52" w:rsidRDefault="00FD6556" w:rsidP="00025030">
      <w:pPr>
        <w:pStyle w:val="ListParagraph"/>
        <w:numPr>
          <w:ilvl w:val="0"/>
          <w:numId w:val="73"/>
        </w:numPr>
        <w:rPr>
          <w:rFonts w:eastAsiaTheme="majorEastAsia" w:cs="Calibri"/>
        </w:rPr>
      </w:pPr>
      <w:r>
        <w:rPr>
          <w:rFonts w:cs="Calibri"/>
        </w:rPr>
        <w:t>Revenues are estimated based on the latest available forecasts</w:t>
      </w:r>
      <w:r w:rsidR="00395058">
        <w:rPr>
          <w:rFonts w:cs="Calibri"/>
        </w:rPr>
        <w:t>. The</w:t>
      </w:r>
      <w:r w:rsidR="00414C19">
        <w:rPr>
          <w:rFonts w:cs="Calibri"/>
        </w:rPr>
        <w:t xml:space="preserve">y </w:t>
      </w:r>
      <w:r>
        <w:rPr>
          <w:rFonts w:cs="Calibri"/>
        </w:rPr>
        <w:t>are not guaranteed.</w:t>
      </w:r>
      <w:r w:rsidR="00004D52">
        <w:rPr>
          <w:rStyle w:val="FootnoteReference"/>
          <w:rFonts w:cs="Calibri"/>
        </w:rPr>
        <w:footnoteReference w:id="88"/>
      </w:r>
    </w:p>
    <w:p w14:paraId="4DFB89C2" w14:textId="608036E1" w:rsidR="00FD6556" w:rsidRPr="00004D52" w:rsidRDefault="00E3334D" w:rsidP="00025030">
      <w:pPr>
        <w:pStyle w:val="ListParagraph"/>
        <w:numPr>
          <w:ilvl w:val="0"/>
          <w:numId w:val="73"/>
        </w:numPr>
        <w:rPr>
          <w:rFonts w:eastAsiaTheme="majorEastAsia" w:cs="Calibri"/>
        </w:rPr>
      </w:pPr>
      <w:r>
        <w:rPr>
          <w:rFonts w:cs="Calibri"/>
        </w:rPr>
        <w:t>The fiscal portion of the implementation plan meet</w:t>
      </w:r>
      <w:r w:rsidR="00353021">
        <w:rPr>
          <w:rFonts w:cs="Calibri"/>
        </w:rPr>
        <w:t>s</w:t>
      </w:r>
      <w:r>
        <w:rPr>
          <w:rFonts w:cs="Calibri"/>
        </w:rPr>
        <w:t xml:space="preserve"> the allocation requirements of the levy, then meet</w:t>
      </w:r>
      <w:r w:rsidR="006E6DA5">
        <w:rPr>
          <w:rFonts w:cs="Calibri"/>
        </w:rPr>
        <w:t>s</w:t>
      </w:r>
      <w:r>
        <w:rPr>
          <w:rFonts w:cs="Calibri"/>
        </w:rPr>
        <w:t xml:space="preserve"> reserve requirements,</w:t>
      </w:r>
      <w:r w:rsidR="00EC6850">
        <w:rPr>
          <w:rStyle w:val="FootnoteReference"/>
          <w:rFonts w:cs="Calibri"/>
        </w:rPr>
        <w:footnoteReference w:id="89"/>
      </w:r>
      <w:r>
        <w:rPr>
          <w:rFonts w:cs="Calibri"/>
        </w:rPr>
        <w:t xml:space="preserve"> then make</w:t>
      </w:r>
      <w:r w:rsidR="006E6DA5">
        <w:rPr>
          <w:rFonts w:cs="Calibri"/>
        </w:rPr>
        <w:t>s</w:t>
      </w:r>
      <w:r>
        <w:rPr>
          <w:rFonts w:cs="Calibri"/>
        </w:rPr>
        <w:t xml:space="preserve"> capital project contributions </w:t>
      </w:r>
      <w:r w:rsidR="00786EB9">
        <w:rPr>
          <w:rFonts w:cs="Calibri"/>
        </w:rPr>
        <w:t>to the degree</w:t>
      </w:r>
      <w:r>
        <w:rPr>
          <w:rFonts w:cs="Calibri"/>
        </w:rPr>
        <w:t xml:space="preserve"> sufficient revenue is available.</w:t>
      </w:r>
    </w:p>
    <w:p w14:paraId="33A8E3A5" w14:textId="27D3D762" w:rsidR="00E863AB" w:rsidRPr="0083026A" w:rsidRDefault="00E07F91" w:rsidP="00025030">
      <w:pPr>
        <w:pStyle w:val="ListParagraph"/>
        <w:numPr>
          <w:ilvl w:val="0"/>
          <w:numId w:val="73"/>
        </w:numPr>
      </w:pPr>
      <w:r>
        <w:rPr>
          <w:rFonts w:cs="Calibri"/>
        </w:rPr>
        <w:t>Current estimates</w:t>
      </w:r>
      <w:r w:rsidR="00BC3552">
        <w:rPr>
          <w:rFonts w:cs="Calibri"/>
        </w:rPr>
        <w:t xml:space="preserve"> of reserves and capital project contributions </w:t>
      </w:r>
      <w:r w:rsidR="00B555CA">
        <w:rPr>
          <w:rFonts w:cs="Calibri"/>
        </w:rPr>
        <w:t>assu</w:t>
      </w:r>
      <w:r w:rsidR="008E02C2">
        <w:rPr>
          <w:rFonts w:cs="Calibri"/>
        </w:rPr>
        <w:t>me</w:t>
      </w:r>
      <w:r w:rsidR="00BC3552">
        <w:rPr>
          <w:rFonts w:cs="Calibri"/>
        </w:rPr>
        <w:t xml:space="preserve"> beginning the new levy with a fund balance of approximately $</w:t>
      </w:r>
      <w:r w:rsidR="007972F2">
        <w:rPr>
          <w:rFonts w:cs="Calibri"/>
        </w:rPr>
        <w:t>2</w:t>
      </w:r>
      <w:r w:rsidR="001E4797">
        <w:rPr>
          <w:rFonts w:cs="Calibri"/>
        </w:rPr>
        <w:t>5</w:t>
      </w:r>
      <w:r w:rsidR="007972F2">
        <w:rPr>
          <w:rFonts w:cs="Calibri"/>
        </w:rPr>
        <w:t>.</w:t>
      </w:r>
      <w:r w:rsidR="001E4797">
        <w:rPr>
          <w:rFonts w:cs="Calibri"/>
        </w:rPr>
        <w:t>1</w:t>
      </w:r>
      <w:r w:rsidR="00414C19">
        <w:rPr>
          <w:rFonts w:cs="Calibri"/>
        </w:rPr>
        <w:t xml:space="preserve"> million</w:t>
      </w:r>
      <w:r w:rsidR="00BC3552">
        <w:rPr>
          <w:rFonts w:cs="Calibri"/>
        </w:rPr>
        <w:t xml:space="preserve">. </w:t>
      </w:r>
    </w:p>
    <w:p w14:paraId="7C4A44B8" w14:textId="77777777" w:rsidR="0083026A" w:rsidRDefault="0083026A" w:rsidP="0083026A">
      <w:pPr>
        <w:pStyle w:val="ListParagraph"/>
      </w:pPr>
    </w:p>
    <w:p w14:paraId="08E05EAF" w14:textId="4E38C8E0" w:rsidR="00DA68DA" w:rsidRDefault="00DA68DA" w:rsidP="00CC3979">
      <w:bookmarkStart w:id="37" w:name="_Hlk74685109"/>
      <w:r>
        <w:t xml:space="preserve">Revenue estimates </w:t>
      </w:r>
      <w:r w:rsidR="00E3498C">
        <w:t xml:space="preserve">for </w:t>
      </w:r>
      <w:r w:rsidRPr="00354EFE">
        <w:rPr>
          <w:i/>
        </w:rPr>
        <w:t>Best Starts</w:t>
      </w:r>
      <w:r>
        <w:t xml:space="preserve"> </w:t>
      </w:r>
      <w:r w:rsidR="00E3498C">
        <w:t>from 2022-2027</w:t>
      </w:r>
      <w:r>
        <w:t xml:space="preserve"> are based on an </w:t>
      </w:r>
      <w:r w:rsidRPr="00DA68DA">
        <w:t>increase</w:t>
      </w:r>
      <w:r>
        <w:t xml:space="preserve"> in</w:t>
      </w:r>
      <w:r w:rsidRPr="00DA68DA">
        <w:t xml:space="preserve"> the levy rate from $0.14</w:t>
      </w:r>
      <w:r w:rsidR="00E3498C">
        <w:t xml:space="preserve"> per </w:t>
      </w:r>
      <w:r w:rsidRPr="00DA68DA">
        <w:t>$1,000 of assessed value to $0.19</w:t>
      </w:r>
      <w:r w:rsidR="00E3498C">
        <w:t xml:space="preserve"> per </w:t>
      </w:r>
      <w:r w:rsidRPr="00DA68DA">
        <w:t>$1,000 of assessed value.</w:t>
      </w:r>
      <w:r w:rsidR="003E6FCD" w:rsidRPr="003E6FCD">
        <w:t xml:space="preserve"> </w:t>
      </w:r>
      <w:r w:rsidR="00CC5451" w:rsidRPr="00CC5451">
        <w:t xml:space="preserve">The revenue and expenditure estimates listed reflect the proposed levy rate, the </w:t>
      </w:r>
      <w:r w:rsidR="00C46F68">
        <w:t>taxable a</w:t>
      </w:r>
      <w:r w:rsidR="00CC5451" w:rsidRPr="00CC5451">
        <w:t xml:space="preserve">ssessed </w:t>
      </w:r>
      <w:r w:rsidR="00C46F68">
        <w:t>v</w:t>
      </w:r>
      <w:r w:rsidR="00CC5451" w:rsidRPr="00CC5451">
        <w:t xml:space="preserve">aluation, and the projected </w:t>
      </w:r>
      <w:r w:rsidR="00C46F68">
        <w:t>assessed valuation</w:t>
      </w:r>
      <w:r w:rsidR="00C46F68" w:rsidRPr="00CC5451">
        <w:t xml:space="preserve"> </w:t>
      </w:r>
      <w:r w:rsidR="00CC5451" w:rsidRPr="00CC5451">
        <w:t xml:space="preserve">growth rate based on the </w:t>
      </w:r>
      <w:r w:rsidR="0097011A">
        <w:t>July</w:t>
      </w:r>
      <w:r w:rsidR="0097011A" w:rsidRPr="00CC5451">
        <w:t xml:space="preserve"> </w:t>
      </w:r>
      <w:r w:rsidR="00CC5451" w:rsidRPr="00CC5451">
        <w:t>2021 forecast from the King County Office of Economic and Financial Analysis.</w:t>
      </w:r>
      <w:r w:rsidR="00CB31AB">
        <w:rPr>
          <w:rStyle w:val="FootnoteReference"/>
        </w:rPr>
        <w:footnoteReference w:id="90"/>
      </w:r>
      <w:r w:rsidR="00CC5451" w:rsidRPr="00CC5451">
        <w:t xml:space="preserve"> </w:t>
      </w:r>
      <w:bookmarkEnd w:id="37"/>
      <w:r w:rsidR="00DA0464">
        <w:t xml:space="preserve">Table </w:t>
      </w:r>
      <w:r w:rsidR="00FA7407">
        <w:t>7</w:t>
      </w:r>
      <w:r w:rsidR="00DA0464">
        <w:t xml:space="preserve"> below outlines the expected revenue per year, estimated at </w:t>
      </w:r>
      <w:r w:rsidR="00902FAE">
        <w:t>$</w:t>
      </w:r>
      <w:r w:rsidR="008914E0">
        <w:t>883.8</w:t>
      </w:r>
      <w:r w:rsidR="00902FAE">
        <w:t xml:space="preserve"> million over the six years of the levy. </w:t>
      </w:r>
      <w:r w:rsidR="003E6FCD" w:rsidRPr="003E6FCD">
        <w:t>The revenue also includes estimated revenue from other sources (investment/interest income) in the amount of $500</w:t>
      </w:r>
      <w:r w:rsidR="0092405E">
        <w:t>,000 annually.</w:t>
      </w:r>
      <w:r w:rsidR="00751AA1" w:rsidDel="00791013">
        <w:t xml:space="preserve"> </w:t>
      </w:r>
    </w:p>
    <w:p w14:paraId="0D358B6B" w14:textId="35C735E9" w:rsidR="00D40B7E" w:rsidRPr="00DC07CA" w:rsidRDefault="009D13C6" w:rsidP="00DC07CA">
      <w:pPr>
        <w:spacing w:line="240" w:lineRule="auto"/>
        <w:rPr>
          <w:i/>
          <w:iCs/>
          <w:color w:val="44546A" w:themeColor="text2"/>
          <w:sz w:val="18"/>
          <w:szCs w:val="18"/>
        </w:rPr>
      </w:pPr>
      <w:r>
        <w:br w:type="page"/>
      </w:r>
    </w:p>
    <w:p w14:paraId="0D826871" w14:textId="0E4C8B2F" w:rsidR="00FA7407" w:rsidRDefault="00FA7407" w:rsidP="00DC07CA">
      <w:r>
        <w:lastRenderedPageBreak/>
        <w:t xml:space="preserve">Table </w:t>
      </w:r>
      <w:fldSimple w:instr=" SEQ Table \* ARABIC ">
        <w:r w:rsidR="00B8538C">
          <w:rPr>
            <w:noProof/>
          </w:rPr>
          <w:t>7</w:t>
        </w:r>
      </w:fldSimple>
      <w:r>
        <w:t xml:space="preserve">: </w:t>
      </w:r>
      <w:r w:rsidRPr="00457164">
        <w:t>Expected Revenue</w:t>
      </w:r>
    </w:p>
    <w:p w14:paraId="731AA31F" w14:textId="54DFF1DB" w:rsidR="00D14C69" w:rsidRPr="00D14C69" w:rsidRDefault="004F050C" w:rsidP="00CA6615">
      <w:r>
        <w:rPr>
          <w:noProof/>
        </w:rPr>
        <w:drawing>
          <wp:inline distT="0" distB="0" distL="0" distR="0" wp14:anchorId="29ED0949" wp14:editId="2DA03DB2">
            <wp:extent cx="4114277" cy="2584174"/>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1581" cy="2588762"/>
                    </a:xfrm>
                    <a:prstGeom prst="rect">
                      <a:avLst/>
                    </a:prstGeom>
                  </pic:spPr>
                </pic:pic>
              </a:graphicData>
            </a:graphic>
          </wp:inline>
        </w:drawing>
      </w:r>
    </w:p>
    <w:p w14:paraId="6D9B2B20" w14:textId="77777777" w:rsidR="00723DBC" w:rsidRDefault="00723DBC" w:rsidP="00CC3979"/>
    <w:p w14:paraId="21C0A412" w14:textId="7AA55AD4" w:rsidR="00F64C41" w:rsidRPr="00CA6615" w:rsidRDefault="00F64C41" w:rsidP="00CC3979">
      <w:pPr>
        <w:contextualSpacing/>
        <w:rPr>
          <w:rFonts w:eastAsiaTheme="majorEastAsia" w:cs="Calibri"/>
          <w:b/>
        </w:rPr>
      </w:pPr>
      <w:r w:rsidRPr="00CA6615">
        <w:rPr>
          <w:rFonts w:eastAsiaTheme="majorEastAsia" w:cs="Calibri"/>
          <w:b/>
        </w:rPr>
        <w:t>Allocation Direction from Ordinance 19267</w:t>
      </w:r>
    </w:p>
    <w:p w14:paraId="7E1AEE62" w14:textId="147E1836" w:rsidR="00077C00" w:rsidRDefault="00A65CE1" w:rsidP="00DC07CA">
      <w:pPr>
        <w:contextualSpacing/>
      </w:pPr>
      <w:bookmarkStart w:id="38" w:name="_Hlk75436601"/>
      <w:r>
        <w:t>A</w:t>
      </w:r>
      <w:r w:rsidR="00B7263E">
        <w:t xml:space="preserve">llocations to Investing Early, Communities of Opportunity, and </w:t>
      </w:r>
      <w:r w:rsidR="00843160">
        <w:t>Data and Evaluation</w:t>
      </w:r>
      <w:r w:rsidR="10A4FAB9">
        <w:t>,</w:t>
      </w:r>
      <w:r w:rsidR="00B7263E">
        <w:t xml:space="preserve"> remain similar to those in the first levy with an increase to Technical Assistance and Capacity Building and Sustain the Gain investments.</w:t>
      </w:r>
      <w:r w:rsidR="00B7263E" w:rsidDel="00D04C84">
        <w:t xml:space="preserve"> </w:t>
      </w:r>
      <w:r w:rsidR="0081694B">
        <w:t>These increases are</w:t>
      </w:r>
      <w:r w:rsidR="00B7263E">
        <w:t xml:space="preserve"> based upon identified need from community feedback and learnings about </w:t>
      </w:r>
      <w:r w:rsidR="00B7263E" w:rsidRPr="0066237D">
        <w:rPr>
          <w:i/>
          <w:iCs/>
        </w:rPr>
        <w:t>Best Starts</w:t>
      </w:r>
      <w:r w:rsidR="00B7263E">
        <w:t xml:space="preserve"> 2016-2021 through the </w:t>
      </w:r>
      <w:r w:rsidR="00B7263E" w:rsidRPr="0066237D">
        <w:rPr>
          <w:i/>
          <w:iCs/>
        </w:rPr>
        <w:t>Best Starts For Kids</w:t>
      </w:r>
      <w:r w:rsidR="00B7263E">
        <w:t xml:space="preserve"> Assessment Report </w:t>
      </w:r>
      <w:r w:rsidR="0081694B">
        <w:t>transmitted</w:t>
      </w:r>
      <w:r w:rsidR="00B7263E">
        <w:t xml:space="preserve"> </w:t>
      </w:r>
      <w:r w:rsidR="0081694B">
        <w:t>in response to</w:t>
      </w:r>
      <w:r w:rsidR="00B7263E">
        <w:t xml:space="preserve"> Motion 15651.</w:t>
      </w:r>
      <w:r w:rsidR="00B7263E">
        <w:rPr>
          <w:rStyle w:val="FootnoteReference"/>
        </w:rPr>
        <w:footnoteReference w:id="91"/>
      </w:r>
      <w:r w:rsidR="00B7263E">
        <w:t xml:space="preserve"> A new </w:t>
      </w:r>
      <w:r w:rsidR="00337310">
        <w:t xml:space="preserve">King County </w:t>
      </w:r>
      <w:r w:rsidR="00B7263E">
        <w:t>Child Care Subsi</w:t>
      </w:r>
      <w:r w:rsidR="00337310">
        <w:t>dy Program</w:t>
      </w:r>
      <w:r w:rsidR="00B7263E">
        <w:t xml:space="preserve"> and </w:t>
      </w:r>
      <w:r w:rsidR="00DC53C0">
        <w:t>Workforce Demonstration Project</w:t>
      </w:r>
      <w:r w:rsidR="00B7263E">
        <w:t xml:space="preserve"> for the 2022-2027 </w:t>
      </w:r>
      <w:r w:rsidR="00B7263E" w:rsidRPr="0066237D">
        <w:rPr>
          <w:i/>
          <w:iCs/>
        </w:rPr>
        <w:t>Best Starts</w:t>
      </w:r>
      <w:r w:rsidR="00B7263E">
        <w:t xml:space="preserve"> </w:t>
      </w:r>
      <w:r w:rsidR="0066237D">
        <w:t xml:space="preserve">levy </w:t>
      </w:r>
      <w:r w:rsidR="00B7263E">
        <w:t xml:space="preserve">is based upon recommendations from the </w:t>
      </w:r>
      <w:r w:rsidR="00CF51A9">
        <w:t>Children and Families Strategy</w:t>
      </w:r>
      <w:r w:rsidR="00D13556">
        <w:t xml:space="preserve"> </w:t>
      </w:r>
      <w:r w:rsidR="00B7263E">
        <w:t>Task Force.</w:t>
      </w:r>
      <w:r w:rsidR="002A133D">
        <w:rPr>
          <w:rStyle w:val="FootnoteReference"/>
        </w:rPr>
        <w:footnoteReference w:id="92"/>
      </w:r>
      <w:r w:rsidR="0040235B">
        <w:t xml:space="preserve"> </w:t>
      </w:r>
      <w:r w:rsidR="00B7263E">
        <w:t xml:space="preserve">Lastly, a new category of capital grants, contingent on </w:t>
      </w:r>
      <w:r w:rsidR="00266FEE">
        <w:t>revenue</w:t>
      </w:r>
      <w:r w:rsidR="00B7263E">
        <w:t xml:space="preserve"> </w:t>
      </w:r>
      <w:r w:rsidR="00266FEE">
        <w:t xml:space="preserve">projections exceeding </w:t>
      </w:r>
      <w:r w:rsidR="00B7263E">
        <w:t>$822</w:t>
      </w:r>
      <w:r w:rsidR="0066237D">
        <w:t xml:space="preserve"> million</w:t>
      </w:r>
      <w:r w:rsidR="00B7263E">
        <w:t xml:space="preserve">, has been added to </w:t>
      </w:r>
      <w:r w:rsidR="00266FEE">
        <w:t>support</w:t>
      </w:r>
      <w:r w:rsidR="00B7263E">
        <w:t xml:space="preserve"> improvements to facilities</w:t>
      </w:r>
      <w:r w:rsidR="00E77BBC">
        <w:t xml:space="preserve"> and development of new facilities</w:t>
      </w:r>
      <w:r w:rsidR="00B7263E">
        <w:t>.</w:t>
      </w:r>
      <w:r w:rsidR="00B7263E">
        <w:rPr>
          <w:rStyle w:val="FootnoteReference"/>
        </w:rPr>
        <w:footnoteReference w:id="93"/>
      </w:r>
      <w:r w:rsidR="002C203F">
        <w:t xml:space="preserve"> A comparison between the allocation of the two levies is outlined in </w:t>
      </w:r>
      <w:r w:rsidR="007E29D7">
        <w:t>F</w:t>
      </w:r>
      <w:r w:rsidR="002C203F">
        <w:t>igure 4.</w:t>
      </w:r>
    </w:p>
    <w:p w14:paraId="529C2339" w14:textId="07AC5F84" w:rsidR="00171B87" w:rsidRPr="00171B87" w:rsidRDefault="00171B87" w:rsidP="00171B87">
      <w:pPr>
        <w:pStyle w:val="Caption"/>
        <w:keepNext/>
      </w:pPr>
      <w:r>
        <w:lastRenderedPageBreak/>
        <w:t xml:space="preserve">Figure </w:t>
      </w:r>
      <w:fldSimple w:instr=" SEQ Figure \* ARABIC ">
        <w:r w:rsidR="00BA700A">
          <w:rPr>
            <w:noProof/>
          </w:rPr>
          <w:t>4</w:t>
        </w:r>
      </w:fldSimple>
      <w:r>
        <w:t xml:space="preserve">: </w:t>
      </w:r>
      <w:r w:rsidRPr="009A3F1E">
        <w:t>Allocation Comparison</w:t>
      </w:r>
    </w:p>
    <w:p w14:paraId="7C2EA92C" w14:textId="1C0AF12D" w:rsidR="00CC3979" w:rsidRDefault="009A2249" w:rsidP="00CC3979">
      <w:pPr>
        <w:contextualSpacing/>
        <w:rPr>
          <w:rFonts w:eastAsiaTheme="majorEastAsia" w:cs="Calibri"/>
        </w:rPr>
      </w:pPr>
      <w:r>
        <w:rPr>
          <w:noProof/>
        </w:rPr>
        <w:drawing>
          <wp:inline distT="0" distB="0" distL="0" distR="0" wp14:anchorId="41AF89AB" wp14:editId="49B3D009">
            <wp:extent cx="5943600" cy="30587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58795"/>
                    </a:xfrm>
                    <a:prstGeom prst="rect">
                      <a:avLst/>
                    </a:prstGeom>
                  </pic:spPr>
                </pic:pic>
              </a:graphicData>
            </a:graphic>
          </wp:inline>
        </w:drawing>
      </w:r>
    </w:p>
    <w:p w14:paraId="5DEB4859" w14:textId="77777777" w:rsidR="008434A7" w:rsidRDefault="008434A7" w:rsidP="00CC3979">
      <w:pPr>
        <w:contextualSpacing/>
        <w:rPr>
          <w:rFonts w:eastAsiaTheme="majorEastAsia" w:cs="Calibri"/>
        </w:rPr>
      </w:pPr>
    </w:p>
    <w:p w14:paraId="33FA1185" w14:textId="16F1DF8A" w:rsidR="00F91915" w:rsidRDefault="006B5366" w:rsidP="00CC3979">
      <w:pPr>
        <w:contextualSpacing/>
        <w:rPr>
          <w:rFonts w:eastAsiaTheme="majorEastAsia" w:cs="Calibri"/>
        </w:rPr>
      </w:pPr>
      <w:r>
        <w:rPr>
          <w:rFonts w:eastAsiaTheme="majorEastAsia" w:cs="Calibri"/>
        </w:rPr>
        <w:t>O</w:t>
      </w:r>
      <w:r w:rsidR="00955247">
        <w:rPr>
          <w:rFonts w:eastAsiaTheme="majorEastAsia" w:cs="Calibri"/>
        </w:rPr>
        <w:t xml:space="preserve">rdinance </w:t>
      </w:r>
      <w:r w:rsidR="005F68BE">
        <w:rPr>
          <w:rFonts w:eastAsiaTheme="majorEastAsia" w:cs="Calibri"/>
        </w:rPr>
        <w:t xml:space="preserve">19267 </w:t>
      </w:r>
      <w:r w:rsidR="00955247">
        <w:rPr>
          <w:rFonts w:eastAsiaTheme="majorEastAsia" w:cs="Calibri"/>
        </w:rPr>
        <w:t>specifies that 22.5</w:t>
      </w:r>
      <w:r w:rsidR="00C50A00">
        <w:rPr>
          <w:rFonts w:eastAsiaTheme="majorEastAsia" w:cs="Calibri"/>
        </w:rPr>
        <w:t xml:space="preserve"> percent</w:t>
      </w:r>
      <w:r w:rsidR="00955247">
        <w:rPr>
          <w:rFonts w:eastAsiaTheme="majorEastAsia" w:cs="Calibri"/>
        </w:rPr>
        <w:t xml:space="preserve"> of all </w:t>
      </w:r>
      <w:r w:rsidR="0089421A">
        <w:rPr>
          <w:rFonts w:eastAsiaTheme="majorEastAsia" w:cs="Calibri"/>
        </w:rPr>
        <w:t xml:space="preserve">first-year </w:t>
      </w:r>
      <w:r w:rsidR="00955247">
        <w:rPr>
          <w:rFonts w:eastAsiaTheme="majorEastAsia" w:cs="Calibri"/>
        </w:rPr>
        <w:t>proceeds after</w:t>
      </w:r>
      <w:r w:rsidR="0089421A">
        <w:rPr>
          <w:rFonts w:eastAsiaTheme="majorEastAsia" w:cs="Calibri"/>
        </w:rPr>
        <w:t xml:space="preserve"> election costs</w:t>
      </w:r>
      <w:r w:rsidR="00C86A43">
        <w:rPr>
          <w:rFonts w:eastAsiaTheme="majorEastAsia" w:cs="Calibri"/>
        </w:rPr>
        <w:t xml:space="preserve"> will</w:t>
      </w:r>
      <w:r w:rsidR="00F91915">
        <w:rPr>
          <w:rFonts w:eastAsiaTheme="majorEastAsia" w:cs="Calibri"/>
        </w:rPr>
        <w:t xml:space="preserve"> be dedicated to the Youth and Family Homelessness Initiative, </w:t>
      </w:r>
      <w:r w:rsidR="00337310">
        <w:rPr>
          <w:rFonts w:eastAsiaTheme="majorEastAsia" w:cs="Calibri"/>
        </w:rPr>
        <w:t xml:space="preserve">the King County </w:t>
      </w:r>
      <w:r w:rsidR="00F91915">
        <w:rPr>
          <w:rFonts w:eastAsiaTheme="majorEastAsia" w:cs="Calibri"/>
        </w:rPr>
        <w:t>Child Care Subsid</w:t>
      </w:r>
      <w:r w:rsidR="00337310">
        <w:rPr>
          <w:rFonts w:eastAsiaTheme="majorEastAsia" w:cs="Calibri"/>
        </w:rPr>
        <w:t>y Program</w:t>
      </w:r>
      <w:r w:rsidR="00F91915">
        <w:rPr>
          <w:rFonts w:eastAsiaTheme="majorEastAsia" w:cs="Calibri"/>
        </w:rPr>
        <w:t xml:space="preserve"> and the Wage Demonstration Project, as well as </w:t>
      </w:r>
      <w:r w:rsidR="00BF6864">
        <w:rPr>
          <w:rFonts w:eastAsiaTheme="majorEastAsia" w:cs="Calibri"/>
        </w:rPr>
        <w:t>T</w:t>
      </w:r>
      <w:r w:rsidR="00F91915">
        <w:rPr>
          <w:rFonts w:eastAsiaTheme="majorEastAsia" w:cs="Calibri"/>
        </w:rPr>
        <w:t xml:space="preserve">echnical </w:t>
      </w:r>
      <w:r w:rsidR="00BF6864">
        <w:rPr>
          <w:rFonts w:eastAsiaTheme="majorEastAsia" w:cs="Calibri"/>
        </w:rPr>
        <w:t>A</w:t>
      </w:r>
      <w:r w:rsidR="00F91915">
        <w:rPr>
          <w:rFonts w:eastAsiaTheme="majorEastAsia" w:cs="Calibri"/>
        </w:rPr>
        <w:t xml:space="preserve">ssistance and </w:t>
      </w:r>
      <w:r w:rsidR="00BF6864">
        <w:rPr>
          <w:rFonts w:eastAsiaTheme="majorEastAsia" w:cs="Calibri"/>
        </w:rPr>
        <w:t>C</w:t>
      </w:r>
      <w:r w:rsidR="00F91915">
        <w:rPr>
          <w:rFonts w:eastAsiaTheme="majorEastAsia" w:cs="Calibri"/>
        </w:rPr>
        <w:t xml:space="preserve">apacity </w:t>
      </w:r>
      <w:r w:rsidR="00BF6864">
        <w:rPr>
          <w:rFonts w:eastAsiaTheme="majorEastAsia" w:cs="Calibri"/>
        </w:rPr>
        <w:t>B</w:t>
      </w:r>
      <w:r w:rsidR="00F91915">
        <w:rPr>
          <w:rFonts w:eastAsiaTheme="majorEastAsia" w:cs="Calibri"/>
        </w:rPr>
        <w:t>uilding.</w:t>
      </w:r>
      <w:r w:rsidR="00BA72DD">
        <w:rPr>
          <w:rFonts w:eastAsiaTheme="majorEastAsia" w:cs="Calibri"/>
        </w:rPr>
        <w:t xml:space="preserve"> </w:t>
      </w:r>
      <w:r>
        <w:rPr>
          <w:rFonts w:eastAsiaTheme="majorEastAsia" w:cs="Calibri"/>
        </w:rPr>
        <w:t>O</w:t>
      </w:r>
      <w:r w:rsidR="00CA3936">
        <w:rPr>
          <w:rFonts w:eastAsiaTheme="majorEastAsia" w:cs="Calibri"/>
        </w:rPr>
        <w:t>rdinance</w:t>
      </w:r>
      <w:r w:rsidR="00B14BAD">
        <w:rPr>
          <w:rFonts w:eastAsiaTheme="majorEastAsia" w:cs="Calibri"/>
        </w:rPr>
        <w:t xml:space="preserve"> 19267</w:t>
      </w:r>
      <w:r w:rsidR="00701199">
        <w:rPr>
          <w:rFonts w:eastAsiaTheme="majorEastAsia" w:cs="Calibri"/>
        </w:rPr>
        <w:t xml:space="preserve"> also</w:t>
      </w:r>
      <w:r w:rsidR="00B14BAD">
        <w:rPr>
          <w:rFonts w:eastAsiaTheme="majorEastAsia" w:cs="Calibri"/>
        </w:rPr>
        <w:t xml:space="preserve"> requires that</w:t>
      </w:r>
      <w:r w:rsidR="00CC3979" w:rsidRPr="43D3543F">
        <w:rPr>
          <w:rFonts w:eastAsiaTheme="majorEastAsia" w:cs="Calibri"/>
        </w:rPr>
        <w:t xml:space="preserve"> at least $240 million over the life of the levy</w:t>
      </w:r>
      <w:r w:rsidR="00B14BAD">
        <w:rPr>
          <w:rFonts w:eastAsiaTheme="majorEastAsia" w:cs="Calibri"/>
        </w:rPr>
        <w:t xml:space="preserve"> be invested in these areas</w:t>
      </w:r>
      <w:r w:rsidR="00CC3979" w:rsidRPr="43D3543F">
        <w:rPr>
          <w:rFonts w:eastAsiaTheme="majorEastAsia" w:cs="Calibri"/>
        </w:rPr>
        <w:t xml:space="preserve">. </w:t>
      </w:r>
      <w:r w:rsidR="00B103D1">
        <w:rPr>
          <w:rFonts w:eastAsiaTheme="majorEastAsia" w:cs="Calibri"/>
        </w:rPr>
        <w:t xml:space="preserve">When </w:t>
      </w:r>
      <w:r w:rsidR="00DF76CA">
        <w:rPr>
          <w:rFonts w:eastAsiaTheme="majorEastAsia" w:cs="Calibri"/>
        </w:rPr>
        <w:t>levy proceeds exceed $822 million,</w:t>
      </w:r>
      <w:r w:rsidR="002B3E04">
        <w:rPr>
          <w:rFonts w:eastAsiaTheme="majorEastAsia" w:cs="Calibri"/>
        </w:rPr>
        <w:t xml:space="preserve"> the Ordinance directs </w:t>
      </w:r>
      <w:r w:rsidR="00DF76CA">
        <w:rPr>
          <w:rFonts w:eastAsiaTheme="majorEastAsia" w:cs="Calibri"/>
        </w:rPr>
        <w:t xml:space="preserve">up to $50 million </w:t>
      </w:r>
      <w:r w:rsidR="00A47535">
        <w:rPr>
          <w:rFonts w:eastAsiaTheme="majorEastAsia" w:cs="Calibri"/>
        </w:rPr>
        <w:t>to support capital projects</w:t>
      </w:r>
      <w:r w:rsidR="00D37BB6">
        <w:rPr>
          <w:rFonts w:eastAsiaTheme="majorEastAsia" w:cs="Calibri"/>
        </w:rPr>
        <w:t>.</w:t>
      </w:r>
    </w:p>
    <w:p w14:paraId="6C84FFC2" w14:textId="77777777" w:rsidR="00F91915" w:rsidRDefault="00F91915" w:rsidP="00CC3979">
      <w:pPr>
        <w:contextualSpacing/>
        <w:rPr>
          <w:rFonts w:eastAsiaTheme="majorEastAsia" w:cs="Calibri"/>
        </w:rPr>
      </w:pPr>
    </w:p>
    <w:p w14:paraId="20F72691" w14:textId="53225833" w:rsidR="00BE3CF0" w:rsidRDefault="00F55B6C" w:rsidP="00CC3979">
      <w:pPr>
        <w:contextualSpacing/>
        <w:rPr>
          <w:rFonts w:eastAsiaTheme="majorEastAsia" w:cs="Calibri"/>
        </w:rPr>
      </w:pPr>
      <w:r>
        <w:rPr>
          <w:rFonts w:eastAsiaTheme="majorEastAsia" w:cs="Calibri"/>
        </w:rPr>
        <w:t>Remaining levy proceeds</w:t>
      </w:r>
      <w:r w:rsidR="00EA0987">
        <w:rPr>
          <w:rFonts w:eastAsiaTheme="majorEastAsia" w:cs="Calibri"/>
        </w:rPr>
        <w:t xml:space="preserve"> </w:t>
      </w:r>
      <w:r>
        <w:rPr>
          <w:rFonts w:eastAsiaTheme="majorEastAsia" w:cs="Calibri"/>
        </w:rPr>
        <w:t xml:space="preserve">are then </w:t>
      </w:r>
      <w:r w:rsidR="00332FB2">
        <w:rPr>
          <w:rFonts w:eastAsiaTheme="majorEastAsia" w:cs="Calibri"/>
        </w:rPr>
        <w:t xml:space="preserve">allocated </w:t>
      </w:r>
      <w:r w:rsidR="00262F7B">
        <w:rPr>
          <w:rFonts w:eastAsiaTheme="majorEastAsia" w:cs="Calibri"/>
        </w:rPr>
        <w:t xml:space="preserve">according </w:t>
      </w:r>
      <w:r w:rsidR="00AC41BC">
        <w:rPr>
          <w:rFonts w:eastAsiaTheme="majorEastAsia" w:cs="Calibri"/>
        </w:rPr>
        <w:t>to</w:t>
      </w:r>
      <w:r w:rsidR="00332FB2">
        <w:rPr>
          <w:rFonts w:eastAsiaTheme="majorEastAsia" w:cs="Calibri"/>
        </w:rPr>
        <w:t xml:space="preserve"> the following </w:t>
      </w:r>
      <w:r w:rsidR="00AC41BC">
        <w:rPr>
          <w:rFonts w:eastAsiaTheme="majorEastAsia" w:cs="Calibri"/>
        </w:rPr>
        <w:t>percentages</w:t>
      </w:r>
      <w:r w:rsidR="00BE3CF0">
        <w:rPr>
          <w:rFonts w:eastAsiaTheme="majorEastAsia" w:cs="Calibri"/>
        </w:rPr>
        <w:t>:</w:t>
      </w:r>
    </w:p>
    <w:p w14:paraId="72E72625" w14:textId="725AAEED" w:rsidR="007459CF" w:rsidRPr="00B7244A" w:rsidRDefault="00DD4FF2" w:rsidP="00025030">
      <w:pPr>
        <w:pStyle w:val="ListParagraph"/>
        <w:numPr>
          <w:ilvl w:val="0"/>
          <w:numId w:val="65"/>
        </w:numPr>
      </w:pPr>
      <w:r w:rsidRPr="00FE617D">
        <w:rPr>
          <w:rFonts w:eastAsiaTheme="majorEastAsia" w:cs="Calibri"/>
        </w:rPr>
        <w:t>Investing Early at 50</w:t>
      </w:r>
      <w:r w:rsidR="00B7244A">
        <w:rPr>
          <w:rFonts w:eastAsiaTheme="majorEastAsia" w:cs="Calibri"/>
        </w:rPr>
        <w:t xml:space="preserve"> percent</w:t>
      </w:r>
      <w:r w:rsidRPr="00FE617D">
        <w:rPr>
          <w:rFonts w:eastAsiaTheme="majorEastAsia" w:cs="Calibri"/>
        </w:rPr>
        <w:t>,</w:t>
      </w:r>
      <w:r>
        <w:rPr>
          <w:rFonts w:eastAsiaTheme="majorEastAsia" w:cs="Calibri"/>
        </w:rPr>
        <w:t xml:space="preserve"> </w:t>
      </w:r>
      <w:r w:rsidR="008F48E7">
        <w:rPr>
          <w:rFonts w:eastAsiaTheme="majorEastAsia" w:cs="Calibri"/>
        </w:rPr>
        <w:t>to support</w:t>
      </w:r>
      <w:r w:rsidR="00D909F3">
        <w:rPr>
          <w:rFonts w:eastAsiaTheme="majorEastAsia" w:cs="Calibri"/>
        </w:rPr>
        <w:t xml:space="preserve"> programs for children ages prenatal to five</w:t>
      </w:r>
      <w:r w:rsidR="008F48E7">
        <w:rPr>
          <w:rFonts w:eastAsiaTheme="majorEastAsia" w:cs="Calibri"/>
        </w:rPr>
        <w:t>;</w:t>
      </w:r>
    </w:p>
    <w:p w14:paraId="67124316" w14:textId="758DDD1C" w:rsidR="007459CF" w:rsidRPr="00B7244A" w:rsidRDefault="00DD4FF2" w:rsidP="00025030">
      <w:pPr>
        <w:pStyle w:val="ListParagraph"/>
        <w:numPr>
          <w:ilvl w:val="0"/>
          <w:numId w:val="65"/>
        </w:numPr>
      </w:pPr>
      <w:r w:rsidRPr="00F64655">
        <w:rPr>
          <w:rFonts w:eastAsiaTheme="majorEastAsia" w:cs="Calibri"/>
        </w:rPr>
        <w:t>Sustain the Gain at 37</w:t>
      </w:r>
      <w:r w:rsidR="00B7244A">
        <w:rPr>
          <w:rFonts w:eastAsiaTheme="majorEastAsia" w:cs="Calibri"/>
        </w:rPr>
        <w:t xml:space="preserve"> percent</w:t>
      </w:r>
      <w:r w:rsidRPr="00F64655">
        <w:rPr>
          <w:rFonts w:eastAsiaTheme="majorEastAsia" w:cs="Calibri"/>
        </w:rPr>
        <w:t xml:space="preserve">, </w:t>
      </w:r>
      <w:r w:rsidR="008F48E7">
        <w:rPr>
          <w:rFonts w:eastAsiaTheme="majorEastAsia" w:cs="Calibri"/>
        </w:rPr>
        <w:t>for</w:t>
      </w:r>
      <w:r w:rsidR="00BF5584">
        <w:rPr>
          <w:rFonts w:eastAsiaTheme="majorEastAsia" w:cs="Calibri"/>
        </w:rPr>
        <w:t xml:space="preserve"> services for children and you aged five to </w:t>
      </w:r>
      <w:r w:rsidR="008F48E7">
        <w:rPr>
          <w:rFonts w:eastAsiaTheme="majorEastAsia" w:cs="Calibri"/>
        </w:rPr>
        <w:t>24</w:t>
      </w:r>
      <w:r w:rsidR="00404965">
        <w:rPr>
          <w:rFonts w:eastAsiaTheme="majorEastAsia" w:cs="Calibri"/>
        </w:rPr>
        <w:t>;</w:t>
      </w:r>
    </w:p>
    <w:p w14:paraId="3F9CF7C7" w14:textId="2B0ACA50" w:rsidR="007459CF" w:rsidRPr="00B7244A" w:rsidRDefault="00DD4FF2" w:rsidP="00025030">
      <w:pPr>
        <w:pStyle w:val="ListParagraph"/>
        <w:numPr>
          <w:ilvl w:val="0"/>
          <w:numId w:val="65"/>
        </w:numPr>
      </w:pPr>
      <w:r w:rsidRPr="00F64655">
        <w:rPr>
          <w:rFonts w:eastAsiaTheme="majorEastAsia" w:cs="Calibri"/>
        </w:rPr>
        <w:t xml:space="preserve">Communities of Opportunity at </w:t>
      </w:r>
      <w:r w:rsidR="008F48E7">
        <w:rPr>
          <w:rFonts w:eastAsiaTheme="majorEastAsia" w:cs="Calibri"/>
        </w:rPr>
        <w:t>eight</w:t>
      </w:r>
      <w:r w:rsidR="00B7244A">
        <w:rPr>
          <w:rFonts w:eastAsiaTheme="majorEastAsia" w:cs="Calibri"/>
        </w:rPr>
        <w:t xml:space="preserve"> percent</w:t>
      </w:r>
      <w:r w:rsidR="008F48E7">
        <w:rPr>
          <w:rFonts w:eastAsiaTheme="majorEastAsia" w:cs="Calibri"/>
        </w:rPr>
        <w:t>,</w:t>
      </w:r>
      <w:r w:rsidR="00CF2396">
        <w:rPr>
          <w:rFonts w:eastAsiaTheme="majorEastAsia" w:cs="Calibri"/>
        </w:rPr>
        <w:t xml:space="preserve"> </w:t>
      </w:r>
      <w:r w:rsidR="00D67B47">
        <w:rPr>
          <w:rFonts w:eastAsiaTheme="majorEastAsia" w:cs="Calibri"/>
        </w:rPr>
        <w:t xml:space="preserve">to impact </w:t>
      </w:r>
      <w:r w:rsidR="00D67B47" w:rsidRPr="00D7177E">
        <w:rPr>
          <w:iCs/>
        </w:rPr>
        <w:t>racial and economic equity</w:t>
      </w:r>
      <w:r w:rsidR="00C53D9B">
        <w:rPr>
          <w:iCs/>
        </w:rPr>
        <w:t>;</w:t>
      </w:r>
      <w:r w:rsidR="00404965">
        <w:rPr>
          <w:iCs/>
        </w:rPr>
        <w:t xml:space="preserve"> and</w:t>
      </w:r>
    </w:p>
    <w:p w14:paraId="303D4D60" w14:textId="08224675" w:rsidR="002A5A69" w:rsidRDefault="00473865" w:rsidP="00025030">
      <w:pPr>
        <w:pStyle w:val="ListParagraph"/>
        <w:numPr>
          <w:ilvl w:val="0"/>
          <w:numId w:val="65"/>
        </w:numPr>
      </w:pPr>
      <w:r w:rsidRPr="00B7244A">
        <w:rPr>
          <w:rFonts w:eastAsiaTheme="majorEastAsia" w:cs="Calibri"/>
        </w:rPr>
        <w:t xml:space="preserve">Data and Evaluation at </w:t>
      </w:r>
      <w:r w:rsidR="008F48E7">
        <w:rPr>
          <w:rFonts w:eastAsiaTheme="majorEastAsia" w:cs="Calibri"/>
        </w:rPr>
        <w:t>five</w:t>
      </w:r>
      <w:r w:rsidR="00B7244A">
        <w:rPr>
          <w:rFonts w:eastAsiaTheme="majorEastAsia" w:cs="Calibri"/>
        </w:rPr>
        <w:t xml:space="preserve"> percent</w:t>
      </w:r>
      <w:r w:rsidRPr="00B7244A">
        <w:rPr>
          <w:rFonts w:eastAsiaTheme="majorEastAsia" w:cs="Calibri"/>
        </w:rPr>
        <w:t>.</w:t>
      </w:r>
      <w:r w:rsidR="00CC3979" w:rsidRPr="00F64655">
        <w:rPr>
          <w:rFonts w:eastAsiaTheme="majorEastAsia" w:cs="Calibri"/>
        </w:rPr>
        <w:t xml:space="preserve"> </w:t>
      </w:r>
      <w:r w:rsidR="00EE37B1">
        <w:rPr>
          <w:rFonts w:eastAsiaTheme="majorEastAsia" w:cs="Calibri"/>
        </w:rPr>
        <w:t xml:space="preserve">This includes </w:t>
      </w:r>
      <w:r w:rsidR="00EE37B1" w:rsidRPr="71D2A87E">
        <w:rPr>
          <w:rFonts w:eastAsiaTheme="majorEastAsia" w:cs="Calibri"/>
        </w:rPr>
        <w:t xml:space="preserve">evaluation, stipends for children and youth serving on the </w:t>
      </w:r>
      <w:r w:rsidR="00EE37B1">
        <w:rPr>
          <w:rFonts w:eastAsiaTheme="majorEastAsia" w:cs="Calibri"/>
        </w:rPr>
        <w:t>CYAB</w:t>
      </w:r>
      <w:r w:rsidR="00EE37B1" w:rsidRPr="71D2A87E">
        <w:rPr>
          <w:rFonts w:eastAsiaTheme="majorEastAsia" w:cs="Calibri"/>
        </w:rPr>
        <w:t xml:space="preserve">, and </w:t>
      </w:r>
      <w:r w:rsidR="00EE37B1">
        <w:rPr>
          <w:rFonts w:eastAsiaTheme="majorEastAsia" w:cs="Calibri"/>
        </w:rPr>
        <w:t xml:space="preserve">prorationing mitigation </w:t>
      </w:r>
      <w:r w:rsidR="00EE37B1" w:rsidRPr="71D2A87E">
        <w:rPr>
          <w:rFonts w:eastAsiaTheme="majorEastAsia" w:cs="Calibri"/>
        </w:rPr>
        <w:t xml:space="preserve">to </w:t>
      </w:r>
      <w:r w:rsidR="00EE37B1">
        <w:rPr>
          <w:rFonts w:eastAsiaTheme="majorEastAsia" w:cs="Calibri"/>
        </w:rPr>
        <w:t>replace any lost</w:t>
      </w:r>
      <w:r w:rsidR="00EE37B1" w:rsidRPr="71D2A87E">
        <w:rPr>
          <w:rFonts w:eastAsiaTheme="majorEastAsia" w:cs="Calibri"/>
        </w:rPr>
        <w:t xml:space="preserve"> fire, hospital, and parks districts in the </w:t>
      </w:r>
      <w:r w:rsidR="00EE37B1">
        <w:rPr>
          <w:rFonts w:eastAsiaTheme="majorEastAsia" w:cs="Calibri"/>
        </w:rPr>
        <w:t>e</w:t>
      </w:r>
      <w:r w:rsidR="00EE37B1" w:rsidRPr="71D2A87E">
        <w:rPr>
          <w:rFonts w:eastAsiaTheme="majorEastAsia" w:cs="Calibri"/>
        </w:rPr>
        <w:t>vent this levy suppresses their levies.</w:t>
      </w:r>
      <w:r w:rsidR="00EE37B1">
        <w:rPr>
          <w:rStyle w:val="FootnoteReference"/>
          <w:rFonts w:eastAsiaTheme="majorEastAsia" w:cs="Calibri"/>
        </w:rPr>
        <w:footnoteReference w:id="94"/>
      </w:r>
      <w:r w:rsidR="00EE37B1">
        <w:rPr>
          <w:rFonts w:eastAsiaTheme="majorEastAsia" w:cs="Calibri"/>
        </w:rPr>
        <w:t xml:space="preserve"> </w:t>
      </w:r>
      <w:r w:rsidR="00CC3979" w:rsidRPr="43D3543F">
        <w:rPr>
          <w:rFonts w:eastAsiaTheme="majorEastAsia" w:cs="Calibri"/>
        </w:rPr>
        <w:t xml:space="preserve"> </w:t>
      </w:r>
    </w:p>
    <w:p w14:paraId="63D96FCE" w14:textId="5E3BA0F7" w:rsidR="00CC3979" w:rsidRDefault="00CC3979" w:rsidP="00CC3979"/>
    <w:p w14:paraId="48A07183" w14:textId="438966AB" w:rsidR="00FA20EE" w:rsidRDefault="002908B8" w:rsidP="00B7244A">
      <w:r>
        <w:t xml:space="preserve">Figure </w:t>
      </w:r>
      <w:r w:rsidR="00DE628D">
        <w:t>5</w:t>
      </w:r>
      <w:r w:rsidR="00653637">
        <w:rPr>
          <w:rFonts w:eastAsiaTheme="majorEastAsia" w:cs="Calibri"/>
        </w:rPr>
        <w:t xml:space="preserve"> </w:t>
      </w:r>
      <w:r w:rsidR="00273DE2">
        <w:rPr>
          <w:rFonts w:eastAsiaTheme="majorEastAsia" w:cs="Calibri"/>
        </w:rPr>
        <w:t>shows proportional spend</w:t>
      </w:r>
      <w:r w:rsidR="00886BCB">
        <w:rPr>
          <w:rFonts w:eastAsiaTheme="majorEastAsia" w:cs="Calibri"/>
        </w:rPr>
        <w:t>ing</w:t>
      </w:r>
      <w:r w:rsidR="00273DE2">
        <w:rPr>
          <w:rFonts w:eastAsiaTheme="majorEastAsia" w:cs="Calibri"/>
        </w:rPr>
        <w:t xml:space="preserve"> in the </w:t>
      </w:r>
      <w:r w:rsidR="00307606">
        <w:rPr>
          <w:rFonts w:eastAsiaTheme="majorEastAsia" w:cs="Calibri"/>
        </w:rPr>
        <w:t xml:space="preserve">seven </w:t>
      </w:r>
      <w:r w:rsidR="00273DE2">
        <w:rPr>
          <w:rFonts w:eastAsiaTheme="majorEastAsia" w:cs="Calibri"/>
        </w:rPr>
        <w:t xml:space="preserve">categories of </w:t>
      </w:r>
      <w:r w:rsidR="00307606">
        <w:rPr>
          <w:rFonts w:eastAsiaTheme="majorEastAsia" w:cs="Calibri"/>
        </w:rPr>
        <w:t xml:space="preserve">operating </w:t>
      </w:r>
      <w:r w:rsidR="00273DE2">
        <w:rPr>
          <w:rFonts w:eastAsiaTheme="majorEastAsia" w:cs="Calibri"/>
        </w:rPr>
        <w:t xml:space="preserve">investment over the total six-year life of </w:t>
      </w:r>
      <w:r w:rsidR="00886BCB" w:rsidRPr="00B7244A">
        <w:rPr>
          <w:rFonts w:eastAsiaTheme="majorEastAsia" w:cs="Calibri"/>
          <w:i/>
          <w:iCs/>
        </w:rPr>
        <w:t>Best Starts’</w:t>
      </w:r>
      <w:r w:rsidR="00886BCB">
        <w:rPr>
          <w:rFonts w:eastAsiaTheme="majorEastAsia" w:cs="Calibri"/>
        </w:rPr>
        <w:t xml:space="preserve"> 2022-2027 </w:t>
      </w:r>
      <w:r w:rsidR="00273DE2">
        <w:rPr>
          <w:rFonts w:eastAsiaTheme="majorEastAsia" w:cs="Calibri"/>
        </w:rPr>
        <w:t>levy, based on current projections</w:t>
      </w:r>
      <w:r w:rsidR="00307606">
        <w:rPr>
          <w:rFonts w:eastAsiaTheme="majorEastAsia" w:cs="Calibri"/>
        </w:rPr>
        <w:t>, excluding capital investments</w:t>
      </w:r>
      <w:r w:rsidR="00EB3E4B">
        <w:rPr>
          <w:rFonts w:eastAsiaTheme="majorEastAsia" w:cs="Calibri"/>
        </w:rPr>
        <w:t>.</w:t>
      </w:r>
      <w:r w:rsidR="00FA20EE" w:rsidRPr="00FA20EE">
        <w:t xml:space="preserve"> </w:t>
      </w:r>
      <w:r w:rsidR="00FA20EE">
        <w:t>Invest</w:t>
      </w:r>
      <w:r w:rsidR="0004480C">
        <w:t>ing</w:t>
      </w:r>
      <w:r w:rsidR="00FA20EE">
        <w:t xml:space="preserve"> Early (prenatal to </w:t>
      </w:r>
      <w:r w:rsidR="00EE50B7">
        <w:t xml:space="preserve">age </w:t>
      </w:r>
      <w:r w:rsidR="00FA20EE">
        <w:t xml:space="preserve">five) is the largest investment at a projected $291 million over the life of the levy, followed closely by </w:t>
      </w:r>
      <w:r w:rsidR="00262F7B">
        <w:t>S</w:t>
      </w:r>
      <w:r w:rsidR="00FA20EE">
        <w:t xml:space="preserve">ustain the </w:t>
      </w:r>
      <w:r w:rsidR="00262F7B">
        <w:t>G</w:t>
      </w:r>
      <w:r w:rsidR="00FA20EE">
        <w:t>ain (</w:t>
      </w:r>
      <w:r w:rsidR="00EE50B7">
        <w:t xml:space="preserve">ages </w:t>
      </w:r>
      <w:r w:rsidR="00FA20EE">
        <w:t xml:space="preserve">five to </w:t>
      </w:r>
      <w:r w:rsidR="00EE50B7">
        <w:t>24</w:t>
      </w:r>
      <w:r w:rsidR="00FA20EE">
        <w:t xml:space="preserve">) at $215 million and </w:t>
      </w:r>
      <w:r w:rsidR="00046B77">
        <w:t>C</w:t>
      </w:r>
      <w:r w:rsidR="00FA20EE">
        <w:t>hild</w:t>
      </w:r>
      <w:r w:rsidR="00046B77">
        <w:t xml:space="preserve"> C</w:t>
      </w:r>
      <w:r w:rsidR="00FA20EE">
        <w:t xml:space="preserve">are </w:t>
      </w:r>
      <w:r w:rsidR="00046B77">
        <w:t>S</w:t>
      </w:r>
      <w:r w:rsidR="00FA20EE">
        <w:t>ubsid</w:t>
      </w:r>
      <w:r w:rsidR="00337310">
        <w:t xml:space="preserve">y </w:t>
      </w:r>
      <w:r w:rsidR="00337310">
        <w:lastRenderedPageBreak/>
        <w:t>program</w:t>
      </w:r>
      <w:r w:rsidR="00FA20EE">
        <w:t xml:space="preserve"> and </w:t>
      </w:r>
      <w:r w:rsidR="00DC53C0">
        <w:t>Workforce</w:t>
      </w:r>
      <w:r w:rsidR="00FF578F">
        <w:t xml:space="preserve"> </w:t>
      </w:r>
      <w:r w:rsidR="00046B77">
        <w:t>D</w:t>
      </w:r>
      <w:r w:rsidR="00FA20EE">
        <w:t>emonstration project at $199 million. See below for all other projected operating expenditures</w:t>
      </w:r>
      <w:r w:rsidR="00EE37B1">
        <w:t xml:space="preserve"> </w:t>
      </w:r>
      <w:r w:rsidR="00F91915">
        <w:t>for operating costs prior to capital contributions</w:t>
      </w:r>
      <w:r w:rsidR="00FA20EE">
        <w:t>.</w:t>
      </w:r>
    </w:p>
    <w:bookmarkEnd w:id="38"/>
    <w:p w14:paraId="194236E9" w14:textId="77777777" w:rsidR="00273DE2" w:rsidRDefault="00273DE2" w:rsidP="00CC3979">
      <w:pPr>
        <w:rPr>
          <w:rFonts w:eastAsiaTheme="majorEastAsia" w:cs="Calibri"/>
        </w:rPr>
      </w:pPr>
    </w:p>
    <w:p w14:paraId="24E6A72C" w14:textId="15B1127A" w:rsidR="00E96DC5" w:rsidRDefault="00E96DC5" w:rsidP="00E96DC5">
      <w:pPr>
        <w:pStyle w:val="Caption"/>
        <w:keepNext/>
      </w:pPr>
      <w:r>
        <w:t xml:space="preserve">Figure </w:t>
      </w:r>
      <w:fldSimple w:instr=" SEQ Figure \* ARABIC ">
        <w:r w:rsidR="00BA700A">
          <w:rPr>
            <w:noProof/>
          </w:rPr>
          <w:t>5</w:t>
        </w:r>
      </w:fldSimple>
      <w:r>
        <w:t xml:space="preserve">: </w:t>
      </w:r>
      <w:r w:rsidR="00903B02">
        <w:t xml:space="preserve">Projected </w:t>
      </w:r>
      <w:r>
        <w:t>Total Expenditures</w:t>
      </w:r>
      <w:r w:rsidR="00E155EF">
        <w:t xml:space="preserve"> </w:t>
      </w:r>
      <w:r w:rsidR="00FD29CD" w:rsidRPr="00FC3A29">
        <w:rPr>
          <w:i w:val="0"/>
        </w:rPr>
        <w:t>2022-2027</w:t>
      </w:r>
      <w:r w:rsidR="00FD29CD">
        <w:t xml:space="preserve"> </w:t>
      </w:r>
      <w:r w:rsidR="00E155EF">
        <w:t>Excluding Capital Projects</w:t>
      </w:r>
    </w:p>
    <w:p w14:paraId="0CD016DB" w14:textId="6320AF49" w:rsidR="001E49B6" w:rsidRPr="001E49B6" w:rsidRDefault="00D62799" w:rsidP="00B7244A">
      <w:pPr>
        <w:rPr>
          <w:rFonts w:eastAsia="Calibri" w:cs="Arial"/>
        </w:rPr>
      </w:pPr>
      <w:r>
        <w:rPr>
          <w:noProof/>
        </w:rPr>
        <w:drawing>
          <wp:inline distT="0" distB="0" distL="0" distR="0" wp14:anchorId="772C5445" wp14:editId="7AA9DE7D">
            <wp:extent cx="5648325" cy="4143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8325" cy="4143375"/>
                    </a:xfrm>
                    <a:prstGeom prst="rect">
                      <a:avLst/>
                    </a:prstGeom>
                  </pic:spPr>
                </pic:pic>
              </a:graphicData>
            </a:graphic>
          </wp:inline>
        </w:drawing>
      </w:r>
    </w:p>
    <w:p w14:paraId="475BFA38" w14:textId="0ED8C50F" w:rsidR="002643A2" w:rsidRPr="003E2287" w:rsidRDefault="002643A2" w:rsidP="00B7244A">
      <w:pPr>
        <w:rPr>
          <w:color w:val="7F7F7F" w:themeColor="text1" w:themeTint="80"/>
          <w:sz w:val="20"/>
          <w:szCs w:val="20"/>
        </w:rPr>
      </w:pPr>
      <w:r w:rsidRPr="003E2287">
        <w:rPr>
          <w:i/>
          <w:color w:val="7F7F7F" w:themeColor="text1" w:themeTint="80"/>
          <w:sz w:val="20"/>
          <w:szCs w:val="20"/>
        </w:rPr>
        <w:t>*Does not include capita</w:t>
      </w:r>
      <w:r w:rsidR="00F44256" w:rsidRPr="003E2287">
        <w:rPr>
          <w:i/>
          <w:color w:val="7F7F7F" w:themeColor="text1" w:themeTint="80"/>
          <w:sz w:val="20"/>
          <w:szCs w:val="20"/>
        </w:rPr>
        <w:t>l</w:t>
      </w:r>
      <w:r w:rsidRPr="003E2287">
        <w:rPr>
          <w:i/>
          <w:color w:val="7F7F7F" w:themeColor="text1" w:themeTint="80"/>
          <w:sz w:val="20"/>
          <w:szCs w:val="20"/>
        </w:rPr>
        <w:t xml:space="preserve"> projects</w:t>
      </w:r>
    </w:p>
    <w:p w14:paraId="4100D3F7" w14:textId="77777777" w:rsidR="005709CE" w:rsidRDefault="005709CE" w:rsidP="00B6549B">
      <w:pPr>
        <w:contextualSpacing/>
        <w:rPr>
          <w:rFonts w:eastAsiaTheme="majorEastAsia" w:cs="Calibri"/>
        </w:rPr>
      </w:pPr>
    </w:p>
    <w:p w14:paraId="5214A94C" w14:textId="0679D1B6" w:rsidR="0020351E" w:rsidRPr="008911A6" w:rsidRDefault="00F5314D" w:rsidP="003420B4">
      <w:pPr>
        <w:pStyle w:val="Caption"/>
        <w:keepNext/>
        <w:spacing w:line="259" w:lineRule="auto"/>
        <w:rPr>
          <w:i w:val="0"/>
          <w:color w:val="auto"/>
          <w:sz w:val="22"/>
          <w:szCs w:val="22"/>
        </w:rPr>
        <w:sectPr w:rsidR="0020351E" w:rsidRPr="008911A6" w:rsidSect="00CA63D9">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lnNumType w:countBy="1"/>
          <w:pgNumType w:start="0"/>
          <w:cols w:space="720"/>
          <w:titlePg/>
          <w:docGrid w:linePitch="360"/>
        </w:sectPr>
      </w:pPr>
      <w:r w:rsidRPr="008911A6">
        <w:rPr>
          <w:rFonts w:eastAsiaTheme="majorEastAsia" w:cs="Calibri"/>
          <w:i w:val="0"/>
          <w:color w:val="auto"/>
          <w:sz w:val="22"/>
          <w:szCs w:val="22"/>
        </w:rPr>
        <w:t xml:space="preserve">Annual </w:t>
      </w:r>
      <w:r w:rsidR="00CF7BD7">
        <w:rPr>
          <w:rFonts w:eastAsiaTheme="majorEastAsia" w:cs="Calibri"/>
          <w:i w:val="0"/>
          <w:color w:val="auto"/>
          <w:sz w:val="22"/>
          <w:szCs w:val="22"/>
        </w:rPr>
        <w:t>expenditure projections</w:t>
      </w:r>
      <w:r w:rsidRPr="008911A6">
        <w:rPr>
          <w:rFonts w:eastAsiaTheme="majorEastAsia" w:cs="Calibri"/>
          <w:i w:val="0"/>
          <w:color w:val="auto"/>
          <w:sz w:val="22"/>
          <w:szCs w:val="22"/>
        </w:rPr>
        <w:t xml:space="preserve"> for</w:t>
      </w:r>
      <w:r w:rsidR="00B6549B" w:rsidRPr="008911A6">
        <w:rPr>
          <w:rFonts w:eastAsiaTheme="majorEastAsia" w:cs="Calibri"/>
          <w:i w:val="0"/>
          <w:color w:val="auto"/>
          <w:sz w:val="22"/>
          <w:szCs w:val="22"/>
        </w:rPr>
        <w:t xml:space="preserve"> </w:t>
      </w:r>
      <w:r w:rsidR="00CF7BD7">
        <w:rPr>
          <w:rFonts w:eastAsiaTheme="majorEastAsia" w:cs="Calibri"/>
          <w:i w:val="0"/>
          <w:color w:val="auto"/>
          <w:sz w:val="22"/>
          <w:szCs w:val="22"/>
        </w:rPr>
        <w:t>each</w:t>
      </w:r>
      <w:r w:rsidR="00B6549B" w:rsidRPr="008911A6">
        <w:rPr>
          <w:rFonts w:eastAsiaTheme="majorEastAsia" w:cs="Calibri"/>
          <w:i w:val="0"/>
          <w:color w:val="auto"/>
          <w:sz w:val="22"/>
          <w:szCs w:val="22"/>
        </w:rPr>
        <w:t xml:space="preserve"> investment area</w:t>
      </w:r>
      <w:r w:rsidR="00CF7BD7">
        <w:rPr>
          <w:rFonts w:eastAsiaTheme="majorEastAsia" w:cs="Calibri"/>
          <w:i w:val="0"/>
          <w:color w:val="auto"/>
          <w:sz w:val="22"/>
          <w:szCs w:val="22"/>
        </w:rPr>
        <w:t xml:space="preserve">, </w:t>
      </w:r>
      <w:r w:rsidR="00FD0011">
        <w:rPr>
          <w:rFonts w:eastAsiaTheme="majorEastAsia" w:cs="Calibri"/>
          <w:i w:val="0"/>
          <w:color w:val="auto"/>
          <w:sz w:val="22"/>
          <w:szCs w:val="22"/>
        </w:rPr>
        <w:t>as well as</w:t>
      </w:r>
      <w:r w:rsidR="00CF7BD7">
        <w:rPr>
          <w:rFonts w:eastAsiaTheme="majorEastAsia" w:cs="Calibri"/>
          <w:i w:val="0"/>
          <w:color w:val="auto"/>
          <w:sz w:val="22"/>
          <w:szCs w:val="22"/>
        </w:rPr>
        <w:t xml:space="preserve"> for</w:t>
      </w:r>
      <w:r w:rsidR="00B6549B" w:rsidRPr="008911A6">
        <w:rPr>
          <w:rFonts w:eastAsiaTheme="majorEastAsia" w:cs="Calibri"/>
          <w:i w:val="0"/>
          <w:color w:val="auto"/>
          <w:sz w:val="22"/>
          <w:szCs w:val="22"/>
        </w:rPr>
        <w:t xml:space="preserve"> capital </w:t>
      </w:r>
      <w:r w:rsidRPr="008911A6">
        <w:rPr>
          <w:rFonts w:eastAsiaTheme="majorEastAsia" w:cs="Calibri"/>
          <w:i w:val="0"/>
          <w:color w:val="auto"/>
          <w:sz w:val="22"/>
          <w:szCs w:val="22"/>
        </w:rPr>
        <w:t>project contributions</w:t>
      </w:r>
      <w:r w:rsidR="00CF7BD7">
        <w:rPr>
          <w:rFonts w:eastAsiaTheme="majorEastAsia" w:cs="Calibri"/>
          <w:i w:val="0"/>
          <w:color w:val="auto"/>
          <w:sz w:val="22"/>
          <w:szCs w:val="22"/>
        </w:rPr>
        <w:t>,</w:t>
      </w:r>
      <w:r w:rsidR="00B6549B" w:rsidRPr="008911A6">
        <w:rPr>
          <w:rFonts w:eastAsiaTheme="majorEastAsia" w:cs="Calibri"/>
          <w:i w:val="0"/>
          <w:color w:val="auto"/>
          <w:sz w:val="22"/>
          <w:szCs w:val="22"/>
        </w:rPr>
        <w:t xml:space="preserve"> are detailed in </w:t>
      </w:r>
      <w:r w:rsidR="00FB40B4">
        <w:rPr>
          <w:rFonts w:eastAsiaTheme="majorEastAsia" w:cs="Calibri"/>
          <w:i w:val="0"/>
          <w:color w:val="auto"/>
          <w:sz w:val="22"/>
          <w:szCs w:val="22"/>
        </w:rPr>
        <w:t>T</w:t>
      </w:r>
      <w:r w:rsidR="007F3C48" w:rsidRPr="008911A6">
        <w:rPr>
          <w:rFonts w:eastAsiaTheme="majorEastAsia" w:cs="Calibri"/>
          <w:i w:val="0"/>
          <w:color w:val="auto"/>
          <w:sz w:val="22"/>
          <w:szCs w:val="22"/>
        </w:rPr>
        <w:t xml:space="preserve">able </w:t>
      </w:r>
      <w:r w:rsidR="002D3B40">
        <w:rPr>
          <w:rFonts w:eastAsiaTheme="majorEastAsia" w:cs="Calibri"/>
          <w:i w:val="0"/>
          <w:color w:val="auto"/>
          <w:sz w:val="22"/>
          <w:szCs w:val="22"/>
        </w:rPr>
        <w:t>8</w:t>
      </w:r>
      <w:r w:rsidR="00FD0011">
        <w:rPr>
          <w:i w:val="0"/>
          <w:color w:val="auto"/>
          <w:sz w:val="22"/>
          <w:szCs w:val="22"/>
        </w:rPr>
        <w:t>.</w:t>
      </w:r>
    </w:p>
    <w:p w14:paraId="3E11A231" w14:textId="6D6D2F17" w:rsidR="00942003" w:rsidRDefault="00242F3A" w:rsidP="009013A3">
      <w:pPr>
        <w:pStyle w:val="Caption"/>
        <w:keepNext/>
        <w:rPr>
          <w:rStyle w:val="CommentReference"/>
        </w:rPr>
      </w:pPr>
      <w:r>
        <w:rPr>
          <w:noProof/>
        </w:rPr>
        <w:lastRenderedPageBreak/>
        <mc:AlternateContent>
          <mc:Choice Requires="wps">
            <w:drawing>
              <wp:anchor distT="0" distB="0" distL="114300" distR="114300" simplePos="0" relativeHeight="251658241" behindDoc="0" locked="0" layoutInCell="1" allowOverlap="1" wp14:anchorId="3AC9DEDE" wp14:editId="2E9CC753">
                <wp:simplePos x="0" y="0"/>
                <wp:positionH relativeFrom="column">
                  <wp:posOffset>0</wp:posOffset>
                </wp:positionH>
                <wp:positionV relativeFrom="paragraph">
                  <wp:posOffset>0</wp:posOffset>
                </wp:positionV>
                <wp:extent cx="8365490" cy="190500"/>
                <wp:effectExtent l="0" t="0" r="0" b="0"/>
                <wp:wrapSquare wrapText="bothSides"/>
                <wp:docPr id="1186370437" name="Text Box 1186370437"/>
                <wp:cNvGraphicFramePr/>
                <a:graphic xmlns:a="http://schemas.openxmlformats.org/drawingml/2006/main">
                  <a:graphicData uri="http://schemas.microsoft.com/office/word/2010/wordprocessingShape">
                    <wps:wsp>
                      <wps:cNvSpPr txBox="1"/>
                      <wps:spPr>
                        <a:xfrm>
                          <a:off x="0" y="0"/>
                          <a:ext cx="8365490" cy="190500"/>
                        </a:xfrm>
                        <a:prstGeom prst="rect">
                          <a:avLst/>
                        </a:prstGeom>
                        <a:solidFill>
                          <a:prstClr val="white"/>
                        </a:solidFill>
                        <a:ln>
                          <a:noFill/>
                        </a:ln>
                      </wps:spPr>
                      <wps:txbx>
                        <w:txbxContent>
                          <w:p w14:paraId="0DA0E74E" w14:textId="5E30BC2B" w:rsidR="001D1C68" w:rsidRPr="00D143D7" w:rsidRDefault="001D1C68" w:rsidP="009271D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9DEDE" id="Text Box 1186370437" o:spid="_x0000_s1028" type="#_x0000_t202" style="position:absolute;margin-left:0;margin-top:0;width:658.7pt;height: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" stroked="f">
                <v:textbox inset="0,0,0,0">
                  <w:txbxContent>
                    <w:p w14:paraId="0DA0E74E" w14:textId="5E30BC2B" w:rsidR="001D1C68" w:rsidRPr="00D143D7" w:rsidRDefault="001D1C68" w:rsidP="009271D2">
                      <w:pPr>
                        <w:pStyle w:val="Caption"/>
                        <w:rPr>
                          <w:noProof/>
                        </w:rPr>
                      </w:pPr>
                    </w:p>
                  </w:txbxContent>
                </v:textbox>
                <w10:wrap type="square"/>
              </v:shape>
            </w:pict>
          </mc:Fallback>
        </mc:AlternateContent>
      </w:r>
    </w:p>
    <w:p w14:paraId="1EE61D92" w14:textId="6E525462" w:rsidR="00735BBE" w:rsidRPr="00537F22" w:rsidRDefault="002D3B40" w:rsidP="00537F22">
      <w:pPr>
        <w:pStyle w:val="Caption"/>
        <w:keepNext/>
      </w:pPr>
      <w:r>
        <w:t xml:space="preserve">Table </w:t>
      </w:r>
      <w:fldSimple w:instr=" SEQ Table \* ARABIC ">
        <w:r w:rsidR="00B8538C">
          <w:rPr>
            <w:noProof/>
          </w:rPr>
          <w:t>8</w:t>
        </w:r>
      </w:fldSimple>
      <w:r>
        <w:t xml:space="preserve">: </w:t>
      </w:r>
      <w:r w:rsidRPr="00AF05AD">
        <w:t>Projected Total Expenditures, Revenues, Reserves and Capital Project Contributions</w:t>
      </w:r>
    </w:p>
    <w:p w14:paraId="628D1950" w14:textId="06C7A8BA" w:rsidR="00735BBE" w:rsidRDefault="0067555A" w:rsidP="00735BBE">
      <w:pPr>
        <w:rPr>
          <w:i/>
          <w:iCs/>
          <w:color w:val="44546A" w:themeColor="text2"/>
          <w:sz w:val="18"/>
          <w:szCs w:val="18"/>
        </w:rPr>
      </w:pPr>
      <w:r>
        <w:rPr>
          <w:noProof/>
        </w:rPr>
        <w:drawing>
          <wp:inline distT="0" distB="0" distL="0" distR="0" wp14:anchorId="28F62812" wp14:editId="554CA1F8">
            <wp:extent cx="9144000" cy="3482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44000" cy="3482340"/>
                    </a:xfrm>
                    <a:prstGeom prst="rect">
                      <a:avLst/>
                    </a:prstGeom>
                  </pic:spPr>
                </pic:pic>
              </a:graphicData>
            </a:graphic>
          </wp:inline>
        </w:drawing>
      </w:r>
    </w:p>
    <w:p w14:paraId="57B23D85" w14:textId="77777777" w:rsidR="00735BBE" w:rsidRDefault="00735BBE" w:rsidP="00735BBE">
      <w:pPr>
        <w:rPr>
          <w:i/>
          <w:iCs/>
          <w:color w:val="44546A" w:themeColor="text2"/>
          <w:sz w:val="18"/>
          <w:szCs w:val="18"/>
        </w:rPr>
      </w:pPr>
    </w:p>
    <w:p w14:paraId="593C61D0" w14:textId="5A10F5CA" w:rsidR="00735BBE" w:rsidRPr="00735BBE" w:rsidRDefault="00735BBE" w:rsidP="00735BBE">
      <w:pPr>
        <w:rPr>
          <w:sz w:val="16"/>
          <w:szCs w:val="16"/>
        </w:rPr>
        <w:sectPr w:rsidR="00735BBE" w:rsidRPr="00735BBE" w:rsidSect="00CA63D9">
          <w:pgSz w:w="15840" w:h="12240" w:orient="landscape" w:code="1"/>
          <w:pgMar w:top="720" w:right="720" w:bottom="720" w:left="720" w:header="720" w:footer="720" w:gutter="0"/>
          <w:lnNumType w:countBy="1"/>
          <w:cols w:space="720"/>
          <w:titlePg/>
          <w:docGrid w:linePitch="360"/>
        </w:sectPr>
      </w:pPr>
    </w:p>
    <w:p w14:paraId="178D0652" w14:textId="51AF6422" w:rsidR="00347A10" w:rsidRPr="00D03F1F" w:rsidRDefault="00BC43F9" w:rsidP="00FB0C09">
      <w:pPr>
        <w:rPr>
          <w:rFonts w:eastAsiaTheme="majorEastAsia" w:cs="Calibri"/>
        </w:rPr>
      </w:pPr>
      <w:r>
        <w:rPr>
          <w:rFonts w:eastAsiaTheme="majorEastAsia" w:cs="Calibri"/>
        </w:rPr>
        <w:lastRenderedPageBreak/>
        <w:t xml:space="preserve">In </w:t>
      </w:r>
      <w:r w:rsidR="001E6807">
        <w:rPr>
          <w:rFonts w:eastAsiaTheme="majorEastAsia" w:cs="Calibri"/>
        </w:rPr>
        <w:t>summary,</w:t>
      </w:r>
      <w:r w:rsidR="00DA1127">
        <w:rPr>
          <w:rFonts w:eastAsiaTheme="majorEastAsia" w:cs="Calibri"/>
        </w:rPr>
        <w:t xml:space="preserve"> the 2022-2027 Best Starts for Kids Levy builds on the investments of the prior levy by continuing many areas of investment,</w:t>
      </w:r>
      <w:r w:rsidR="00801930">
        <w:rPr>
          <w:rFonts w:eastAsiaTheme="majorEastAsia" w:cs="Calibri"/>
        </w:rPr>
        <w:t xml:space="preserve"> refining investment allocations to meet the needs of the community,</w:t>
      </w:r>
      <w:r w:rsidR="00DA1127">
        <w:rPr>
          <w:rFonts w:eastAsiaTheme="majorEastAsia" w:cs="Calibri"/>
        </w:rPr>
        <w:t xml:space="preserve"> </w:t>
      </w:r>
      <w:r w:rsidR="00C31233">
        <w:rPr>
          <w:rFonts w:eastAsiaTheme="majorEastAsia" w:cs="Calibri"/>
        </w:rPr>
        <w:t xml:space="preserve">increasing investments for youth, </w:t>
      </w:r>
      <w:r w:rsidR="00801930">
        <w:rPr>
          <w:rFonts w:eastAsiaTheme="majorEastAsia" w:cs="Calibri"/>
        </w:rPr>
        <w:t>and</w:t>
      </w:r>
      <w:r w:rsidR="00DA1127">
        <w:rPr>
          <w:rFonts w:eastAsiaTheme="majorEastAsia" w:cs="Calibri"/>
        </w:rPr>
        <w:t xml:space="preserve"> adding</w:t>
      </w:r>
      <w:r w:rsidR="00EB66D2">
        <w:rPr>
          <w:rFonts w:eastAsiaTheme="majorEastAsia" w:cs="Calibri"/>
        </w:rPr>
        <w:t xml:space="preserve"> important</w:t>
      </w:r>
      <w:r w:rsidR="006F72A0">
        <w:rPr>
          <w:rFonts w:eastAsiaTheme="majorEastAsia" w:cs="Calibri"/>
        </w:rPr>
        <w:t xml:space="preserve"> new</w:t>
      </w:r>
      <w:r w:rsidR="00EB66D2">
        <w:rPr>
          <w:rFonts w:eastAsiaTheme="majorEastAsia" w:cs="Calibri"/>
        </w:rPr>
        <w:t xml:space="preserve"> resources for capital projects</w:t>
      </w:r>
      <w:r w:rsidR="005C5A38">
        <w:rPr>
          <w:rFonts w:eastAsiaTheme="majorEastAsia" w:cs="Calibri"/>
        </w:rPr>
        <w:t xml:space="preserve"> and </w:t>
      </w:r>
      <w:r w:rsidR="00337310">
        <w:rPr>
          <w:rFonts w:eastAsiaTheme="majorEastAsia" w:cs="Calibri"/>
        </w:rPr>
        <w:t xml:space="preserve">the </w:t>
      </w:r>
      <w:r w:rsidR="005C5A38">
        <w:rPr>
          <w:rFonts w:eastAsiaTheme="majorEastAsia" w:cs="Calibri"/>
        </w:rPr>
        <w:t>child</w:t>
      </w:r>
      <w:r w:rsidR="00FF578F">
        <w:rPr>
          <w:rFonts w:eastAsiaTheme="majorEastAsia" w:cs="Calibri"/>
        </w:rPr>
        <w:t xml:space="preserve"> </w:t>
      </w:r>
      <w:r w:rsidR="005C5A38">
        <w:rPr>
          <w:rFonts w:eastAsiaTheme="majorEastAsia" w:cs="Calibri"/>
        </w:rPr>
        <w:t>care</w:t>
      </w:r>
      <w:r w:rsidR="00FF578F">
        <w:rPr>
          <w:rFonts w:eastAsiaTheme="majorEastAsia" w:cs="Calibri"/>
        </w:rPr>
        <w:t xml:space="preserve"> </w:t>
      </w:r>
      <w:r w:rsidR="00E7484F">
        <w:rPr>
          <w:rFonts w:eastAsiaTheme="majorEastAsia" w:cs="Calibri"/>
        </w:rPr>
        <w:t>subsid</w:t>
      </w:r>
      <w:r w:rsidR="00337310">
        <w:rPr>
          <w:rFonts w:eastAsiaTheme="majorEastAsia" w:cs="Calibri"/>
        </w:rPr>
        <w:t>y program</w:t>
      </w:r>
      <w:r w:rsidR="00FF578F">
        <w:rPr>
          <w:rFonts w:eastAsiaTheme="majorEastAsia" w:cs="Calibri"/>
        </w:rPr>
        <w:t xml:space="preserve"> and </w:t>
      </w:r>
      <w:r w:rsidR="00FA2E29">
        <w:rPr>
          <w:rFonts w:eastAsiaTheme="majorEastAsia" w:cs="Calibri"/>
        </w:rPr>
        <w:t xml:space="preserve">the </w:t>
      </w:r>
      <w:r w:rsidR="00DC53C0">
        <w:rPr>
          <w:rFonts w:eastAsiaTheme="majorEastAsia" w:cs="Calibri"/>
        </w:rPr>
        <w:t>workforce</w:t>
      </w:r>
      <w:r w:rsidR="00FF578F">
        <w:rPr>
          <w:rFonts w:eastAsiaTheme="majorEastAsia" w:cs="Calibri"/>
        </w:rPr>
        <w:t xml:space="preserve"> demonstration project</w:t>
      </w:r>
      <w:r w:rsidR="00F82EC5">
        <w:rPr>
          <w:rFonts w:eastAsiaTheme="majorEastAsia" w:cs="Calibri"/>
        </w:rPr>
        <w:t xml:space="preserve">. All </w:t>
      </w:r>
      <w:r w:rsidR="00483D3A">
        <w:rPr>
          <w:rFonts w:eastAsiaTheme="majorEastAsia" w:cs="Calibri"/>
        </w:rPr>
        <w:t xml:space="preserve">estimates </w:t>
      </w:r>
      <w:r w:rsidR="00752579">
        <w:rPr>
          <w:rFonts w:eastAsiaTheme="majorEastAsia" w:cs="Calibri"/>
        </w:rPr>
        <w:t xml:space="preserve">in this plan </w:t>
      </w:r>
      <w:r w:rsidR="00483D3A">
        <w:rPr>
          <w:rFonts w:eastAsiaTheme="majorEastAsia" w:cs="Calibri"/>
        </w:rPr>
        <w:t>for operating expenditures, reserves, and capital project contribu</w:t>
      </w:r>
      <w:r w:rsidR="005B2826">
        <w:rPr>
          <w:rFonts w:eastAsiaTheme="majorEastAsia" w:cs="Calibri"/>
        </w:rPr>
        <w:t xml:space="preserve">tions are based on current 2021 </w:t>
      </w:r>
      <w:r w:rsidR="00FA2E29">
        <w:rPr>
          <w:rFonts w:eastAsiaTheme="majorEastAsia" w:cs="Calibri"/>
        </w:rPr>
        <w:t>spending projections</w:t>
      </w:r>
      <w:r w:rsidR="008979A1">
        <w:rPr>
          <w:rFonts w:eastAsiaTheme="majorEastAsia" w:cs="Calibri"/>
        </w:rPr>
        <w:t xml:space="preserve"> and the latest revenue estimates</w:t>
      </w:r>
      <w:r w:rsidR="008B7046">
        <w:rPr>
          <w:rFonts w:eastAsiaTheme="majorEastAsia" w:cs="Calibri"/>
        </w:rPr>
        <w:t xml:space="preserve"> available as of </w:t>
      </w:r>
      <w:r w:rsidR="008074E5">
        <w:rPr>
          <w:rFonts w:eastAsiaTheme="majorEastAsia" w:cs="Calibri"/>
        </w:rPr>
        <w:t xml:space="preserve">July </w:t>
      </w:r>
      <w:r w:rsidR="008B7046">
        <w:rPr>
          <w:rFonts w:eastAsiaTheme="majorEastAsia" w:cs="Calibri"/>
        </w:rPr>
        <w:t>2021</w:t>
      </w:r>
      <w:r w:rsidR="008979A1">
        <w:rPr>
          <w:rFonts w:eastAsiaTheme="majorEastAsia" w:cs="Calibri"/>
        </w:rPr>
        <w:t>.</w:t>
      </w:r>
      <w:r w:rsidR="00093DEE">
        <w:rPr>
          <w:rFonts w:eastAsiaTheme="majorEastAsia" w:cs="Calibri"/>
        </w:rPr>
        <w:t xml:space="preserve"> Revisions will be made, as needed,</w:t>
      </w:r>
      <w:r w:rsidR="00815CC5">
        <w:rPr>
          <w:rFonts w:eastAsiaTheme="majorEastAsia" w:cs="Calibri"/>
        </w:rPr>
        <w:t xml:space="preserve"> through</w:t>
      </w:r>
      <w:r w:rsidR="0054158B">
        <w:rPr>
          <w:rFonts w:eastAsiaTheme="majorEastAsia" w:cs="Calibri"/>
        </w:rPr>
        <w:t xml:space="preserve"> close collaboration </w:t>
      </w:r>
      <w:r w:rsidR="00845D18">
        <w:rPr>
          <w:rFonts w:eastAsiaTheme="majorEastAsia" w:cs="Calibri"/>
        </w:rPr>
        <w:t>between</w:t>
      </w:r>
      <w:r w:rsidR="0054158B">
        <w:rPr>
          <w:rFonts w:eastAsiaTheme="majorEastAsia" w:cs="Calibri"/>
        </w:rPr>
        <w:t xml:space="preserve"> </w:t>
      </w:r>
      <w:r w:rsidR="0054158B" w:rsidRPr="00EA3650">
        <w:rPr>
          <w:rFonts w:eastAsiaTheme="majorEastAsia" w:cs="Calibri"/>
          <w:i/>
          <w:iCs/>
        </w:rPr>
        <w:t>Best Starts</w:t>
      </w:r>
      <w:r w:rsidR="008C20E8">
        <w:rPr>
          <w:rFonts w:eastAsiaTheme="majorEastAsia" w:cs="Calibri"/>
        </w:rPr>
        <w:t xml:space="preserve"> leaders and the King County Council.</w:t>
      </w:r>
      <w:r w:rsidR="00C422B9">
        <w:rPr>
          <w:rFonts w:eastAsiaTheme="majorEastAsia" w:cs="Calibri"/>
        </w:rPr>
        <w:t xml:space="preserve"> For more details, </w:t>
      </w:r>
      <w:r w:rsidR="003D2774">
        <w:rPr>
          <w:rFonts w:eastAsiaTheme="majorEastAsia" w:cs="Calibri"/>
        </w:rPr>
        <w:t xml:space="preserve">see </w:t>
      </w:r>
      <w:r w:rsidR="00A273FE" w:rsidRPr="00A273FE">
        <w:rPr>
          <w:rFonts w:eastAsiaTheme="majorEastAsia" w:cs="Calibri"/>
        </w:rPr>
        <w:t>S</w:t>
      </w:r>
      <w:r w:rsidR="003D2774" w:rsidRPr="00A273FE">
        <w:rPr>
          <w:rFonts w:eastAsiaTheme="majorEastAsia" w:cs="Calibri"/>
        </w:rPr>
        <w:t>ection</w:t>
      </w:r>
      <w:r w:rsidR="001465E2" w:rsidRPr="00A273FE">
        <w:rPr>
          <w:rFonts w:eastAsiaTheme="majorEastAsia" w:cs="Calibri"/>
        </w:rPr>
        <w:t xml:space="preserve"> </w:t>
      </w:r>
      <w:r w:rsidR="00F32E5D" w:rsidRPr="00A273FE">
        <w:rPr>
          <w:rFonts w:eastAsiaTheme="majorEastAsia" w:cs="Calibri"/>
        </w:rPr>
        <w:t>IV.</w:t>
      </w:r>
      <w:r w:rsidR="35FD27FB" w:rsidRPr="00A273FE">
        <w:rPr>
          <w:rFonts w:eastAsiaTheme="majorEastAsia" w:cs="Calibri"/>
        </w:rPr>
        <w:t>C</w:t>
      </w:r>
      <w:r w:rsidR="001465E2">
        <w:rPr>
          <w:rFonts w:eastAsiaTheme="majorEastAsia" w:cs="Calibri"/>
        </w:rPr>
        <w:t xml:space="preserve"> for a description of each investment area and strategy, or </w:t>
      </w:r>
      <w:r w:rsidR="00B3557C" w:rsidRPr="00D75A8A">
        <w:t>Appendix H</w:t>
      </w:r>
      <w:r w:rsidR="00255C86">
        <w:rPr>
          <w:rFonts w:eastAsiaTheme="majorEastAsia" w:cs="Calibri"/>
        </w:rPr>
        <w:t xml:space="preserve"> for a table with strategy</w:t>
      </w:r>
      <w:r w:rsidR="002A1E79">
        <w:rPr>
          <w:rFonts w:eastAsiaTheme="majorEastAsia" w:cs="Calibri"/>
        </w:rPr>
        <w:t>-</w:t>
      </w:r>
      <w:r w:rsidR="00255C86">
        <w:rPr>
          <w:rFonts w:eastAsiaTheme="majorEastAsia" w:cs="Calibri"/>
        </w:rPr>
        <w:t>level</w:t>
      </w:r>
      <w:r w:rsidR="002A1E79">
        <w:rPr>
          <w:rFonts w:eastAsiaTheme="majorEastAsia" w:cs="Calibri"/>
        </w:rPr>
        <w:t xml:space="preserve"> annual budget allocation</w:t>
      </w:r>
      <w:r w:rsidR="00EA3650">
        <w:rPr>
          <w:rFonts w:eastAsiaTheme="majorEastAsia" w:cs="Calibri"/>
        </w:rPr>
        <w:t xml:space="preserve">s for </w:t>
      </w:r>
      <w:r w:rsidR="00EA3650" w:rsidRPr="00EA3650">
        <w:rPr>
          <w:rFonts w:eastAsiaTheme="majorEastAsia" w:cs="Calibri"/>
          <w:i/>
          <w:iCs/>
        </w:rPr>
        <w:t>Best Starts’</w:t>
      </w:r>
      <w:r w:rsidR="00EA3650">
        <w:rPr>
          <w:rFonts w:eastAsiaTheme="majorEastAsia" w:cs="Calibri"/>
        </w:rPr>
        <w:t xml:space="preserve"> operating investments</w:t>
      </w:r>
      <w:r w:rsidR="002A1E79">
        <w:rPr>
          <w:rFonts w:eastAsiaTheme="majorEastAsia" w:cs="Calibri"/>
        </w:rPr>
        <w:t>.</w:t>
      </w:r>
    </w:p>
    <w:p w14:paraId="0D504ECE" w14:textId="24C07FF4" w:rsidR="006749D6" w:rsidRDefault="006749D6" w:rsidP="00B81E90"/>
    <w:p w14:paraId="7C661146" w14:textId="62C38421" w:rsidR="00AD0B57" w:rsidRDefault="00AD0B57" w:rsidP="00025030">
      <w:pPr>
        <w:pStyle w:val="Heading2"/>
        <w:numPr>
          <w:ilvl w:val="0"/>
          <w:numId w:val="26"/>
        </w:numPr>
      </w:pPr>
      <w:bookmarkStart w:id="39" w:name="_Investment_Area_and"/>
      <w:bookmarkStart w:id="40" w:name="_Toc85188544"/>
      <w:bookmarkEnd w:id="39"/>
      <w:r>
        <w:t xml:space="preserve">Investment </w:t>
      </w:r>
      <w:r w:rsidR="00061CFE">
        <w:t>Area and Strategy Summary</w:t>
      </w:r>
      <w:bookmarkEnd w:id="40"/>
    </w:p>
    <w:p w14:paraId="3B1417E5" w14:textId="6CCCCCAC" w:rsidR="001D035F" w:rsidRDefault="001D035F" w:rsidP="34935B2B"/>
    <w:p w14:paraId="54F27944" w14:textId="50A147B0" w:rsidR="00F87BFF" w:rsidRPr="00112EB4" w:rsidRDefault="00400042" w:rsidP="003420B4">
      <w:pPr>
        <w:rPr>
          <w:rFonts w:asciiTheme="minorHAnsi" w:eastAsiaTheme="majorEastAsia" w:hAnsiTheme="minorHAnsi" w:cstheme="minorHAnsi"/>
        </w:rPr>
      </w:pPr>
      <w:r w:rsidRPr="00450962">
        <w:rPr>
          <w:rFonts w:asciiTheme="minorHAnsi" w:eastAsiaTheme="majorEastAsia" w:hAnsiTheme="minorHAnsi" w:cstheme="minorHAnsi"/>
        </w:rPr>
        <w:t xml:space="preserve">The </w:t>
      </w:r>
      <w:r w:rsidRPr="00450962">
        <w:rPr>
          <w:rFonts w:asciiTheme="minorHAnsi" w:eastAsiaTheme="majorEastAsia" w:hAnsiTheme="minorHAnsi" w:cstheme="minorHAnsi"/>
          <w:i/>
          <w:iCs/>
        </w:rPr>
        <w:t>Best Starts</w:t>
      </w:r>
      <w:r w:rsidRPr="00450962">
        <w:rPr>
          <w:rFonts w:asciiTheme="minorHAnsi" w:eastAsiaTheme="majorEastAsia" w:hAnsiTheme="minorHAnsi" w:cstheme="minorHAnsi"/>
        </w:rPr>
        <w:t xml:space="preserve"> </w:t>
      </w:r>
      <w:r w:rsidR="0080798C">
        <w:rPr>
          <w:rFonts w:asciiTheme="minorHAnsi" w:eastAsiaTheme="majorEastAsia" w:hAnsiTheme="minorHAnsi" w:cstheme="minorHAnsi"/>
        </w:rPr>
        <w:t xml:space="preserve">2022-2027 </w:t>
      </w:r>
      <w:r w:rsidRPr="00450962">
        <w:rPr>
          <w:rFonts w:asciiTheme="minorHAnsi" w:eastAsiaTheme="majorEastAsia" w:hAnsiTheme="minorHAnsi" w:cstheme="minorHAnsi"/>
        </w:rPr>
        <w:t xml:space="preserve">levy maintains and builds upon the first </w:t>
      </w:r>
      <w:r w:rsidRPr="00450962">
        <w:rPr>
          <w:rFonts w:asciiTheme="minorHAnsi" w:eastAsiaTheme="majorEastAsia" w:hAnsiTheme="minorHAnsi" w:cstheme="minorHAnsi"/>
          <w:i/>
          <w:iCs/>
        </w:rPr>
        <w:t>Best Starts</w:t>
      </w:r>
      <w:r w:rsidR="0080798C">
        <w:rPr>
          <w:rFonts w:asciiTheme="minorHAnsi" w:eastAsiaTheme="majorEastAsia" w:hAnsiTheme="minorHAnsi" w:cstheme="minorHAnsi"/>
        </w:rPr>
        <w:t xml:space="preserve"> levy’s</w:t>
      </w:r>
      <w:r w:rsidRPr="00450962">
        <w:rPr>
          <w:rFonts w:asciiTheme="minorHAnsi" w:eastAsiaTheme="majorEastAsia" w:hAnsiTheme="minorHAnsi" w:cstheme="minorHAnsi"/>
        </w:rPr>
        <w:t xml:space="preserve"> investments</w:t>
      </w:r>
      <w:r w:rsidR="00B24D33">
        <w:rPr>
          <w:rFonts w:asciiTheme="minorHAnsi" w:eastAsiaTheme="majorEastAsia" w:hAnsiTheme="minorHAnsi" w:cstheme="minorHAnsi"/>
        </w:rPr>
        <w:t>,</w:t>
      </w:r>
      <w:r w:rsidRPr="00450962">
        <w:rPr>
          <w:rFonts w:asciiTheme="minorHAnsi" w:eastAsiaTheme="majorEastAsia" w:hAnsiTheme="minorHAnsi" w:cstheme="minorHAnsi"/>
        </w:rPr>
        <w:t xml:space="preserve"> while </w:t>
      </w:r>
      <w:r w:rsidR="00B24D33">
        <w:rPr>
          <w:rFonts w:asciiTheme="minorHAnsi" w:eastAsiaTheme="majorEastAsia" w:hAnsiTheme="minorHAnsi" w:cstheme="minorHAnsi"/>
        </w:rPr>
        <w:t xml:space="preserve">also </w:t>
      </w:r>
      <w:r w:rsidRPr="00450962">
        <w:rPr>
          <w:rFonts w:asciiTheme="minorHAnsi" w:eastAsiaTheme="majorEastAsia" w:hAnsiTheme="minorHAnsi" w:cstheme="minorHAnsi"/>
        </w:rPr>
        <w:t xml:space="preserve">adding new strategies to address the </w:t>
      </w:r>
      <w:r w:rsidR="00B24D33">
        <w:rPr>
          <w:rFonts w:asciiTheme="minorHAnsi" w:eastAsiaTheme="majorEastAsia" w:hAnsiTheme="minorHAnsi" w:cstheme="minorHAnsi"/>
        </w:rPr>
        <w:t xml:space="preserve">region’s </w:t>
      </w:r>
      <w:r w:rsidRPr="00450962">
        <w:rPr>
          <w:rFonts w:asciiTheme="minorHAnsi" w:eastAsiaTheme="majorEastAsia" w:hAnsiTheme="minorHAnsi" w:cstheme="minorHAnsi"/>
        </w:rPr>
        <w:t xml:space="preserve">critical child care needs, deepening investments in youth, and </w:t>
      </w:r>
      <w:r w:rsidR="00B24D33">
        <w:rPr>
          <w:rFonts w:asciiTheme="minorHAnsi" w:eastAsiaTheme="majorEastAsia" w:hAnsiTheme="minorHAnsi" w:cstheme="minorHAnsi"/>
        </w:rPr>
        <w:t>including</w:t>
      </w:r>
      <w:r w:rsidR="00B24D33" w:rsidRPr="00450962">
        <w:rPr>
          <w:rFonts w:asciiTheme="minorHAnsi" w:eastAsiaTheme="majorEastAsia" w:hAnsiTheme="minorHAnsi" w:cstheme="minorHAnsi"/>
        </w:rPr>
        <w:t xml:space="preserve"> </w:t>
      </w:r>
      <w:r w:rsidRPr="00450962">
        <w:rPr>
          <w:rFonts w:asciiTheme="minorHAnsi" w:eastAsiaTheme="majorEastAsia" w:hAnsiTheme="minorHAnsi" w:cstheme="minorHAnsi"/>
        </w:rPr>
        <w:t xml:space="preserve">opportunities for capital </w:t>
      </w:r>
      <w:r w:rsidR="0090492A">
        <w:rPr>
          <w:rFonts w:asciiTheme="minorHAnsi" w:eastAsiaTheme="majorEastAsia" w:hAnsiTheme="minorHAnsi" w:cstheme="minorHAnsi"/>
        </w:rPr>
        <w:t>grants</w:t>
      </w:r>
      <w:r w:rsidRPr="00450962">
        <w:rPr>
          <w:rFonts w:asciiTheme="minorHAnsi" w:eastAsiaTheme="majorEastAsia" w:hAnsiTheme="minorHAnsi" w:cstheme="minorHAnsi"/>
        </w:rPr>
        <w:t xml:space="preserve">. </w:t>
      </w:r>
    </w:p>
    <w:p w14:paraId="41DC6A56" w14:textId="77777777" w:rsidR="00856009" w:rsidRDefault="00856009" w:rsidP="003420B4">
      <w:pPr>
        <w:rPr>
          <w:rFonts w:asciiTheme="majorHAnsi" w:eastAsiaTheme="majorEastAsia" w:hAnsiTheme="majorHAnsi" w:cstheme="majorBidi"/>
        </w:rPr>
      </w:pPr>
    </w:p>
    <w:p w14:paraId="44ACEC41" w14:textId="50AAE613" w:rsidR="00634711" w:rsidRDefault="00290F5D" w:rsidP="003420B4">
      <w:pPr>
        <w:rPr>
          <w:rFonts w:asciiTheme="minorHAnsi" w:eastAsiaTheme="majorEastAsia" w:hAnsiTheme="minorHAnsi" w:cstheme="minorHAnsi"/>
        </w:rPr>
      </w:pPr>
      <w:r w:rsidRPr="00601EEC">
        <w:rPr>
          <w:rFonts w:asciiTheme="minorHAnsi" w:eastAsiaTheme="majorEastAsia" w:hAnsiTheme="minorHAnsi" w:cstheme="minorHAnsi"/>
        </w:rPr>
        <w:t>Table</w:t>
      </w:r>
      <w:r w:rsidR="00F23557" w:rsidRPr="00601EEC">
        <w:rPr>
          <w:rFonts w:asciiTheme="minorHAnsi" w:eastAsiaTheme="majorEastAsia" w:hAnsiTheme="minorHAnsi" w:cstheme="minorHAnsi"/>
        </w:rPr>
        <w:t xml:space="preserve"> </w:t>
      </w:r>
      <w:r w:rsidR="002D3B40">
        <w:rPr>
          <w:rFonts w:asciiTheme="minorHAnsi" w:eastAsiaTheme="majorEastAsia" w:hAnsiTheme="minorHAnsi" w:cstheme="minorHAnsi"/>
        </w:rPr>
        <w:t>9</w:t>
      </w:r>
      <w:r w:rsidR="00F23557" w:rsidRPr="00601EEC">
        <w:rPr>
          <w:rFonts w:asciiTheme="minorHAnsi" w:eastAsiaTheme="majorEastAsia" w:hAnsiTheme="minorHAnsi" w:cstheme="minorHAnsi"/>
        </w:rPr>
        <w:t xml:space="preserve"> below summarizes the investment areas as outlined within this Implementation Plan</w:t>
      </w:r>
      <w:r w:rsidR="00081616">
        <w:rPr>
          <w:rFonts w:asciiTheme="minorHAnsi" w:eastAsiaTheme="majorEastAsia" w:hAnsiTheme="minorHAnsi" w:cstheme="minorHAnsi"/>
        </w:rPr>
        <w:t>.</w:t>
      </w:r>
      <w:r w:rsidR="00955633">
        <w:rPr>
          <w:rFonts w:asciiTheme="minorHAnsi" w:eastAsiaTheme="majorEastAsia" w:hAnsiTheme="minorHAnsi" w:cstheme="minorHAnsi"/>
        </w:rPr>
        <w:t xml:space="preserve"> </w:t>
      </w:r>
      <w:r w:rsidR="00E122DF" w:rsidRPr="00601EEC">
        <w:rPr>
          <w:rFonts w:asciiTheme="minorHAnsi" w:eastAsiaTheme="majorEastAsia" w:hAnsiTheme="minorHAnsi" w:cstheme="minorHAnsi"/>
        </w:rPr>
        <w:t>Each investment area has strategies and programs to address critical needs within the County</w:t>
      </w:r>
      <w:r w:rsidR="00081616">
        <w:rPr>
          <w:rFonts w:asciiTheme="minorHAnsi" w:eastAsiaTheme="majorEastAsia" w:hAnsiTheme="minorHAnsi" w:cstheme="minorHAnsi"/>
        </w:rPr>
        <w:t>.</w:t>
      </w:r>
    </w:p>
    <w:p w14:paraId="3A587130" w14:textId="77777777" w:rsidR="00634711" w:rsidRPr="00955633" w:rsidRDefault="00634711" w:rsidP="00955633">
      <w:pPr>
        <w:rPr>
          <w:rFonts w:asciiTheme="minorHAnsi" w:eastAsiaTheme="majorEastAsia" w:hAnsiTheme="minorHAnsi" w:cstheme="minorHAnsi"/>
        </w:rPr>
      </w:pPr>
    </w:p>
    <w:p w14:paraId="2DDD2A52" w14:textId="72A5980B" w:rsidR="00286461" w:rsidRDefault="002D3B40" w:rsidP="002D3B40">
      <w:pPr>
        <w:pStyle w:val="Caption"/>
      </w:pPr>
      <w:r>
        <w:t xml:space="preserve">Table </w:t>
      </w:r>
      <w:fldSimple w:instr=" SEQ Table \* ARABIC ">
        <w:r w:rsidR="00B8538C">
          <w:rPr>
            <w:noProof/>
          </w:rPr>
          <w:t>9</w:t>
        </w:r>
      </w:fldSimple>
      <w:r>
        <w:t xml:space="preserve">: </w:t>
      </w:r>
      <w:r w:rsidRPr="0082330A">
        <w:t>Summary of Investment Areas</w:t>
      </w:r>
    </w:p>
    <w:tbl>
      <w:tblPr>
        <w:tblStyle w:val="GridTable4-Accent5"/>
        <w:tblW w:w="9510"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2509"/>
        <w:gridCol w:w="7001"/>
      </w:tblGrid>
      <w:tr w:rsidR="00AE5C2C" w:rsidRPr="00D03F1F" w14:paraId="2888C4B3" w14:textId="77777777" w:rsidTr="00C24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Borders>
              <w:top w:val="none" w:sz="0" w:space="0" w:color="auto"/>
              <w:left w:val="none" w:sz="0" w:space="0" w:color="auto"/>
              <w:bottom w:val="none" w:sz="0" w:space="0" w:color="auto"/>
              <w:right w:val="none" w:sz="0" w:space="0" w:color="auto"/>
            </w:tcBorders>
            <w:vAlign w:val="center"/>
          </w:tcPr>
          <w:p w14:paraId="53845EC3" w14:textId="7AABC531" w:rsidR="00A3380C" w:rsidRPr="00D03F1F" w:rsidRDefault="00A3380C" w:rsidP="00EA1D68">
            <w:pPr>
              <w:pStyle w:val="NoSpacing"/>
              <w:contextualSpacing/>
              <w:jc w:val="center"/>
              <w:rPr>
                <w:rFonts w:ascii="Calibri" w:eastAsiaTheme="majorEastAsia" w:hAnsi="Calibri" w:cs="Calibri"/>
                <w:sz w:val="24"/>
                <w:szCs w:val="24"/>
              </w:rPr>
            </w:pPr>
            <w:bookmarkStart w:id="41" w:name="_Hlk74685308"/>
            <w:r w:rsidRPr="00D03F1F">
              <w:rPr>
                <w:rFonts w:ascii="Calibri" w:eastAsiaTheme="majorEastAsia" w:hAnsi="Calibri" w:cs="Calibri"/>
                <w:sz w:val="24"/>
                <w:szCs w:val="24"/>
              </w:rPr>
              <w:t xml:space="preserve">Investment </w:t>
            </w:r>
            <w:r w:rsidR="00366493">
              <w:rPr>
                <w:rFonts w:ascii="Calibri" w:eastAsiaTheme="majorEastAsia" w:hAnsi="Calibri" w:cs="Calibri"/>
                <w:sz w:val="24"/>
                <w:szCs w:val="24"/>
              </w:rPr>
              <w:t>Areas</w:t>
            </w:r>
          </w:p>
        </w:tc>
        <w:tc>
          <w:tcPr>
            <w:tcW w:w="7001" w:type="dxa"/>
            <w:tcBorders>
              <w:top w:val="none" w:sz="0" w:space="0" w:color="auto"/>
              <w:left w:val="none" w:sz="0" w:space="0" w:color="auto"/>
              <w:bottom w:val="none" w:sz="0" w:space="0" w:color="auto"/>
              <w:right w:val="none" w:sz="0" w:space="0" w:color="auto"/>
            </w:tcBorders>
            <w:vAlign w:val="center"/>
          </w:tcPr>
          <w:p w14:paraId="183446B1" w14:textId="77777777" w:rsidR="00A3380C" w:rsidRPr="00D03F1F" w:rsidRDefault="00A3380C" w:rsidP="00EA1D68">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sidRPr="00D03F1F">
              <w:rPr>
                <w:rFonts w:ascii="Calibri" w:eastAsiaTheme="majorEastAsia" w:hAnsi="Calibri" w:cs="Calibri"/>
                <w:sz w:val="24"/>
                <w:szCs w:val="24"/>
              </w:rPr>
              <w:t>Description</w:t>
            </w:r>
          </w:p>
        </w:tc>
      </w:tr>
      <w:tr w:rsidR="001A6FC9" w:rsidRPr="00D03F1F" w14:paraId="4EFC5F30"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57B6B812" w14:textId="5083269D" w:rsidR="006237F9" w:rsidRPr="00D03F1F" w:rsidRDefault="006237F9" w:rsidP="00EA1D68">
            <w:pPr>
              <w:pStyle w:val="NoSpacing"/>
              <w:contextualSpacing/>
              <w:rPr>
                <w:rFonts w:ascii="Calibri" w:eastAsiaTheme="majorEastAsia" w:hAnsi="Calibri" w:cs="Calibri"/>
              </w:rPr>
            </w:pPr>
            <w:r>
              <w:rPr>
                <w:rFonts w:ascii="Calibri" w:eastAsiaTheme="majorEastAsia" w:hAnsi="Calibri" w:cs="Calibri"/>
              </w:rPr>
              <w:t>Child Care Subsid</w:t>
            </w:r>
            <w:r w:rsidR="00337310">
              <w:rPr>
                <w:rFonts w:ascii="Calibri" w:eastAsiaTheme="majorEastAsia" w:hAnsi="Calibri" w:cs="Calibri"/>
              </w:rPr>
              <w:t>y Program</w:t>
            </w:r>
            <w:r>
              <w:rPr>
                <w:rFonts w:ascii="Calibri" w:eastAsiaTheme="majorEastAsia" w:hAnsi="Calibri" w:cs="Calibri"/>
              </w:rPr>
              <w:t xml:space="preserve"> and </w:t>
            </w:r>
            <w:r w:rsidR="00DC53C0">
              <w:rPr>
                <w:rFonts w:ascii="Calibri" w:eastAsiaTheme="majorEastAsia" w:hAnsi="Calibri" w:cs="Calibri"/>
              </w:rPr>
              <w:t>Workforce</w:t>
            </w:r>
            <w:r w:rsidR="00E967D0">
              <w:rPr>
                <w:rFonts w:ascii="Calibri" w:eastAsiaTheme="majorEastAsia" w:hAnsi="Calibri" w:cs="Calibri"/>
              </w:rPr>
              <w:t xml:space="preserve"> </w:t>
            </w:r>
            <w:r>
              <w:rPr>
                <w:rFonts w:ascii="Calibri" w:eastAsiaTheme="majorEastAsia" w:hAnsi="Calibri" w:cs="Calibri"/>
              </w:rPr>
              <w:t>Demon</w:t>
            </w:r>
            <w:r w:rsidR="00432820">
              <w:rPr>
                <w:rFonts w:ascii="Calibri" w:eastAsiaTheme="majorEastAsia" w:hAnsi="Calibri" w:cs="Calibri"/>
              </w:rPr>
              <w:t>stration Project</w:t>
            </w:r>
          </w:p>
        </w:tc>
        <w:tc>
          <w:tcPr>
            <w:tcW w:w="7001" w:type="dxa"/>
          </w:tcPr>
          <w:p w14:paraId="17C08008" w14:textId="6A6A4477" w:rsidR="006237F9" w:rsidRPr="00D03F1F" w:rsidRDefault="00C944AE"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cs="Calibri"/>
              </w:rPr>
              <w:t>E</w:t>
            </w:r>
            <w:r w:rsidRPr="43B6473A">
              <w:rPr>
                <w:rFonts w:cs="Calibri"/>
              </w:rPr>
              <w:t>xpand</w:t>
            </w:r>
            <w:r w:rsidRPr="00D03F1F">
              <w:rPr>
                <w:rFonts w:cs="Calibri"/>
              </w:rPr>
              <w:t xml:space="preserve"> access for children and their families who are not eligible for existing </w:t>
            </w:r>
            <w:r w:rsidRPr="7D67B002">
              <w:rPr>
                <w:rFonts w:cs="Calibri"/>
              </w:rPr>
              <w:t xml:space="preserve">federal, state, or local subsidy </w:t>
            </w:r>
            <w:r w:rsidRPr="00D03F1F">
              <w:rPr>
                <w:rFonts w:cs="Calibri"/>
              </w:rPr>
              <w:t>programs</w:t>
            </w:r>
            <w:r w:rsidR="00BF4B2C">
              <w:rPr>
                <w:rFonts w:cs="Calibri"/>
              </w:rPr>
              <w:t xml:space="preserve"> or for whom these programs are insufficient</w:t>
            </w:r>
            <w:r w:rsidRPr="7D67B002">
              <w:rPr>
                <w:rFonts w:cs="Calibri"/>
              </w:rPr>
              <w:t>.</w:t>
            </w:r>
            <w:r w:rsidRPr="00D03F1F">
              <w:rPr>
                <w:rFonts w:cs="Calibri"/>
              </w:rPr>
              <w:t xml:space="preserve"> </w:t>
            </w:r>
            <w:r>
              <w:rPr>
                <w:rFonts w:cs="Calibri"/>
              </w:rPr>
              <w:t>S</w:t>
            </w:r>
            <w:r w:rsidRPr="00D03F1F">
              <w:rPr>
                <w:rFonts w:cs="Calibri"/>
              </w:rPr>
              <w:t>upport investments in the child care workforce</w:t>
            </w:r>
            <w:r w:rsidRPr="1A4AFED7">
              <w:rPr>
                <w:rFonts w:cs="Calibri"/>
              </w:rPr>
              <w:t xml:space="preserve"> through a wage boost demonstration project</w:t>
            </w:r>
            <w:r>
              <w:rPr>
                <w:rFonts w:cs="Calibri"/>
              </w:rPr>
              <w:t>.</w:t>
            </w:r>
          </w:p>
        </w:tc>
      </w:tr>
      <w:tr w:rsidR="00A3380C" w:rsidRPr="00D03F1F" w14:paraId="7A01E8C0"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21EEDD0C" w14:textId="373C98C4" w:rsidR="00A3380C" w:rsidRPr="00D03F1F" w:rsidRDefault="00A3380C" w:rsidP="00EA1D68">
            <w:pPr>
              <w:pStyle w:val="NoSpacing"/>
              <w:contextualSpacing/>
              <w:rPr>
                <w:rFonts w:ascii="Calibri" w:eastAsiaTheme="majorEastAsia" w:hAnsi="Calibri" w:cs="Calibri"/>
              </w:rPr>
            </w:pPr>
            <w:r w:rsidRPr="00D03F1F">
              <w:rPr>
                <w:rFonts w:ascii="Calibri" w:eastAsiaTheme="majorEastAsia" w:hAnsi="Calibri" w:cs="Calibri"/>
              </w:rPr>
              <w:t>Invest</w:t>
            </w:r>
            <w:r w:rsidR="00F04055">
              <w:rPr>
                <w:rFonts w:ascii="Calibri" w:eastAsiaTheme="majorEastAsia" w:hAnsi="Calibri" w:cs="Calibri"/>
              </w:rPr>
              <w:t>ing</w:t>
            </w:r>
            <w:r w:rsidRPr="00D03F1F">
              <w:rPr>
                <w:rFonts w:ascii="Calibri" w:eastAsiaTheme="majorEastAsia" w:hAnsi="Calibri" w:cs="Calibri"/>
              </w:rPr>
              <w:t xml:space="preserve"> Early</w:t>
            </w:r>
            <w:r w:rsidRPr="00D03F1F">
              <w:rPr>
                <w:rStyle w:val="FootnoteReference"/>
                <w:rFonts w:ascii="Calibri" w:eastAsia="Calibri Light" w:hAnsi="Calibri" w:cs="Calibri"/>
                <w:b w:val="0"/>
                <w:bCs w:val="0"/>
              </w:rPr>
              <w:footnoteReference w:id="95"/>
            </w:r>
          </w:p>
        </w:tc>
        <w:tc>
          <w:tcPr>
            <w:tcW w:w="7001" w:type="dxa"/>
          </w:tcPr>
          <w:p w14:paraId="63A2DCEA" w14:textId="181A49AB" w:rsidR="00A3380C" w:rsidRPr="00D03F1F" w:rsidRDefault="7E42B4DE"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19278F3E">
              <w:rPr>
                <w:rFonts w:ascii="Calibri" w:eastAsiaTheme="majorEastAsia" w:hAnsi="Calibri" w:cs="Calibri"/>
              </w:rPr>
              <w:t>Support</w:t>
            </w:r>
            <w:r w:rsidR="00A3380C" w:rsidRPr="00D03F1F">
              <w:rPr>
                <w:rFonts w:ascii="Calibri" w:eastAsiaTheme="majorEastAsia" w:hAnsi="Calibri" w:cs="Calibri"/>
              </w:rPr>
              <w:t xml:space="preserve"> pregnant individuals</w:t>
            </w:r>
            <w:r w:rsidR="00B126B9">
              <w:rPr>
                <w:rFonts w:ascii="Calibri" w:eastAsiaTheme="majorEastAsia" w:hAnsi="Calibri" w:cs="Calibri"/>
              </w:rPr>
              <w:t>,</w:t>
            </w:r>
            <w:r w:rsidR="00A3380C" w:rsidRPr="00D03F1F">
              <w:rPr>
                <w:rFonts w:ascii="Calibri" w:eastAsiaTheme="majorEastAsia" w:hAnsi="Calibri" w:cs="Calibri"/>
              </w:rPr>
              <w:t xml:space="preserve"> babies</w:t>
            </w:r>
            <w:r w:rsidR="00B126B9">
              <w:rPr>
                <w:rFonts w:ascii="Calibri" w:eastAsiaTheme="majorEastAsia" w:hAnsi="Calibri" w:cs="Calibri"/>
              </w:rPr>
              <w:t>,</w:t>
            </w:r>
            <w:r w:rsidR="00A3380C" w:rsidRPr="00D03F1F">
              <w:rPr>
                <w:rFonts w:ascii="Calibri" w:eastAsiaTheme="majorEastAsia" w:hAnsi="Calibri" w:cs="Calibri"/>
              </w:rPr>
              <w:t xml:space="preserve"> </w:t>
            </w:r>
            <w:r w:rsidR="00054004">
              <w:rPr>
                <w:rFonts w:ascii="Calibri" w:eastAsiaTheme="majorEastAsia" w:hAnsi="Calibri" w:cs="Calibri"/>
              </w:rPr>
              <w:t xml:space="preserve">and </w:t>
            </w:r>
            <w:r w:rsidR="00A3380C" w:rsidRPr="00D03F1F">
              <w:rPr>
                <w:rFonts w:ascii="Calibri" w:eastAsiaTheme="majorEastAsia" w:hAnsi="Calibri" w:cs="Calibri"/>
              </w:rPr>
              <w:t>very young children during their critical developmental years</w:t>
            </w:r>
            <w:r w:rsidR="00B126B9">
              <w:rPr>
                <w:rFonts w:ascii="Calibri" w:eastAsiaTheme="majorEastAsia" w:hAnsi="Calibri" w:cs="Calibri"/>
              </w:rPr>
              <w:t>,</w:t>
            </w:r>
            <w:r w:rsidR="00A3380C" w:rsidRPr="00D03F1F">
              <w:rPr>
                <w:rFonts w:ascii="Calibri" w:eastAsiaTheme="majorEastAsia" w:hAnsi="Calibri" w:cs="Calibri"/>
              </w:rPr>
              <w:t xml:space="preserve"> and their parents with a robust system of support services and resources that meet families where they are: home, community, and in child care</w:t>
            </w:r>
            <w:r w:rsidR="00244E66">
              <w:rPr>
                <w:rFonts w:ascii="Calibri" w:eastAsiaTheme="majorEastAsia" w:hAnsi="Calibri" w:cs="Calibri"/>
              </w:rPr>
              <w:t xml:space="preserve"> to </w:t>
            </w:r>
            <w:r w:rsidR="004E15A2">
              <w:rPr>
                <w:rFonts w:ascii="Calibri" w:eastAsiaTheme="majorEastAsia" w:hAnsi="Calibri" w:cs="Calibri"/>
              </w:rPr>
              <w:t xml:space="preserve">increase </w:t>
            </w:r>
            <w:r w:rsidR="00AC1E17">
              <w:rPr>
                <w:rFonts w:ascii="Calibri" w:eastAsiaTheme="majorEastAsia" w:hAnsi="Calibri" w:cs="Calibri"/>
              </w:rPr>
              <w:t>optimal child development</w:t>
            </w:r>
            <w:r w:rsidR="00A3380C" w:rsidRPr="00D03F1F">
              <w:rPr>
                <w:rFonts w:ascii="Calibri" w:eastAsiaTheme="majorEastAsia" w:hAnsi="Calibri" w:cs="Calibri"/>
              </w:rPr>
              <w:t>.</w:t>
            </w:r>
          </w:p>
        </w:tc>
      </w:tr>
      <w:tr w:rsidR="001A6FC9" w:rsidRPr="00D03F1F" w14:paraId="7D2CB62B"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64B1599" w14:textId="77777777" w:rsidR="00A3380C" w:rsidRPr="00D03F1F" w:rsidRDefault="00A3380C" w:rsidP="00EA1D68">
            <w:pPr>
              <w:pStyle w:val="NoSpacing"/>
              <w:contextualSpacing/>
              <w:rPr>
                <w:rFonts w:ascii="Calibri" w:eastAsiaTheme="majorEastAsia" w:hAnsi="Calibri" w:cs="Calibri"/>
              </w:rPr>
            </w:pPr>
            <w:r w:rsidRPr="00D03F1F">
              <w:rPr>
                <w:rFonts w:ascii="Calibri" w:eastAsiaTheme="majorEastAsia" w:hAnsi="Calibri" w:cs="Calibri"/>
              </w:rPr>
              <w:t>Sustain the Gain</w:t>
            </w:r>
            <w:r w:rsidRPr="00D03F1F">
              <w:rPr>
                <w:rStyle w:val="FootnoteReference"/>
                <w:rFonts w:ascii="Calibri" w:eastAsia="Calibri Light" w:hAnsi="Calibri" w:cs="Calibri"/>
                <w:b w:val="0"/>
                <w:bCs w:val="0"/>
              </w:rPr>
              <w:footnoteReference w:id="96"/>
            </w:r>
          </w:p>
        </w:tc>
        <w:tc>
          <w:tcPr>
            <w:tcW w:w="7001" w:type="dxa"/>
          </w:tcPr>
          <w:p w14:paraId="79884E31" w14:textId="77777777" w:rsidR="00A3380C" w:rsidRPr="00D03F1F" w:rsidRDefault="00A3380C"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Continue progress made with school- and community-based opportunities for children to learn, grow, and develop through childhood, adolescence, and into adulthood.</w:t>
            </w:r>
          </w:p>
        </w:tc>
      </w:tr>
      <w:tr w:rsidR="00432820" w:rsidRPr="00D03F1F" w14:paraId="5FF74BAD"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5EB0E590" w14:textId="25F9F161" w:rsidR="00432820" w:rsidRPr="00D03F1F" w:rsidRDefault="00432820" w:rsidP="00EA1D68">
            <w:pPr>
              <w:pStyle w:val="NoSpacing"/>
              <w:contextualSpacing/>
              <w:rPr>
                <w:rFonts w:ascii="Calibri" w:eastAsiaTheme="majorEastAsia" w:hAnsi="Calibri" w:cs="Calibri"/>
              </w:rPr>
            </w:pPr>
            <w:r w:rsidRPr="00D03F1F">
              <w:rPr>
                <w:rFonts w:ascii="Calibri" w:eastAsiaTheme="majorEastAsia" w:hAnsi="Calibri" w:cs="Calibri"/>
              </w:rPr>
              <w:t>Youth and Family Homelessness Initiative</w:t>
            </w:r>
            <w:r w:rsidRPr="00D03F1F">
              <w:rPr>
                <w:rStyle w:val="FootnoteReference"/>
                <w:rFonts w:ascii="Calibri" w:eastAsiaTheme="majorEastAsia" w:hAnsi="Calibri" w:cs="Calibri"/>
              </w:rPr>
              <w:footnoteReference w:id="97"/>
            </w:r>
          </w:p>
        </w:tc>
        <w:tc>
          <w:tcPr>
            <w:tcW w:w="7001" w:type="dxa"/>
          </w:tcPr>
          <w:p w14:paraId="43639FD3" w14:textId="77D475E7" w:rsidR="00432820" w:rsidRPr="00D03F1F" w:rsidRDefault="00432820"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Prevent young people and their families from losing housing.</w:t>
            </w:r>
          </w:p>
        </w:tc>
      </w:tr>
      <w:tr w:rsidR="001A6FC9" w:rsidRPr="00D03F1F" w14:paraId="6532E1A0"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7557FF1" w14:textId="77777777" w:rsidR="00A3380C" w:rsidRPr="00D03F1F" w:rsidRDefault="00A3380C" w:rsidP="00EA1D68">
            <w:pPr>
              <w:pStyle w:val="NoSpacing"/>
              <w:contextualSpacing/>
              <w:rPr>
                <w:rFonts w:ascii="Calibri" w:eastAsiaTheme="majorEastAsia" w:hAnsi="Calibri" w:cs="Calibri"/>
              </w:rPr>
            </w:pPr>
            <w:r w:rsidRPr="00D03F1F">
              <w:rPr>
                <w:rFonts w:ascii="Calibri" w:eastAsiaTheme="majorEastAsia" w:hAnsi="Calibri" w:cs="Calibri"/>
              </w:rPr>
              <w:t>Communities of Opportunity</w:t>
            </w:r>
          </w:p>
        </w:tc>
        <w:tc>
          <w:tcPr>
            <w:tcW w:w="7001" w:type="dxa"/>
          </w:tcPr>
          <w:p w14:paraId="0E516F98" w14:textId="7D4FE82A" w:rsidR="00A3380C" w:rsidRPr="00D03F1F" w:rsidRDefault="00761CA1"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761CA1">
              <w:rPr>
                <w:rFonts w:ascii="Calibri" w:hAnsi="Calibri" w:cs="Calibri"/>
                <w:color w:val="000000"/>
                <w:shd w:val="clear" w:color="auto" w:fill="DEEAF6"/>
              </w:rPr>
              <w:t>Support communities to create equitable conditions so that children and families can thrive. </w:t>
            </w:r>
          </w:p>
        </w:tc>
      </w:tr>
      <w:tr w:rsidR="00A3380C" w:rsidRPr="00D03F1F" w14:paraId="4FDFA616"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6C0694EF" w14:textId="7A065743" w:rsidR="00A3380C" w:rsidRPr="00D03F1F" w:rsidRDefault="00757819" w:rsidP="00EA1D68">
            <w:pPr>
              <w:pStyle w:val="NoSpacing"/>
              <w:contextualSpacing/>
              <w:rPr>
                <w:rFonts w:ascii="Calibri" w:eastAsiaTheme="majorEastAsia" w:hAnsi="Calibri" w:cs="Calibri"/>
                <w:b w:val="0"/>
                <w:bCs w:val="0"/>
              </w:rPr>
            </w:pPr>
            <w:r>
              <w:rPr>
                <w:rFonts w:ascii="Calibri" w:eastAsiaTheme="majorEastAsia" w:hAnsi="Calibri" w:cs="Calibri"/>
              </w:rPr>
              <w:t>Capital Projects</w:t>
            </w:r>
          </w:p>
        </w:tc>
        <w:tc>
          <w:tcPr>
            <w:tcW w:w="7001" w:type="dxa"/>
          </w:tcPr>
          <w:p w14:paraId="538C7E8C" w14:textId="32143EEE" w:rsidR="00A3380C" w:rsidRPr="00D03F1F" w:rsidRDefault="00E52618"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Pr>
                <w:rFonts w:eastAsia="Calibri" w:cs="Calibri"/>
              </w:rPr>
              <w:t>P</w:t>
            </w:r>
            <w:r w:rsidRPr="4BD402C6">
              <w:rPr>
                <w:rFonts w:eastAsia="Calibri" w:cs="Calibri"/>
              </w:rPr>
              <w:t xml:space="preserve">rovide </w:t>
            </w:r>
            <w:r w:rsidR="002863AC">
              <w:rPr>
                <w:rFonts w:eastAsia="Calibri" w:cs="Calibri"/>
              </w:rPr>
              <w:t xml:space="preserve">monies </w:t>
            </w:r>
            <w:r w:rsidRPr="4BD402C6">
              <w:rPr>
                <w:rFonts w:eastAsia="Calibri" w:cs="Calibri"/>
              </w:rPr>
              <w:t>for facility/building repairs,</w:t>
            </w:r>
            <w:r w:rsidRPr="4BD402C6">
              <w:rPr>
                <w:rFonts w:eastAsia="Calibri" w:cs="Calibri"/>
                <w:color w:val="00B050"/>
              </w:rPr>
              <w:t xml:space="preserve"> </w:t>
            </w:r>
            <w:r w:rsidR="00AD2A35">
              <w:rPr>
                <w:rFonts w:eastAsia="Calibri" w:cs="Calibri"/>
              </w:rPr>
              <w:t>renovations</w:t>
            </w:r>
            <w:r w:rsidRPr="65049D61">
              <w:rPr>
                <w:rFonts w:eastAsia="Calibri" w:cs="Calibri"/>
              </w:rPr>
              <w:t xml:space="preserve"> and new construction or expansion to </w:t>
            </w:r>
            <w:r>
              <w:rPr>
                <w:rFonts w:eastAsia="Calibri" w:cs="Calibri"/>
              </w:rPr>
              <w:t>improve</w:t>
            </w:r>
            <w:r w:rsidRPr="65049D61">
              <w:rPr>
                <w:rFonts w:eastAsia="Calibri" w:cs="Calibri"/>
              </w:rPr>
              <w:t xml:space="preserve"> access </w:t>
            </w:r>
            <w:r>
              <w:rPr>
                <w:rFonts w:eastAsia="Calibri" w:cs="Calibri"/>
              </w:rPr>
              <w:t>to</w:t>
            </w:r>
            <w:r w:rsidRPr="65049D61">
              <w:rPr>
                <w:rFonts w:eastAsia="Calibri" w:cs="Calibri"/>
              </w:rPr>
              <w:t xml:space="preserve"> high quality programs and </w:t>
            </w:r>
            <w:r w:rsidRPr="65049D61">
              <w:rPr>
                <w:rFonts w:eastAsia="Calibri" w:cs="Calibri"/>
              </w:rPr>
              <w:lastRenderedPageBreak/>
              <w:t>services for low</w:t>
            </w:r>
            <w:r w:rsidR="0090492A">
              <w:rPr>
                <w:rFonts w:eastAsia="Calibri" w:cs="Calibri"/>
              </w:rPr>
              <w:t>-</w:t>
            </w:r>
            <w:r w:rsidRPr="65049D61">
              <w:rPr>
                <w:rFonts w:eastAsia="Calibri" w:cs="Calibri"/>
              </w:rPr>
              <w:t>income children, youth, families and Black, Indigenous, People of Color (BIPOC)</w:t>
            </w:r>
            <w:r w:rsidR="00081616">
              <w:rPr>
                <w:rFonts w:eastAsia="Calibri" w:cs="Calibri"/>
              </w:rPr>
              <w:t>.</w:t>
            </w:r>
          </w:p>
        </w:tc>
      </w:tr>
      <w:tr w:rsidR="001A6FC9" w:rsidRPr="00D03F1F" w14:paraId="713FB7EA"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51F3830A" w14:textId="3A354FFD" w:rsidR="00A3380C" w:rsidRPr="00D03F1F" w:rsidRDefault="00757819" w:rsidP="00EA1D68">
            <w:pPr>
              <w:pStyle w:val="NoSpacing"/>
              <w:contextualSpacing/>
              <w:rPr>
                <w:rFonts w:ascii="Calibri" w:eastAsiaTheme="majorEastAsia" w:hAnsi="Calibri" w:cs="Calibri"/>
              </w:rPr>
            </w:pPr>
            <w:r>
              <w:rPr>
                <w:rFonts w:ascii="Calibri" w:eastAsiaTheme="majorEastAsia" w:hAnsi="Calibri" w:cs="Calibri"/>
              </w:rPr>
              <w:lastRenderedPageBreak/>
              <w:t>Technical Assistance and Capacity Building</w:t>
            </w:r>
          </w:p>
        </w:tc>
        <w:tc>
          <w:tcPr>
            <w:tcW w:w="7001" w:type="dxa"/>
          </w:tcPr>
          <w:p w14:paraId="05F709CD" w14:textId="24C8C8F5" w:rsidR="00A3380C" w:rsidRPr="00D03F1F" w:rsidRDefault="00B115C1"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eastAsia="Calibri" w:cs="Calibri"/>
                <w:color w:val="000000" w:themeColor="text1"/>
              </w:rPr>
              <w:t>O</w:t>
            </w:r>
            <w:r w:rsidRPr="00D03F1F">
              <w:rPr>
                <w:rFonts w:eastAsia="Calibri" w:cs="Calibri"/>
                <w:color w:val="000000" w:themeColor="text1"/>
              </w:rPr>
              <w:t>ffer</w:t>
            </w:r>
            <w:r w:rsidRPr="00D03F1F" w:rsidDel="006E0353">
              <w:rPr>
                <w:rFonts w:eastAsia="Calibri" w:cs="Calibri"/>
                <w:color w:val="000000" w:themeColor="text1"/>
              </w:rPr>
              <w:t>s</w:t>
            </w:r>
            <w:r w:rsidRPr="00D03F1F">
              <w:rPr>
                <w:rFonts w:eastAsia="Calibri" w:cs="Calibri"/>
                <w:color w:val="000000" w:themeColor="text1"/>
              </w:rPr>
              <w:t xml:space="preserve"> free provision and co-creation of information, tools, resources to strengthen the infrastructure of </w:t>
            </w:r>
            <w:r w:rsidRPr="00D03F1F">
              <w:rPr>
                <w:rFonts w:eastAsia="Calibri" w:cs="Calibri"/>
                <w:i/>
                <w:color w:val="000000" w:themeColor="text1"/>
              </w:rPr>
              <w:t>Best Starts</w:t>
            </w:r>
            <w:r w:rsidRPr="00D03F1F">
              <w:rPr>
                <w:rFonts w:eastAsia="Calibri" w:cs="Calibri"/>
                <w:color w:val="000000" w:themeColor="text1"/>
              </w:rPr>
              <w:t>-awarded organizations</w:t>
            </w:r>
            <w:r>
              <w:rPr>
                <w:rFonts w:eastAsia="Calibri" w:cs="Calibri"/>
                <w:color w:val="000000" w:themeColor="text1"/>
              </w:rPr>
              <w:t>, and opportunities for areas with service gaps to build capacity</w:t>
            </w:r>
            <w:r w:rsidR="00081616">
              <w:rPr>
                <w:rFonts w:eastAsia="Calibri" w:cs="Calibri"/>
                <w:color w:val="000000" w:themeColor="text1"/>
              </w:rPr>
              <w:t>.</w:t>
            </w:r>
            <w:r w:rsidR="001852B9">
              <w:rPr>
                <w:rFonts w:eastAsia="Calibri" w:cs="Calibri"/>
                <w:color w:val="000000" w:themeColor="text1"/>
              </w:rPr>
              <w:t xml:space="preserve"> </w:t>
            </w:r>
            <w:r>
              <w:rPr>
                <w:rFonts w:eastAsia="Calibri" w:cs="Calibri"/>
                <w:color w:val="000000" w:themeColor="text1"/>
              </w:rPr>
              <w:t>Offer</w:t>
            </w:r>
            <w:r w:rsidR="0000345F">
              <w:rPr>
                <w:rFonts w:eastAsia="Calibri" w:cs="Calibri"/>
                <w:color w:val="000000" w:themeColor="text1"/>
              </w:rPr>
              <w:t>s</w:t>
            </w:r>
            <w:r>
              <w:rPr>
                <w:rFonts w:eastAsia="Calibri" w:cs="Calibri"/>
                <w:color w:val="000000" w:themeColor="text1"/>
              </w:rPr>
              <w:t xml:space="preserve"> free </w:t>
            </w:r>
            <w:r w:rsidR="005D195B">
              <w:rPr>
                <w:rFonts w:eastAsia="Calibri" w:cs="Calibri"/>
                <w:color w:val="000000" w:themeColor="text1"/>
              </w:rPr>
              <w:t xml:space="preserve">writing support when applying for </w:t>
            </w:r>
            <w:r w:rsidR="005D195B" w:rsidRPr="005D195B">
              <w:rPr>
                <w:rFonts w:eastAsia="Calibri" w:cs="Calibri"/>
                <w:i/>
                <w:iCs/>
                <w:color w:val="000000" w:themeColor="text1"/>
              </w:rPr>
              <w:t>Best Starts</w:t>
            </w:r>
            <w:r w:rsidR="005D195B">
              <w:rPr>
                <w:rFonts w:eastAsia="Calibri" w:cs="Calibri"/>
                <w:color w:val="000000" w:themeColor="text1"/>
              </w:rPr>
              <w:t xml:space="preserve"> dollars. </w:t>
            </w:r>
          </w:p>
        </w:tc>
      </w:tr>
      <w:tr w:rsidR="00A50E77" w:rsidRPr="00D03F1F" w14:paraId="0626A7F2"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1EED8194" w14:textId="7D8A92EF" w:rsidR="00A50E77" w:rsidRPr="00D03F1F" w:rsidRDefault="00843160" w:rsidP="00EA1D68">
            <w:pPr>
              <w:pStyle w:val="NoSpacing"/>
              <w:contextualSpacing/>
              <w:rPr>
                <w:rFonts w:ascii="Calibri" w:eastAsiaTheme="majorEastAsia" w:hAnsi="Calibri" w:cs="Calibri"/>
              </w:rPr>
            </w:pPr>
            <w:r>
              <w:rPr>
                <w:rFonts w:ascii="Calibri" w:eastAsiaTheme="majorEastAsia" w:hAnsi="Calibri" w:cs="Calibri"/>
              </w:rPr>
              <w:t>Data and Evaluation</w:t>
            </w:r>
          </w:p>
        </w:tc>
        <w:tc>
          <w:tcPr>
            <w:tcW w:w="7001" w:type="dxa"/>
          </w:tcPr>
          <w:p w14:paraId="1890CD74" w14:textId="34209673" w:rsidR="00A50E77" w:rsidRPr="00D03F1F" w:rsidRDefault="00757819"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Use data and evaluation to </w:t>
            </w:r>
            <w:r w:rsidR="00B126B9">
              <w:rPr>
                <w:rFonts w:ascii="Calibri" w:eastAsiaTheme="majorEastAsia" w:hAnsi="Calibri" w:cs="Calibri"/>
              </w:rPr>
              <w:t>understand</w:t>
            </w:r>
            <w:r w:rsidRPr="00D03F1F">
              <w:rPr>
                <w:rFonts w:ascii="Calibri" w:eastAsiaTheme="majorEastAsia" w:hAnsi="Calibri" w:cs="Calibri"/>
              </w:rPr>
              <w:t xml:space="preserve"> how strategies are benefiting children and communities.</w:t>
            </w:r>
          </w:p>
        </w:tc>
      </w:tr>
    </w:tbl>
    <w:p w14:paraId="6D67B459" w14:textId="25532F3A" w:rsidR="00DA23BF" w:rsidRDefault="00DA23BF" w:rsidP="00DF4684">
      <w:pPr>
        <w:contextualSpacing/>
        <w:rPr>
          <w:rFonts w:eastAsia="Calibri Light" w:cs="Calibri"/>
          <w:color w:val="000000" w:themeColor="text1"/>
        </w:rPr>
      </w:pPr>
    </w:p>
    <w:p w14:paraId="5A19A8E3" w14:textId="4F578ABC" w:rsidR="006D364E" w:rsidRPr="00E14C82" w:rsidRDefault="00056DD5" w:rsidP="006D364E">
      <w:pPr>
        <w:rPr>
          <w:rFonts w:asciiTheme="minorHAnsi" w:eastAsiaTheme="majorEastAsia" w:hAnsiTheme="minorHAnsi" w:cstheme="minorHAnsi"/>
        </w:rPr>
      </w:pPr>
      <w:r>
        <w:rPr>
          <w:rFonts w:asciiTheme="minorHAnsi" w:eastAsiaTheme="majorEastAsia" w:hAnsiTheme="minorHAnsi" w:cstheme="minorHAnsi"/>
        </w:rPr>
        <w:t xml:space="preserve">The next </w:t>
      </w:r>
      <w:r w:rsidR="00BC6F4F">
        <w:rPr>
          <w:rFonts w:asciiTheme="minorHAnsi" w:eastAsiaTheme="majorEastAsia" w:hAnsiTheme="minorHAnsi" w:cstheme="minorHAnsi"/>
        </w:rPr>
        <w:t>eight</w:t>
      </w:r>
      <w:r>
        <w:rPr>
          <w:rFonts w:asciiTheme="minorHAnsi" w:eastAsiaTheme="majorEastAsia" w:hAnsiTheme="minorHAnsi" w:cstheme="minorHAnsi"/>
        </w:rPr>
        <w:t xml:space="preserve"> sections </w:t>
      </w:r>
      <w:r w:rsidR="006D364E" w:rsidRPr="00E14C82">
        <w:rPr>
          <w:rFonts w:asciiTheme="minorHAnsi" w:eastAsiaTheme="majorEastAsia" w:hAnsiTheme="minorHAnsi" w:cstheme="minorHAnsi"/>
        </w:rPr>
        <w:t xml:space="preserve">of this </w:t>
      </w:r>
      <w:r w:rsidR="00247AB6">
        <w:rPr>
          <w:rFonts w:asciiTheme="minorHAnsi" w:eastAsiaTheme="majorEastAsia" w:hAnsiTheme="minorHAnsi" w:cstheme="minorHAnsi"/>
        </w:rPr>
        <w:t xml:space="preserve">Implementation Plan provides </w:t>
      </w:r>
      <w:r w:rsidR="00FA02B0">
        <w:rPr>
          <w:rFonts w:asciiTheme="minorHAnsi" w:eastAsiaTheme="majorEastAsia" w:hAnsiTheme="minorHAnsi" w:cstheme="minorHAnsi"/>
        </w:rPr>
        <w:t>additional</w:t>
      </w:r>
      <w:r w:rsidR="006D364E" w:rsidRPr="00E14C82">
        <w:rPr>
          <w:rFonts w:asciiTheme="minorHAnsi" w:eastAsiaTheme="majorEastAsia" w:hAnsiTheme="minorHAnsi" w:cstheme="minorHAnsi"/>
        </w:rPr>
        <w:t xml:space="preserve"> </w:t>
      </w:r>
      <w:r w:rsidR="00B40FF8">
        <w:rPr>
          <w:rFonts w:asciiTheme="minorHAnsi" w:eastAsiaTheme="majorEastAsia" w:hAnsiTheme="minorHAnsi" w:cstheme="minorHAnsi"/>
        </w:rPr>
        <w:t xml:space="preserve">implementation </w:t>
      </w:r>
      <w:r w:rsidR="00FA02B0">
        <w:rPr>
          <w:rFonts w:asciiTheme="minorHAnsi" w:eastAsiaTheme="majorEastAsia" w:hAnsiTheme="minorHAnsi" w:cstheme="minorHAnsi"/>
        </w:rPr>
        <w:t xml:space="preserve">information </w:t>
      </w:r>
      <w:r w:rsidR="00B40FF8">
        <w:rPr>
          <w:rFonts w:asciiTheme="minorHAnsi" w:eastAsiaTheme="majorEastAsia" w:hAnsiTheme="minorHAnsi" w:cstheme="minorHAnsi"/>
        </w:rPr>
        <w:t>for</w:t>
      </w:r>
      <w:r w:rsidR="006D364E" w:rsidRPr="00E14C82">
        <w:rPr>
          <w:rFonts w:asciiTheme="minorHAnsi" w:eastAsiaTheme="majorEastAsia" w:hAnsiTheme="minorHAnsi" w:cstheme="minorHAnsi"/>
        </w:rPr>
        <w:t xml:space="preserve"> each investment area</w:t>
      </w:r>
      <w:r w:rsidR="00FA02B0">
        <w:rPr>
          <w:rFonts w:asciiTheme="minorHAnsi" w:eastAsiaTheme="majorEastAsia" w:hAnsiTheme="minorHAnsi" w:cstheme="minorHAnsi"/>
        </w:rPr>
        <w:t>,</w:t>
      </w:r>
      <w:r w:rsidR="006D364E" w:rsidRPr="00E14C82">
        <w:rPr>
          <w:rFonts w:asciiTheme="minorHAnsi" w:eastAsiaTheme="majorEastAsia" w:hAnsiTheme="minorHAnsi" w:cstheme="minorHAnsi"/>
        </w:rPr>
        <w:t xml:space="preserve"> inclu</w:t>
      </w:r>
      <w:r w:rsidR="00B40FF8">
        <w:rPr>
          <w:rFonts w:asciiTheme="minorHAnsi" w:eastAsiaTheme="majorEastAsia" w:hAnsiTheme="minorHAnsi" w:cstheme="minorHAnsi"/>
        </w:rPr>
        <w:t>ding</w:t>
      </w:r>
      <w:r w:rsidR="006D364E" w:rsidRPr="00E14C82">
        <w:rPr>
          <w:rFonts w:asciiTheme="minorHAnsi" w:eastAsiaTheme="majorEastAsia" w:hAnsiTheme="minorHAnsi" w:cstheme="minorHAnsi"/>
        </w:rPr>
        <w:t>:</w:t>
      </w:r>
    </w:p>
    <w:p w14:paraId="2570E901" w14:textId="2C2AEED0" w:rsidR="006D364E"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f</w:t>
      </w:r>
      <w:r w:rsidR="006D364E" w:rsidRPr="00E14C82">
        <w:rPr>
          <w:rFonts w:asciiTheme="minorHAnsi" w:eastAsiaTheme="majorEastAsia" w:hAnsiTheme="minorHAnsi" w:cstheme="minorHAnsi"/>
        </w:rPr>
        <w:t xml:space="preserve">unding </w:t>
      </w:r>
      <w:r>
        <w:rPr>
          <w:rFonts w:asciiTheme="minorHAnsi" w:eastAsiaTheme="majorEastAsia" w:hAnsiTheme="minorHAnsi" w:cstheme="minorHAnsi"/>
        </w:rPr>
        <w:t>a</w:t>
      </w:r>
      <w:r w:rsidR="006D364E" w:rsidRPr="00E14C82">
        <w:rPr>
          <w:rFonts w:asciiTheme="minorHAnsi" w:eastAsiaTheme="majorEastAsia" w:hAnsiTheme="minorHAnsi" w:cstheme="minorHAnsi"/>
        </w:rPr>
        <w:t>llocations</w:t>
      </w:r>
      <w:r w:rsidR="006239FD">
        <w:rPr>
          <w:rFonts w:asciiTheme="minorHAnsi" w:eastAsiaTheme="majorEastAsia" w:hAnsiTheme="minorHAnsi" w:cstheme="minorHAnsi"/>
        </w:rPr>
        <w:t xml:space="preserve"> for each strategy area</w:t>
      </w:r>
      <w:r>
        <w:rPr>
          <w:rFonts w:asciiTheme="minorHAnsi" w:eastAsiaTheme="majorEastAsia" w:hAnsiTheme="minorHAnsi" w:cstheme="minorHAnsi"/>
        </w:rPr>
        <w:t>;</w:t>
      </w:r>
      <w:r w:rsidR="006239FD">
        <w:rPr>
          <w:rFonts w:asciiTheme="minorHAnsi" w:eastAsiaTheme="majorEastAsia" w:hAnsiTheme="minorHAnsi" w:cstheme="minorHAnsi"/>
        </w:rPr>
        <w:t xml:space="preserve"> </w:t>
      </w:r>
    </w:p>
    <w:p w14:paraId="77A78B59" w14:textId="67AF39CF" w:rsidR="006D364E"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s</w:t>
      </w:r>
      <w:r w:rsidR="006E77F5" w:rsidRPr="00E14C82">
        <w:rPr>
          <w:rFonts w:asciiTheme="minorHAnsi" w:eastAsiaTheme="majorEastAsia" w:hAnsiTheme="minorHAnsi" w:cstheme="minorHAnsi"/>
        </w:rPr>
        <w:t xml:space="preserve">trategy </w:t>
      </w:r>
      <w:r w:rsidR="005D3E59" w:rsidRPr="00E14C82">
        <w:rPr>
          <w:rFonts w:asciiTheme="minorHAnsi" w:eastAsiaTheme="majorEastAsia" w:hAnsiTheme="minorHAnsi" w:cstheme="minorHAnsi"/>
        </w:rPr>
        <w:t xml:space="preserve">and </w:t>
      </w:r>
      <w:r>
        <w:rPr>
          <w:rFonts w:asciiTheme="minorHAnsi" w:eastAsiaTheme="majorEastAsia" w:hAnsiTheme="minorHAnsi" w:cstheme="minorHAnsi"/>
        </w:rPr>
        <w:t>p</w:t>
      </w:r>
      <w:r w:rsidR="005D3E59" w:rsidRPr="00E14C82">
        <w:rPr>
          <w:rFonts w:asciiTheme="minorHAnsi" w:eastAsiaTheme="majorEastAsia" w:hAnsiTheme="minorHAnsi" w:cstheme="minorHAnsi"/>
        </w:rPr>
        <w:t xml:space="preserve">rogram </w:t>
      </w:r>
      <w:r>
        <w:rPr>
          <w:rFonts w:asciiTheme="minorHAnsi" w:eastAsiaTheme="majorEastAsia" w:hAnsiTheme="minorHAnsi" w:cstheme="minorHAnsi"/>
        </w:rPr>
        <w:t>d</w:t>
      </w:r>
      <w:r w:rsidR="005D3E59" w:rsidRPr="00E14C82">
        <w:rPr>
          <w:rFonts w:asciiTheme="minorHAnsi" w:eastAsiaTheme="majorEastAsia" w:hAnsiTheme="minorHAnsi" w:cstheme="minorHAnsi"/>
        </w:rPr>
        <w:t>escriptions</w:t>
      </w:r>
      <w:r>
        <w:rPr>
          <w:rFonts w:asciiTheme="minorHAnsi" w:eastAsiaTheme="majorEastAsia" w:hAnsiTheme="minorHAnsi" w:cstheme="minorHAnsi"/>
        </w:rPr>
        <w:t>;</w:t>
      </w:r>
      <w:r w:rsidR="00186AD2">
        <w:rPr>
          <w:rFonts w:asciiTheme="minorHAnsi" w:eastAsiaTheme="majorEastAsia" w:hAnsiTheme="minorHAnsi" w:cstheme="minorHAnsi"/>
        </w:rPr>
        <w:t xml:space="preserve"> </w:t>
      </w:r>
    </w:p>
    <w:p w14:paraId="21660151" w14:textId="4D394D58" w:rsidR="00F23376"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r</w:t>
      </w:r>
      <w:r w:rsidR="00F23376" w:rsidRPr="00E14C82">
        <w:rPr>
          <w:rFonts w:asciiTheme="minorHAnsi" w:eastAsiaTheme="majorEastAsia" w:hAnsiTheme="minorHAnsi" w:cstheme="minorHAnsi"/>
        </w:rPr>
        <w:t>a</w:t>
      </w:r>
      <w:r w:rsidR="00C14011" w:rsidRPr="00E14C82">
        <w:rPr>
          <w:rFonts w:asciiTheme="minorHAnsi" w:eastAsiaTheme="majorEastAsia" w:hAnsiTheme="minorHAnsi" w:cstheme="minorHAnsi"/>
        </w:rPr>
        <w:t xml:space="preserve">tionale </w:t>
      </w:r>
      <w:r w:rsidR="00F23376" w:rsidRPr="00E14C82">
        <w:rPr>
          <w:rFonts w:asciiTheme="minorHAnsi" w:eastAsiaTheme="majorEastAsia" w:hAnsiTheme="minorHAnsi" w:cstheme="minorHAnsi"/>
        </w:rPr>
        <w:t xml:space="preserve">for </w:t>
      </w:r>
      <w:r w:rsidR="00F23376" w:rsidRPr="004E1A49">
        <w:rPr>
          <w:rFonts w:asciiTheme="minorHAnsi" w:eastAsiaTheme="majorEastAsia" w:hAnsiTheme="minorHAnsi" w:cstheme="minorHAnsi"/>
        </w:rPr>
        <w:t>new</w:t>
      </w:r>
      <w:r w:rsidR="00F23376" w:rsidRPr="00FA02B0">
        <w:rPr>
          <w:rFonts w:asciiTheme="minorHAnsi" w:eastAsiaTheme="majorEastAsia" w:hAnsiTheme="minorHAnsi" w:cstheme="minorHAnsi"/>
          <w:iCs/>
        </w:rPr>
        <w:t xml:space="preserve"> or </w:t>
      </w:r>
      <w:r w:rsidR="00BC4A8F" w:rsidRPr="004E1A49">
        <w:rPr>
          <w:rFonts w:asciiTheme="minorHAnsi" w:eastAsiaTheme="majorEastAsia" w:hAnsiTheme="minorHAnsi" w:cstheme="minorHAnsi"/>
        </w:rPr>
        <w:t>expanding</w:t>
      </w:r>
      <w:r w:rsidR="00BC4A8F" w:rsidRPr="00FA02B0">
        <w:rPr>
          <w:rFonts w:asciiTheme="minorHAnsi" w:eastAsiaTheme="majorEastAsia" w:hAnsiTheme="minorHAnsi" w:cstheme="minorHAnsi"/>
          <w:iCs/>
        </w:rPr>
        <w:t xml:space="preserve"> investments</w:t>
      </w:r>
      <w:r w:rsidR="002600C4">
        <w:rPr>
          <w:rFonts w:asciiTheme="minorHAnsi" w:eastAsiaTheme="majorEastAsia" w:hAnsiTheme="minorHAnsi" w:cstheme="minorHAnsi"/>
        </w:rPr>
        <w:t xml:space="preserve"> with the strategies</w:t>
      </w:r>
      <w:r>
        <w:rPr>
          <w:rFonts w:asciiTheme="minorHAnsi" w:eastAsiaTheme="majorEastAsia" w:hAnsiTheme="minorHAnsi" w:cstheme="minorHAnsi"/>
        </w:rPr>
        <w:t>;</w:t>
      </w:r>
      <w:r w:rsidR="002600C4">
        <w:rPr>
          <w:rFonts w:asciiTheme="minorHAnsi" w:eastAsiaTheme="majorEastAsia" w:hAnsiTheme="minorHAnsi" w:cstheme="minorHAnsi"/>
        </w:rPr>
        <w:t xml:space="preserve"> </w:t>
      </w:r>
    </w:p>
    <w:p w14:paraId="1532BEEC" w14:textId="355A25E2" w:rsidR="0013113D"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a</w:t>
      </w:r>
      <w:r w:rsidR="00364947" w:rsidRPr="00E14C82">
        <w:rPr>
          <w:rFonts w:asciiTheme="minorHAnsi" w:eastAsiaTheme="majorEastAsia" w:hAnsiTheme="minorHAnsi" w:cstheme="minorHAnsi"/>
        </w:rPr>
        <w:t xml:space="preserve">pproximate </w:t>
      </w:r>
      <w:r>
        <w:rPr>
          <w:rFonts w:asciiTheme="minorHAnsi" w:eastAsiaTheme="majorEastAsia" w:hAnsiTheme="minorHAnsi" w:cstheme="minorHAnsi"/>
        </w:rPr>
        <w:t>s</w:t>
      </w:r>
      <w:r w:rsidR="00364947" w:rsidRPr="00E14C82">
        <w:rPr>
          <w:rFonts w:asciiTheme="minorHAnsi" w:eastAsiaTheme="majorEastAsia" w:hAnsiTheme="minorHAnsi" w:cstheme="minorHAnsi"/>
        </w:rPr>
        <w:t>cope</w:t>
      </w:r>
      <w:r>
        <w:rPr>
          <w:rFonts w:asciiTheme="minorHAnsi" w:eastAsiaTheme="majorEastAsia" w:hAnsiTheme="minorHAnsi" w:cstheme="minorHAnsi"/>
        </w:rPr>
        <w:t>; and</w:t>
      </w:r>
    </w:p>
    <w:p w14:paraId="2CE14D34" w14:textId="74888CF2" w:rsidR="00C27125"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a</w:t>
      </w:r>
      <w:r w:rsidR="00C14011" w:rsidRPr="00E14C82">
        <w:rPr>
          <w:rFonts w:asciiTheme="minorHAnsi" w:eastAsiaTheme="majorEastAsia" w:hAnsiTheme="minorHAnsi" w:cstheme="minorHAnsi"/>
        </w:rPr>
        <w:t xml:space="preserve">nticipated </w:t>
      </w:r>
      <w:r>
        <w:rPr>
          <w:rFonts w:asciiTheme="minorHAnsi" w:eastAsiaTheme="majorEastAsia" w:hAnsiTheme="minorHAnsi" w:cstheme="minorHAnsi"/>
        </w:rPr>
        <w:t>t</w:t>
      </w:r>
      <w:r w:rsidR="00C14011" w:rsidRPr="00E14C82">
        <w:rPr>
          <w:rFonts w:asciiTheme="minorHAnsi" w:eastAsiaTheme="majorEastAsia" w:hAnsiTheme="minorHAnsi" w:cstheme="minorHAnsi"/>
        </w:rPr>
        <w:t>imeline</w:t>
      </w:r>
      <w:r w:rsidR="00242E03">
        <w:rPr>
          <w:rFonts w:asciiTheme="minorHAnsi" w:eastAsiaTheme="majorEastAsia" w:hAnsiTheme="minorHAnsi" w:cstheme="minorHAnsi"/>
        </w:rPr>
        <w:t xml:space="preserve"> for implementation. </w:t>
      </w:r>
    </w:p>
    <w:p w14:paraId="23087111" w14:textId="77777777" w:rsidR="001F0B3B" w:rsidRPr="001F0B3B" w:rsidRDefault="001F0B3B" w:rsidP="001F0B3B">
      <w:pPr>
        <w:rPr>
          <w:rFonts w:asciiTheme="minorHAnsi" w:eastAsiaTheme="majorEastAsia" w:hAnsiTheme="minorHAnsi" w:cstheme="minorHAnsi"/>
        </w:rPr>
      </w:pPr>
    </w:p>
    <w:p w14:paraId="41D93850" w14:textId="472FC75D" w:rsidR="00B81E90" w:rsidRDefault="007D01EF" w:rsidP="00025030">
      <w:pPr>
        <w:pStyle w:val="Heading2"/>
        <w:numPr>
          <w:ilvl w:val="0"/>
          <w:numId w:val="26"/>
        </w:numPr>
      </w:pPr>
      <w:bookmarkStart w:id="42" w:name="_Child_Care"/>
      <w:bookmarkStart w:id="43" w:name="_Toc85188545"/>
      <w:bookmarkEnd w:id="41"/>
      <w:bookmarkEnd w:id="42"/>
      <w:r>
        <w:t>C</w:t>
      </w:r>
      <w:r w:rsidR="00061CFE">
        <w:t>hild Care</w:t>
      </w:r>
      <w:bookmarkEnd w:id="43"/>
    </w:p>
    <w:tbl>
      <w:tblPr>
        <w:tblStyle w:val="TableGrid"/>
        <w:tblpPr w:leftFromText="180" w:rightFromText="180" w:vertAnchor="text" w:horzAnchor="margin" w:tblpY="111"/>
        <w:tblW w:w="9690" w:type="dxa"/>
        <w:tblLook w:val="04A0" w:firstRow="1" w:lastRow="0" w:firstColumn="1" w:lastColumn="0" w:noHBand="0" w:noVBand="1"/>
      </w:tblPr>
      <w:tblGrid>
        <w:gridCol w:w="9690"/>
      </w:tblGrid>
      <w:tr w:rsidR="00917BE1" w:rsidRPr="00D03F1F" w14:paraId="34FFBB05" w14:textId="77777777" w:rsidTr="005E6FD3">
        <w:trPr>
          <w:trHeight w:val="391"/>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346FA5D" w14:textId="597718E9" w:rsidR="00F13F3A" w:rsidRPr="009B23A1" w:rsidRDefault="00337310" w:rsidP="00C34112">
            <w:pPr>
              <w:contextualSpacing/>
              <w:rPr>
                <w:rFonts w:eastAsia="Calibri" w:cs="Calibri"/>
                <w:b/>
                <w:color w:val="000000" w:themeColor="text1"/>
                <w:sz w:val="28"/>
                <w:szCs w:val="28"/>
              </w:rPr>
            </w:pPr>
            <w:r>
              <w:rPr>
                <w:rFonts w:eastAsia="Calibri" w:cs="Calibri"/>
                <w:b/>
                <w:color w:val="000000" w:themeColor="text1"/>
                <w:sz w:val="28"/>
                <w:szCs w:val="28"/>
              </w:rPr>
              <w:t xml:space="preserve">King County </w:t>
            </w:r>
            <w:r w:rsidR="00917BE1" w:rsidRPr="009B23A1">
              <w:rPr>
                <w:rFonts w:eastAsia="Calibri" w:cs="Calibri"/>
                <w:b/>
                <w:color w:val="000000" w:themeColor="text1"/>
                <w:sz w:val="28"/>
                <w:szCs w:val="28"/>
              </w:rPr>
              <w:t>Child Care Subsid</w:t>
            </w:r>
            <w:r>
              <w:rPr>
                <w:rFonts w:eastAsia="Calibri" w:cs="Calibri"/>
                <w:b/>
                <w:color w:val="000000" w:themeColor="text1"/>
                <w:sz w:val="28"/>
                <w:szCs w:val="28"/>
              </w:rPr>
              <w:t>y Program</w:t>
            </w:r>
            <w:r w:rsidR="00917BE1" w:rsidRPr="009B23A1">
              <w:rPr>
                <w:rFonts w:eastAsia="Calibri" w:cs="Calibri"/>
                <w:b/>
                <w:color w:val="000000" w:themeColor="text1"/>
                <w:sz w:val="28"/>
                <w:szCs w:val="28"/>
              </w:rPr>
              <w:t xml:space="preserve"> and </w:t>
            </w:r>
            <w:r w:rsidR="00DC53C0">
              <w:rPr>
                <w:rFonts w:eastAsia="Calibri" w:cs="Calibri"/>
                <w:b/>
                <w:color w:val="000000" w:themeColor="text1"/>
                <w:sz w:val="28"/>
                <w:szCs w:val="28"/>
              </w:rPr>
              <w:t>Workforce</w:t>
            </w:r>
            <w:r w:rsidR="00917BE1" w:rsidRPr="009B23A1">
              <w:rPr>
                <w:rFonts w:eastAsia="Calibri" w:cs="Calibri"/>
                <w:b/>
                <w:color w:val="000000" w:themeColor="text1"/>
                <w:sz w:val="28"/>
                <w:szCs w:val="28"/>
              </w:rPr>
              <w:t xml:space="preserve"> Demonstration Project</w:t>
            </w:r>
          </w:p>
        </w:tc>
      </w:tr>
    </w:tbl>
    <w:tbl>
      <w:tblPr>
        <w:tblW w:w="9450" w:type="dxa"/>
        <w:tblLook w:val="04A0" w:firstRow="1" w:lastRow="0" w:firstColumn="1" w:lastColumn="0" w:noHBand="0" w:noVBand="1"/>
      </w:tblPr>
      <w:tblGrid>
        <w:gridCol w:w="951"/>
        <w:gridCol w:w="1229"/>
        <w:gridCol w:w="1229"/>
        <w:gridCol w:w="1229"/>
        <w:gridCol w:w="1229"/>
        <w:gridCol w:w="1229"/>
        <w:gridCol w:w="1229"/>
        <w:gridCol w:w="1445"/>
      </w:tblGrid>
      <w:tr w:rsidR="0030265A" w:rsidRPr="0030265A" w14:paraId="0DB30704" w14:textId="77777777" w:rsidTr="0011003D">
        <w:trPr>
          <w:trHeight w:val="199"/>
        </w:trPr>
        <w:tc>
          <w:tcPr>
            <w:tcW w:w="9450" w:type="dxa"/>
            <w:gridSpan w:val="8"/>
            <w:tcBorders>
              <w:top w:val="nil"/>
              <w:left w:val="nil"/>
              <w:bottom w:val="single" w:sz="12" w:space="0" w:color="FFD966" w:themeColor="accent4" w:themeTint="99"/>
              <w:right w:val="nil"/>
            </w:tcBorders>
            <w:shd w:val="clear" w:color="auto" w:fill="auto"/>
            <w:noWrap/>
            <w:vAlign w:val="bottom"/>
            <w:hideMark/>
          </w:tcPr>
          <w:p w14:paraId="38D6168A" w14:textId="77777777" w:rsidR="00FC5432" w:rsidRDefault="00FC5432" w:rsidP="0030265A">
            <w:pPr>
              <w:spacing w:line="240" w:lineRule="auto"/>
              <w:rPr>
                <w:rFonts w:eastAsia="Times New Roman" w:cs="Calibri"/>
                <w:b/>
                <w:bCs/>
                <w:i/>
                <w:iCs/>
                <w:color w:val="000000"/>
              </w:rPr>
            </w:pPr>
          </w:p>
          <w:p w14:paraId="1046F85F" w14:textId="77777777" w:rsidR="0030265A" w:rsidRPr="0030265A" w:rsidRDefault="0030265A" w:rsidP="0030265A">
            <w:pPr>
              <w:spacing w:line="240" w:lineRule="auto"/>
              <w:rPr>
                <w:rFonts w:eastAsia="Times New Roman" w:cs="Calibri"/>
                <w:b/>
                <w:bCs/>
                <w:i/>
                <w:iCs/>
                <w:color w:val="000000"/>
              </w:rPr>
            </w:pPr>
            <w:r w:rsidRPr="0030265A">
              <w:rPr>
                <w:rFonts w:eastAsia="Times New Roman" w:cs="Calibri"/>
                <w:b/>
                <w:bCs/>
                <w:i/>
                <w:iCs/>
                <w:color w:val="000000"/>
              </w:rPr>
              <w:t>Funding Estimate:</w:t>
            </w:r>
          </w:p>
        </w:tc>
      </w:tr>
      <w:tr w:rsidR="00562F80" w:rsidRPr="0030265A" w14:paraId="03BFF0FB" w14:textId="77777777" w:rsidTr="0011003D">
        <w:trPr>
          <w:trHeight w:val="266"/>
        </w:trPr>
        <w:tc>
          <w:tcPr>
            <w:tcW w:w="951"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D9E1F2"/>
            <w:noWrap/>
            <w:vAlign w:val="center"/>
            <w:hideMark/>
          </w:tcPr>
          <w:p w14:paraId="2820E844" w14:textId="77777777" w:rsidR="0030265A" w:rsidRPr="0030265A" w:rsidRDefault="0030265A" w:rsidP="0030265A">
            <w:pPr>
              <w:spacing w:line="240" w:lineRule="auto"/>
              <w:rPr>
                <w:rFonts w:eastAsia="Times New Roman" w:cs="Calibri"/>
                <w:b/>
                <w:bCs/>
                <w:i/>
                <w:iCs/>
              </w:rPr>
            </w:pPr>
            <w:r w:rsidRPr="0030265A">
              <w:rPr>
                <w:rFonts w:eastAsia="Times New Roman" w:cs="Calibri"/>
                <w:b/>
                <w:bCs/>
                <w:i/>
                <w:iCs/>
              </w:rPr>
              <w:t>Year</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117B3AF1" w14:textId="77777777" w:rsidR="0030265A" w:rsidRPr="0030265A" w:rsidRDefault="0030265A" w:rsidP="0030265A">
            <w:pPr>
              <w:spacing w:line="240" w:lineRule="auto"/>
              <w:jc w:val="right"/>
              <w:rPr>
                <w:rFonts w:eastAsia="Times New Roman" w:cs="Calibri"/>
              </w:rPr>
            </w:pPr>
            <w:r w:rsidRPr="0030265A">
              <w:rPr>
                <w:rFonts w:eastAsia="Times New Roman" w:cs="Calibri"/>
              </w:rPr>
              <w:t>2022</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F90F8E8" w14:textId="77777777" w:rsidR="0030265A" w:rsidRPr="0030265A" w:rsidRDefault="0030265A" w:rsidP="0030265A">
            <w:pPr>
              <w:spacing w:line="240" w:lineRule="auto"/>
              <w:jc w:val="right"/>
              <w:rPr>
                <w:rFonts w:eastAsia="Times New Roman" w:cs="Calibri"/>
              </w:rPr>
            </w:pPr>
            <w:r w:rsidRPr="0030265A">
              <w:rPr>
                <w:rFonts w:eastAsia="Times New Roman" w:cs="Calibri"/>
              </w:rPr>
              <w:t>2023</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7A9AF74" w14:textId="77777777" w:rsidR="0030265A" w:rsidRPr="0030265A" w:rsidRDefault="0030265A" w:rsidP="0030265A">
            <w:pPr>
              <w:spacing w:line="240" w:lineRule="auto"/>
              <w:jc w:val="right"/>
              <w:rPr>
                <w:rFonts w:eastAsia="Times New Roman" w:cs="Calibri"/>
              </w:rPr>
            </w:pPr>
            <w:r w:rsidRPr="0030265A">
              <w:rPr>
                <w:rFonts w:eastAsia="Times New Roman" w:cs="Calibri"/>
              </w:rPr>
              <w:t>2024</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3BCC073" w14:textId="77777777" w:rsidR="0030265A" w:rsidRPr="0030265A" w:rsidRDefault="0030265A" w:rsidP="0030265A">
            <w:pPr>
              <w:spacing w:line="240" w:lineRule="auto"/>
              <w:jc w:val="right"/>
              <w:rPr>
                <w:rFonts w:eastAsia="Times New Roman" w:cs="Calibri"/>
              </w:rPr>
            </w:pPr>
            <w:r w:rsidRPr="0030265A">
              <w:rPr>
                <w:rFonts w:eastAsia="Times New Roman" w:cs="Calibri"/>
              </w:rPr>
              <w:t>2025</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7B2F9DF1" w14:textId="77777777" w:rsidR="0030265A" w:rsidRPr="0030265A" w:rsidRDefault="0030265A" w:rsidP="0030265A">
            <w:pPr>
              <w:spacing w:line="240" w:lineRule="auto"/>
              <w:jc w:val="right"/>
              <w:rPr>
                <w:rFonts w:eastAsia="Times New Roman" w:cs="Calibri"/>
              </w:rPr>
            </w:pPr>
            <w:r w:rsidRPr="0030265A">
              <w:rPr>
                <w:rFonts w:eastAsia="Times New Roman" w:cs="Calibri"/>
              </w:rPr>
              <w:t>2026</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6CCB2028" w14:textId="77777777" w:rsidR="0030265A" w:rsidRPr="0030265A" w:rsidRDefault="0030265A" w:rsidP="0030265A">
            <w:pPr>
              <w:spacing w:line="240" w:lineRule="auto"/>
              <w:jc w:val="right"/>
              <w:rPr>
                <w:rFonts w:eastAsia="Times New Roman" w:cs="Calibri"/>
              </w:rPr>
            </w:pPr>
            <w:r w:rsidRPr="0030265A">
              <w:rPr>
                <w:rFonts w:eastAsia="Times New Roman" w:cs="Calibri"/>
              </w:rPr>
              <w:t>2027</w:t>
            </w:r>
          </w:p>
        </w:tc>
        <w:tc>
          <w:tcPr>
            <w:tcW w:w="1125" w:type="dxa"/>
            <w:tcBorders>
              <w:top w:val="nil"/>
              <w:left w:val="nil"/>
              <w:bottom w:val="single" w:sz="8" w:space="0" w:color="FFD966" w:themeColor="accent4" w:themeTint="99"/>
              <w:right w:val="single" w:sz="12" w:space="0" w:color="FFD966" w:themeColor="accent4" w:themeTint="99"/>
            </w:tcBorders>
            <w:shd w:val="clear" w:color="auto" w:fill="D9E1F2"/>
            <w:noWrap/>
            <w:vAlign w:val="center"/>
            <w:hideMark/>
          </w:tcPr>
          <w:p w14:paraId="479D973E" w14:textId="77777777" w:rsidR="0030265A" w:rsidRPr="0030265A" w:rsidRDefault="0030265A" w:rsidP="0030265A">
            <w:pPr>
              <w:spacing w:line="240" w:lineRule="auto"/>
              <w:jc w:val="right"/>
              <w:rPr>
                <w:rFonts w:eastAsia="Times New Roman" w:cs="Calibri"/>
                <w:b/>
                <w:bCs/>
                <w:i/>
                <w:iCs/>
              </w:rPr>
            </w:pPr>
            <w:r w:rsidRPr="0030265A">
              <w:rPr>
                <w:rFonts w:eastAsia="Times New Roman" w:cs="Calibri"/>
                <w:b/>
                <w:bCs/>
                <w:i/>
                <w:iCs/>
              </w:rPr>
              <w:t>Total</w:t>
            </w:r>
          </w:p>
        </w:tc>
      </w:tr>
      <w:tr w:rsidR="00562F80" w:rsidRPr="0030265A" w14:paraId="4C77A1F6" w14:textId="77777777" w:rsidTr="0011003D">
        <w:trPr>
          <w:trHeight w:val="266"/>
        </w:trPr>
        <w:tc>
          <w:tcPr>
            <w:tcW w:w="951"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noWrap/>
            <w:vAlign w:val="center"/>
            <w:hideMark/>
          </w:tcPr>
          <w:p w14:paraId="758C7D49" w14:textId="77777777" w:rsidR="0030265A" w:rsidRPr="0030265A" w:rsidRDefault="0030265A" w:rsidP="0030265A">
            <w:pPr>
              <w:spacing w:line="240" w:lineRule="auto"/>
              <w:rPr>
                <w:rFonts w:eastAsia="Times New Roman" w:cs="Calibri"/>
                <w:b/>
                <w:bCs/>
                <w:i/>
                <w:iCs/>
                <w:color w:val="000000"/>
              </w:rPr>
            </w:pPr>
            <w:r w:rsidRPr="0030265A">
              <w:rPr>
                <w:rFonts w:eastAsia="Times New Roman" w:cs="Calibri"/>
                <w:b/>
                <w:bCs/>
                <w:i/>
                <w:iCs/>
                <w:color w:val="000000"/>
              </w:rPr>
              <w:t>Amount</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29AF4AE3" w14:textId="6CE96595"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$22,</w:t>
            </w:r>
            <w:r w:rsidR="00C620CB">
              <w:rPr>
                <w:rFonts w:eastAsia="Times New Roman" w:cs="Calibri"/>
                <w:color w:val="000000"/>
                <w:sz w:val="20"/>
                <w:szCs w:val="20"/>
              </w:rPr>
              <w:t>26</w:t>
            </w:r>
            <w:r w:rsidRPr="0030265A">
              <w:rPr>
                <w:rFonts w:eastAsia="Times New Roman" w:cs="Calibri"/>
                <w:color w:val="000000"/>
                <w:sz w:val="20"/>
                <w:szCs w:val="20"/>
              </w:rPr>
              <w:t xml:space="preserve">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4D8B98F"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$31,136,000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9538DA6"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$32,175,000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256DE5F5"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$35,145,000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041BBAE1"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$38,491,000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6DCF92B"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$39,135,000 </w:t>
            </w:r>
          </w:p>
        </w:tc>
        <w:tc>
          <w:tcPr>
            <w:tcW w:w="1125"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564FBFA3" w14:textId="603EA1F8" w:rsidR="0030265A" w:rsidRPr="0030265A" w:rsidRDefault="0030265A" w:rsidP="0030265A">
            <w:pPr>
              <w:spacing w:line="240" w:lineRule="auto"/>
              <w:jc w:val="right"/>
              <w:rPr>
                <w:rFonts w:eastAsia="Times New Roman" w:cs="Calibri"/>
                <w:b/>
                <w:bCs/>
                <w:color w:val="000000"/>
              </w:rPr>
            </w:pPr>
            <w:r w:rsidRPr="0030265A">
              <w:rPr>
                <w:rFonts w:eastAsia="Times New Roman" w:cs="Calibri"/>
                <w:b/>
                <w:bCs/>
                <w:color w:val="000000"/>
              </w:rPr>
              <w:t>$199,</w:t>
            </w:r>
            <w:r w:rsidR="00C620CB">
              <w:rPr>
                <w:rFonts w:eastAsia="Times New Roman" w:cs="Calibri"/>
                <w:b/>
                <w:bCs/>
                <w:color w:val="000000"/>
              </w:rPr>
              <w:t>341</w:t>
            </w:r>
            <w:r w:rsidRPr="0030265A">
              <w:rPr>
                <w:rFonts w:eastAsia="Times New Roman" w:cs="Calibri"/>
                <w:b/>
                <w:bCs/>
                <w:color w:val="000000"/>
              </w:rPr>
              <w:t xml:space="preserve">,000 </w:t>
            </w:r>
          </w:p>
        </w:tc>
      </w:tr>
    </w:tbl>
    <w:p w14:paraId="65389585" w14:textId="77777777" w:rsidR="000814CC" w:rsidRDefault="000814CC" w:rsidP="00917BE1">
      <w:pPr>
        <w:contextualSpacing/>
        <w:rPr>
          <w:rFonts w:cs="Calibri"/>
        </w:rPr>
      </w:pPr>
    </w:p>
    <w:p w14:paraId="3EFEE62B" w14:textId="0400AB8E" w:rsidR="00917BE1" w:rsidRDefault="00917BE1" w:rsidP="00917BE1">
      <w:pPr>
        <w:contextualSpacing/>
        <w:rPr>
          <w:rFonts w:cs="Calibri"/>
        </w:rPr>
      </w:pPr>
      <w:bookmarkStart w:id="44" w:name="_Hlk74394931"/>
      <w:bookmarkStart w:id="45" w:name="_Hlk74686320"/>
      <w:r w:rsidRPr="00D03F1F">
        <w:rPr>
          <w:rFonts w:cs="Calibri"/>
          <w:i/>
        </w:rPr>
        <w:t>Best Starts</w:t>
      </w:r>
      <w:r w:rsidRPr="00D03F1F">
        <w:rPr>
          <w:rFonts w:cs="Calibri"/>
        </w:rPr>
        <w:t xml:space="preserve"> funding provides a new opportunity for King County to lead in strengthening child care as critical infrastructure. </w:t>
      </w:r>
      <w:r w:rsidRPr="00D03F1F">
        <w:rPr>
          <w:rFonts w:cs="Calibri"/>
          <w:i/>
        </w:rPr>
        <w:t>Best Starts</w:t>
      </w:r>
      <w:r w:rsidRPr="00D03F1F">
        <w:rPr>
          <w:rFonts w:cs="Calibri"/>
        </w:rPr>
        <w:t xml:space="preserve"> </w:t>
      </w:r>
      <w:r>
        <w:rPr>
          <w:rFonts w:cs="Calibri"/>
        </w:rPr>
        <w:t>will</w:t>
      </w:r>
      <w:r w:rsidRPr="00D03F1F" w:rsidDel="0061497F">
        <w:rPr>
          <w:rFonts w:cs="Calibri"/>
        </w:rPr>
        <w:t xml:space="preserve"> </w:t>
      </w:r>
      <w:r w:rsidRPr="43B6473A">
        <w:rPr>
          <w:rFonts w:cs="Calibri"/>
        </w:rPr>
        <w:t>expand</w:t>
      </w:r>
      <w:r w:rsidRPr="00D03F1F">
        <w:rPr>
          <w:rFonts w:cs="Calibri"/>
        </w:rPr>
        <w:t xml:space="preserve"> access </w:t>
      </w:r>
      <w:r w:rsidR="00362508">
        <w:rPr>
          <w:rFonts w:cs="Calibri"/>
        </w:rPr>
        <w:t xml:space="preserve">to care </w:t>
      </w:r>
      <w:r w:rsidRPr="00D03F1F">
        <w:rPr>
          <w:rFonts w:cs="Calibri"/>
        </w:rPr>
        <w:t xml:space="preserve">for children and their </w:t>
      </w:r>
      <w:r w:rsidR="00BB55CD">
        <w:t xml:space="preserve">families </w:t>
      </w:r>
      <w:r w:rsidR="009A0259">
        <w:t xml:space="preserve">just </w:t>
      </w:r>
      <w:r w:rsidR="0098662B">
        <w:t>above the</w:t>
      </w:r>
      <w:r w:rsidR="00BB55CD">
        <w:t xml:space="preserve"> eligibility </w:t>
      </w:r>
      <w:r w:rsidR="0098662B">
        <w:t xml:space="preserve">threshold </w:t>
      </w:r>
      <w:r w:rsidR="00BB55CD">
        <w:t>for existing federal, state, or local subsidy programs</w:t>
      </w:r>
      <w:r w:rsidR="00991B36">
        <w:t>, those</w:t>
      </w:r>
      <w:r w:rsidR="00BB55CD" w:rsidDel="00991B36">
        <w:t xml:space="preserve"> </w:t>
      </w:r>
      <w:r w:rsidR="00BB55CD">
        <w:t>categorically ineligible for those programs</w:t>
      </w:r>
      <w:r w:rsidR="00991B36">
        <w:t xml:space="preserve"> despite meeting income eligibility criteria,</w:t>
      </w:r>
      <w:r w:rsidR="00BB55CD">
        <w:t xml:space="preserve"> or those </w:t>
      </w:r>
      <w:r w:rsidR="00991B36">
        <w:t xml:space="preserve">for whom </w:t>
      </w:r>
      <w:r w:rsidR="00BB55CD">
        <w:t>other subsidies are insufficient to make care affordable</w:t>
      </w:r>
      <w:r w:rsidR="00226904">
        <w:t>.</w:t>
      </w:r>
      <w:r w:rsidR="00BB55CD">
        <w:t xml:space="preserve"> </w:t>
      </w:r>
      <w:r w:rsidRPr="43B6473A">
        <w:rPr>
          <w:rFonts w:cs="Calibri"/>
        </w:rPr>
        <w:t>Funding will</w:t>
      </w:r>
      <w:r w:rsidRPr="00D03F1F" w:rsidDel="0008014E">
        <w:rPr>
          <w:rFonts w:cs="Calibri"/>
        </w:rPr>
        <w:t xml:space="preserve"> </w:t>
      </w:r>
      <w:r>
        <w:rPr>
          <w:rFonts w:cs="Calibri"/>
        </w:rPr>
        <w:t xml:space="preserve">also </w:t>
      </w:r>
      <w:r w:rsidRPr="00D03F1F">
        <w:rPr>
          <w:rFonts w:cs="Calibri"/>
        </w:rPr>
        <w:t>support investments in the child care workforce</w:t>
      </w:r>
      <w:r w:rsidRPr="1A4AFED7">
        <w:rPr>
          <w:rFonts w:cs="Calibri"/>
        </w:rPr>
        <w:t xml:space="preserve"> through a wage boost demonstration project</w:t>
      </w:r>
      <w:r w:rsidRPr="00D03F1F">
        <w:rPr>
          <w:rFonts w:cs="Calibri"/>
        </w:rPr>
        <w:t xml:space="preserve">, with the intent of recognizing child care providers’ contributions, improving employee retention, and increasing continuity of care and quality in child care settings. </w:t>
      </w:r>
    </w:p>
    <w:bookmarkEnd w:id="44"/>
    <w:p w14:paraId="53D0CCDF" w14:textId="77777777" w:rsidR="00917BE1" w:rsidRDefault="00917BE1" w:rsidP="00917BE1">
      <w:pPr>
        <w:contextualSpacing/>
        <w:rPr>
          <w:rFonts w:eastAsia="Calibri" w:cs="Calibri"/>
          <w:b/>
          <w:bCs/>
          <w:color w:val="000000" w:themeColor="text1"/>
        </w:rPr>
      </w:pPr>
    </w:p>
    <w:p w14:paraId="0C506B45" w14:textId="6E663DE3" w:rsidR="00917BE1" w:rsidRPr="00A45926" w:rsidRDefault="00337310" w:rsidP="00A45926">
      <w:pPr>
        <w:rPr>
          <w:b/>
          <w:bCs/>
        </w:rPr>
      </w:pPr>
      <w:r>
        <w:rPr>
          <w:b/>
          <w:bCs/>
        </w:rPr>
        <w:t xml:space="preserve">King County </w:t>
      </w:r>
      <w:r w:rsidR="00917BE1" w:rsidRPr="00A45926">
        <w:rPr>
          <w:b/>
          <w:bCs/>
        </w:rPr>
        <w:t>Child Care Subsidy Program</w:t>
      </w:r>
    </w:p>
    <w:p w14:paraId="38BCA2BB" w14:textId="77777777" w:rsidR="00BD6FB7" w:rsidRDefault="00BD6FB7" w:rsidP="00917BE1">
      <w:pPr>
        <w:rPr>
          <w:rFonts w:eastAsia="Calibri" w:cs="Calibri"/>
          <w:b/>
          <w:bCs/>
          <w:color w:val="000000" w:themeColor="text1"/>
        </w:rPr>
      </w:pPr>
    </w:p>
    <w:p w14:paraId="042FEAE5" w14:textId="5B61245B" w:rsidR="00917BE1" w:rsidRPr="005A6BA7" w:rsidRDefault="00B850C4" w:rsidP="00917BE1">
      <w:pPr>
        <w:rPr>
          <w:rFonts w:eastAsia="Calibri" w:cs="Calibri"/>
          <w:b/>
          <w:bCs/>
          <w:color w:val="000000" w:themeColor="text1"/>
        </w:rPr>
      </w:pPr>
      <w:r>
        <w:rPr>
          <w:rFonts w:eastAsia="Calibri" w:cs="Calibri"/>
          <w:b/>
          <w:bCs/>
          <w:color w:val="000000" w:themeColor="text1"/>
        </w:rPr>
        <w:t>Strategy</w:t>
      </w:r>
      <w:r w:rsidR="00917BE1" w:rsidRPr="005A6BA7">
        <w:rPr>
          <w:rFonts w:eastAsia="Calibri" w:cs="Calibri"/>
          <w:b/>
          <w:bCs/>
          <w:color w:val="000000" w:themeColor="text1"/>
        </w:rPr>
        <w:t xml:space="preserve"> Description:</w:t>
      </w:r>
    </w:p>
    <w:p w14:paraId="6058BEB4" w14:textId="4669D049" w:rsidR="005300FB" w:rsidRDefault="00917BE1" w:rsidP="00917BE1">
      <w:pPr>
        <w:rPr>
          <w:rFonts w:eastAsia="Calibri" w:cs="Calibri"/>
          <w:color w:val="000000" w:themeColor="text1"/>
        </w:rPr>
      </w:pPr>
      <w:r w:rsidRPr="71D2A87E">
        <w:rPr>
          <w:rFonts w:eastAsia="Calibri" w:cs="Calibri"/>
          <w:i/>
          <w:iCs/>
          <w:color w:val="000000" w:themeColor="text1"/>
        </w:rPr>
        <w:t>Best Starts for Kids</w:t>
      </w:r>
      <w:r w:rsidRPr="71D2A87E">
        <w:rPr>
          <w:rFonts w:eastAsia="Calibri" w:cs="Calibri"/>
          <w:color w:val="000000" w:themeColor="text1"/>
        </w:rPr>
        <w:t xml:space="preserve"> funding will support a subsidy program to expand access to affordable </w:t>
      </w:r>
      <w:r>
        <w:rPr>
          <w:rFonts w:eastAsia="Calibri" w:cs="Calibri"/>
          <w:color w:val="000000" w:themeColor="text1"/>
        </w:rPr>
        <w:t xml:space="preserve">and high quality </w:t>
      </w:r>
      <w:r w:rsidRPr="71D2A87E">
        <w:rPr>
          <w:rFonts w:eastAsia="Calibri" w:cs="Calibri"/>
          <w:color w:val="000000" w:themeColor="text1"/>
        </w:rPr>
        <w:t>child care for lower</w:t>
      </w:r>
      <w:r w:rsidR="00BC6BDD">
        <w:rPr>
          <w:rFonts w:eastAsia="Calibri" w:cs="Calibri"/>
          <w:color w:val="000000" w:themeColor="text1"/>
        </w:rPr>
        <w:t>-</w:t>
      </w:r>
      <w:r w:rsidRPr="71D2A87E">
        <w:rPr>
          <w:rFonts w:eastAsia="Calibri" w:cs="Calibri"/>
          <w:color w:val="000000" w:themeColor="text1"/>
        </w:rPr>
        <w:t xml:space="preserve"> and middle</w:t>
      </w:r>
      <w:r w:rsidR="00BC6BDD">
        <w:rPr>
          <w:rFonts w:eastAsia="Calibri" w:cs="Calibri"/>
          <w:color w:val="000000" w:themeColor="text1"/>
        </w:rPr>
        <w:t>-</w:t>
      </w:r>
      <w:r w:rsidRPr="71D2A87E">
        <w:rPr>
          <w:rFonts w:eastAsia="Calibri" w:cs="Calibri"/>
          <w:color w:val="000000" w:themeColor="text1"/>
        </w:rPr>
        <w:t xml:space="preserve">income King County families. </w:t>
      </w:r>
      <w:r w:rsidRPr="71D2A87E">
        <w:rPr>
          <w:rFonts w:eastAsia="Calibri" w:cs="Calibri"/>
          <w:i/>
          <w:iCs/>
          <w:color w:val="000000" w:themeColor="text1"/>
        </w:rPr>
        <w:t>Best Starts</w:t>
      </w:r>
      <w:r w:rsidRPr="71D2A87E">
        <w:rPr>
          <w:rFonts w:eastAsia="Calibri" w:cs="Calibri"/>
          <w:color w:val="000000" w:themeColor="text1"/>
        </w:rPr>
        <w:t xml:space="preserve"> </w:t>
      </w:r>
      <w:r w:rsidRPr="6A626998">
        <w:rPr>
          <w:rFonts w:eastAsia="Calibri" w:cs="Calibri"/>
          <w:color w:val="000000" w:themeColor="text1"/>
        </w:rPr>
        <w:t>will</w:t>
      </w:r>
      <w:r w:rsidRPr="71D2A87E">
        <w:rPr>
          <w:rFonts w:eastAsia="Calibri" w:cs="Calibri"/>
          <w:color w:val="000000" w:themeColor="text1"/>
        </w:rPr>
        <w:t xml:space="preserve"> partner with one or more intermediaries to administer subsidies to support the cost of child care at licensed centers or family child care sites for approximately 3,000 children aged </w:t>
      </w:r>
      <w:r w:rsidR="00AB77C8">
        <w:rPr>
          <w:rFonts w:eastAsia="Calibri" w:cs="Calibri"/>
          <w:color w:val="000000" w:themeColor="text1"/>
        </w:rPr>
        <w:t xml:space="preserve">birth to </w:t>
      </w:r>
      <w:r w:rsidRPr="71D2A87E">
        <w:rPr>
          <w:rFonts w:eastAsia="Calibri" w:cs="Calibri"/>
          <w:color w:val="000000" w:themeColor="text1"/>
        </w:rPr>
        <w:t xml:space="preserve">12 and their families. </w:t>
      </w:r>
      <w:bookmarkEnd w:id="45"/>
      <w:r w:rsidRPr="71D2A87E">
        <w:rPr>
          <w:rFonts w:eastAsia="Calibri" w:cs="Calibri"/>
          <w:i/>
          <w:iCs/>
          <w:color w:val="000000" w:themeColor="text1"/>
        </w:rPr>
        <w:t>Best Starts</w:t>
      </w:r>
      <w:r w:rsidRPr="71D2A87E">
        <w:rPr>
          <w:rFonts w:eastAsia="Calibri" w:cs="Calibri"/>
          <w:color w:val="000000" w:themeColor="text1"/>
        </w:rPr>
        <w:t xml:space="preserve"> </w:t>
      </w:r>
      <w:r w:rsidRPr="71D2A87E">
        <w:rPr>
          <w:rFonts w:eastAsia="Calibri" w:cs="Calibri"/>
          <w:color w:val="000000" w:themeColor="text1"/>
        </w:rPr>
        <w:lastRenderedPageBreak/>
        <w:t xml:space="preserve">will establish standardized eligibility criteria </w:t>
      </w:r>
      <w:r>
        <w:rPr>
          <w:rFonts w:eastAsia="Calibri" w:cs="Calibri"/>
          <w:color w:val="000000" w:themeColor="text1"/>
        </w:rPr>
        <w:t xml:space="preserve">for </w:t>
      </w:r>
      <w:r w:rsidR="00FD3731">
        <w:rPr>
          <w:rFonts w:eastAsia="Calibri" w:cs="Calibri"/>
          <w:color w:val="000000" w:themeColor="text1"/>
        </w:rPr>
        <w:t xml:space="preserve">its </w:t>
      </w:r>
      <w:r w:rsidRPr="3DE961DB">
        <w:rPr>
          <w:rFonts w:eastAsia="Calibri" w:cs="Calibri"/>
          <w:color w:val="000000" w:themeColor="text1"/>
        </w:rPr>
        <w:t>subsidies</w:t>
      </w:r>
      <w:r w:rsidRPr="71D2A87E">
        <w:rPr>
          <w:rFonts w:eastAsia="Calibri" w:cs="Calibri"/>
          <w:color w:val="000000" w:themeColor="text1"/>
        </w:rPr>
        <w:t xml:space="preserve"> across King County</w:t>
      </w:r>
      <w:r w:rsidR="0040423D">
        <w:rPr>
          <w:rFonts w:eastAsia="Calibri" w:cs="Calibri"/>
          <w:color w:val="000000" w:themeColor="text1"/>
        </w:rPr>
        <w:t xml:space="preserve"> that complement other established child care subsidies</w:t>
      </w:r>
      <w:r w:rsidRPr="71D2A87E">
        <w:rPr>
          <w:rFonts w:eastAsia="Calibri" w:cs="Calibri"/>
          <w:color w:val="000000" w:themeColor="text1"/>
        </w:rPr>
        <w:t xml:space="preserve">. </w:t>
      </w:r>
    </w:p>
    <w:p w14:paraId="526FE8F4" w14:textId="77777777" w:rsidR="005300FB" w:rsidRDefault="005300FB" w:rsidP="00917BE1">
      <w:pPr>
        <w:rPr>
          <w:rFonts w:eastAsia="Calibri" w:cs="Calibri"/>
          <w:color w:val="000000" w:themeColor="text1"/>
        </w:rPr>
      </w:pPr>
    </w:p>
    <w:p w14:paraId="0BE3F302" w14:textId="6C5B6B77" w:rsidR="00917BE1" w:rsidRDefault="00917BE1" w:rsidP="00917BE1">
      <w:pPr>
        <w:rPr>
          <w:rFonts w:eastAsia="Calibri" w:cs="Calibri"/>
          <w:color w:val="000000" w:themeColor="text1"/>
        </w:rPr>
      </w:pPr>
      <w:r w:rsidRPr="71D2A87E">
        <w:rPr>
          <w:rFonts w:eastAsia="Calibri" w:cs="Calibri"/>
          <w:color w:val="000000" w:themeColor="text1"/>
        </w:rPr>
        <w:t xml:space="preserve">The intent of </w:t>
      </w:r>
      <w:r w:rsidR="00EA621E" w:rsidRPr="00ED6C02">
        <w:rPr>
          <w:rFonts w:eastAsia="Calibri" w:cs="Calibri"/>
          <w:i/>
          <w:color w:val="000000" w:themeColor="text1"/>
        </w:rPr>
        <w:t>Best Starts</w:t>
      </w:r>
      <w:r w:rsidR="00EA621E">
        <w:rPr>
          <w:rFonts w:eastAsia="Calibri" w:cs="Calibri"/>
          <w:i/>
          <w:iCs/>
          <w:color w:val="000000" w:themeColor="text1"/>
        </w:rPr>
        <w:t xml:space="preserve">’ </w:t>
      </w:r>
      <w:r w:rsidR="00EA621E" w:rsidRPr="00ED6C02">
        <w:rPr>
          <w:rFonts w:eastAsia="Calibri" w:cs="Calibri"/>
          <w:color w:val="000000" w:themeColor="text1"/>
        </w:rPr>
        <w:t>child care subsidy</w:t>
      </w:r>
      <w:r w:rsidR="00EA621E" w:rsidRPr="00EA621E">
        <w:rPr>
          <w:rFonts w:eastAsia="Calibri" w:cs="Calibri"/>
          <w:color w:val="000000" w:themeColor="text1"/>
        </w:rPr>
        <w:t xml:space="preserve"> </w:t>
      </w:r>
      <w:r w:rsidRPr="71D2A87E">
        <w:rPr>
          <w:rFonts w:eastAsia="Calibri" w:cs="Calibri"/>
          <w:color w:val="000000" w:themeColor="text1"/>
        </w:rPr>
        <w:t xml:space="preserve">programming is to build on rather than duplicate </w:t>
      </w:r>
      <w:r w:rsidR="006C48F1">
        <w:rPr>
          <w:rFonts w:eastAsia="Calibri" w:cs="Calibri"/>
          <w:color w:val="000000" w:themeColor="text1"/>
        </w:rPr>
        <w:t xml:space="preserve">other </w:t>
      </w:r>
      <w:r w:rsidRPr="71D2A87E">
        <w:rPr>
          <w:rFonts w:eastAsia="Calibri" w:cs="Calibri"/>
          <w:color w:val="000000" w:themeColor="text1"/>
        </w:rPr>
        <w:t xml:space="preserve">existing </w:t>
      </w:r>
      <w:r w:rsidRPr="6BD38C6A">
        <w:rPr>
          <w:rFonts w:eastAsia="Calibri" w:cs="Calibri"/>
          <w:color w:val="000000" w:themeColor="text1"/>
        </w:rPr>
        <w:t xml:space="preserve">subsidy </w:t>
      </w:r>
      <w:r w:rsidRPr="3DE961DB">
        <w:rPr>
          <w:rFonts w:eastAsia="Calibri" w:cs="Calibri"/>
          <w:color w:val="000000" w:themeColor="text1"/>
        </w:rPr>
        <w:t>programs</w:t>
      </w:r>
      <w:r w:rsidR="006C48F1">
        <w:rPr>
          <w:rFonts w:eastAsia="Calibri" w:cs="Calibri"/>
          <w:color w:val="000000" w:themeColor="text1"/>
        </w:rPr>
        <w:t xml:space="preserve">. </w:t>
      </w:r>
      <w:r w:rsidR="00620754">
        <w:rPr>
          <w:rFonts w:eastAsia="Calibri" w:cs="Calibri"/>
          <w:color w:val="000000" w:themeColor="text1"/>
        </w:rPr>
        <w:t xml:space="preserve">Several subsidy programs currently serve </w:t>
      </w:r>
      <w:r w:rsidR="00620754" w:rsidRPr="71D2A87E">
        <w:rPr>
          <w:rFonts w:eastAsia="Calibri" w:cs="Calibri"/>
          <w:color w:val="000000" w:themeColor="text1"/>
        </w:rPr>
        <w:t>Washington State residents, including Working Connections Child Care (WCCC),</w:t>
      </w:r>
      <w:r w:rsidR="00620754">
        <w:rPr>
          <w:rStyle w:val="FootnoteReference"/>
          <w:rFonts w:eastAsia="Calibri" w:cs="Calibri"/>
          <w:color w:val="000000" w:themeColor="text1"/>
        </w:rPr>
        <w:footnoteReference w:id="98"/>
      </w:r>
      <w:r w:rsidR="00620754" w:rsidRPr="71D2A87E">
        <w:rPr>
          <w:rFonts w:eastAsia="Calibri" w:cs="Calibri"/>
          <w:color w:val="000000" w:themeColor="text1"/>
        </w:rPr>
        <w:t xml:space="preserve"> Head Start,</w:t>
      </w:r>
      <w:r w:rsidR="00620754">
        <w:rPr>
          <w:rStyle w:val="FootnoteReference"/>
          <w:rFonts w:eastAsia="Calibri" w:cs="Calibri"/>
          <w:color w:val="000000" w:themeColor="text1"/>
        </w:rPr>
        <w:footnoteReference w:id="99"/>
      </w:r>
      <w:r w:rsidR="00620754" w:rsidRPr="71D2A87E">
        <w:rPr>
          <w:rFonts w:eastAsia="Calibri" w:cs="Calibri"/>
          <w:color w:val="000000" w:themeColor="text1"/>
        </w:rPr>
        <w:t xml:space="preserve"> and the Early Childhood Education and Assistance Program (ECEAP).</w:t>
      </w:r>
      <w:r w:rsidR="00620754">
        <w:rPr>
          <w:rStyle w:val="FootnoteReference"/>
          <w:rFonts w:eastAsia="Calibri" w:cs="Calibri"/>
          <w:color w:val="000000" w:themeColor="text1"/>
        </w:rPr>
        <w:footnoteReference w:id="100"/>
      </w:r>
      <w:r w:rsidR="00620754" w:rsidRPr="71D2A87E">
        <w:rPr>
          <w:rFonts w:eastAsia="Calibri" w:cs="Calibri"/>
          <w:color w:val="000000" w:themeColor="text1"/>
        </w:rPr>
        <w:t xml:space="preserve"> The City of Seattle also has significant investments in child care programming, including the Child Care Assistance Program (CCAP) and the Seattle Preschool Program (SPP).</w:t>
      </w:r>
      <w:r w:rsidR="00620754">
        <w:rPr>
          <w:rStyle w:val="FootnoteReference"/>
          <w:rFonts w:eastAsia="Calibri" w:cs="Calibri"/>
          <w:color w:val="000000" w:themeColor="text1"/>
        </w:rPr>
        <w:footnoteReference w:id="101"/>
      </w:r>
      <w:r w:rsidR="00DA5308">
        <w:rPr>
          <w:rFonts w:eastAsia="Calibri" w:cs="Calibri"/>
          <w:color w:val="000000" w:themeColor="text1"/>
        </w:rPr>
        <w:t xml:space="preserve"> </w:t>
      </w:r>
      <w:r w:rsidR="00DA5308" w:rsidRPr="009D0A12">
        <w:rPr>
          <w:rFonts w:eastAsia="Calibri" w:cs="Calibri"/>
          <w:i/>
          <w:color w:val="000000" w:themeColor="text1"/>
        </w:rPr>
        <w:t>Best Starts</w:t>
      </w:r>
      <w:r w:rsidR="00DA5308">
        <w:rPr>
          <w:rFonts w:eastAsia="Calibri" w:cs="Calibri"/>
          <w:color w:val="000000" w:themeColor="text1"/>
        </w:rPr>
        <w:t xml:space="preserve"> </w:t>
      </w:r>
      <w:r w:rsidR="003C47FD">
        <w:rPr>
          <w:rFonts w:eastAsia="Calibri" w:cs="Calibri"/>
          <w:color w:val="000000" w:themeColor="text1"/>
        </w:rPr>
        <w:t>plans</w:t>
      </w:r>
      <w:r w:rsidR="00DD5ED1">
        <w:rPr>
          <w:rFonts w:eastAsia="Calibri" w:cs="Calibri"/>
          <w:color w:val="000000" w:themeColor="text1"/>
        </w:rPr>
        <w:t xml:space="preserve"> to</w:t>
      </w:r>
      <w:r w:rsidR="00DD5ED1" w:rsidRPr="71D2A87E">
        <w:rPr>
          <w:rFonts w:eastAsia="Calibri" w:cs="Calibri"/>
          <w:color w:val="000000" w:themeColor="text1"/>
        </w:rPr>
        <w:t xml:space="preserve"> </w:t>
      </w:r>
      <w:r w:rsidRPr="71D2A87E">
        <w:rPr>
          <w:rFonts w:eastAsia="Calibri" w:cs="Calibri"/>
          <w:color w:val="000000" w:themeColor="text1"/>
        </w:rPr>
        <w:t xml:space="preserve">provide subsidies to fill eligibility gaps in </w:t>
      </w:r>
      <w:r w:rsidR="006D0106">
        <w:rPr>
          <w:rFonts w:eastAsia="Calibri" w:cs="Calibri"/>
          <w:color w:val="000000" w:themeColor="text1"/>
        </w:rPr>
        <w:t>these</w:t>
      </w:r>
      <w:r w:rsidRPr="71D2A87E">
        <w:rPr>
          <w:rFonts w:eastAsia="Calibri" w:cs="Calibri"/>
          <w:color w:val="000000" w:themeColor="text1"/>
        </w:rPr>
        <w:t xml:space="preserve"> existing programs </w:t>
      </w:r>
      <w:r w:rsidR="006D0106">
        <w:rPr>
          <w:rFonts w:eastAsia="Calibri" w:cs="Calibri"/>
          <w:color w:val="000000" w:themeColor="text1"/>
        </w:rPr>
        <w:t>and</w:t>
      </w:r>
      <w:r w:rsidRPr="71D2A87E">
        <w:rPr>
          <w:rFonts w:eastAsia="Calibri" w:cs="Calibri"/>
          <w:color w:val="000000" w:themeColor="text1"/>
        </w:rPr>
        <w:t xml:space="preserve"> cover families </w:t>
      </w:r>
      <w:r>
        <w:rPr>
          <w:rFonts w:eastAsia="Calibri" w:cs="Calibri"/>
          <w:color w:val="000000" w:themeColor="text1"/>
        </w:rPr>
        <w:t>outside of</w:t>
      </w:r>
      <w:r w:rsidRPr="71D2A87E">
        <w:rPr>
          <w:rFonts w:eastAsia="Calibri" w:cs="Calibri"/>
          <w:color w:val="000000" w:themeColor="text1"/>
        </w:rPr>
        <w:t xml:space="preserve"> these programs’ income eligibility limits.</w:t>
      </w:r>
      <w:r w:rsidR="006D0106" w:rsidRPr="006D0106">
        <w:rPr>
          <w:rFonts w:eastAsia="Calibri" w:cs="Calibri"/>
          <w:color w:val="000000" w:themeColor="text1"/>
        </w:rPr>
        <w:t xml:space="preserve"> </w:t>
      </w:r>
      <w:r w:rsidR="006D0106">
        <w:rPr>
          <w:rFonts w:eastAsia="Calibri" w:cs="Calibri"/>
          <w:color w:val="000000" w:themeColor="text1"/>
        </w:rPr>
        <w:t xml:space="preserve">By extending eligibility and filling gaps, </w:t>
      </w:r>
      <w:r w:rsidR="006D0106" w:rsidRPr="00E36EFA">
        <w:rPr>
          <w:rFonts w:eastAsia="Calibri" w:cs="Calibri"/>
          <w:i/>
          <w:color w:val="000000" w:themeColor="text1"/>
        </w:rPr>
        <w:t>Best Starts</w:t>
      </w:r>
      <w:r w:rsidR="006D0106">
        <w:rPr>
          <w:rFonts w:eastAsia="Calibri" w:cs="Calibri"/>
          <w:color w:val="000000" w:themeColor="text1"/>
        </w:rPr>
        <w:t xml:space="preserve"> will </w:t>
      </w:r>
      <w:r w:rsidR="006D0106" w:rsidRPr="71D2A87E">
        <w:rPr>
          <w:rFonts w:eastAsia="Calibri" w:cs="Calibri"/>
          <w:color w:val="000000" w:themeColor="text1"/>
        </w:rPr>
        <w:t xml:space="preserve">create a </w:t>
      </w:r>
      <w:r w:rsidR="006D0106">
        <w:rPr>
          <w:rFonts w:eastAsia="Calibri" w:cs="Calibri"/>
          <w:color w:val="000000" w:themeColor="text1"/>
        </w:rPr>
        <w:t xml:space="preserve">coordinated </w:t>
      </w:r>
      <w:r w:rsidR="006D0106" w:rsidRPr="71D2A87E">
        <w:rPr>
          <w:rFonts w:eastAsia="Calibri" w:cs="Calibri"/>
          <w:color w:val="000000" w:themeColor="text1"/>
        </w:rPr>
        <w:t>net of coverage to ensure families across the County have equitable access to the care they need.</w:t>
      </w:r>
    </w:p>
    <w:p w14:paraId="42EE499A" w14:textId="77777777" w:rsidR="00917BE1" w:rsidRDefault="00917BE1" w:rsidP="00917BE1">
      <w:pPr>
        <w:rPr>
          <w:rFonts w:eastAsia="Calibri" w:cs="Calibri"/>
          <w:color w:val="000000" w:themeColor="text1"/>
        </w:rPr>
      </w:pPr>
    </w:p>
    <w:p w14:paraId="2B318AC7" w14:textId="0A3695F1" w:rsidR="00BE77EC" w:rsidRPr="001D68EF" w:rsidRDefault="0011047A" w:rsidP="00917BE1">
      <w:pPr>
        <w:rPr>
          <w:rFonts w:eastAsia="Calibri" w:cs="Arial"/>
          <w:color w:val="000000" w:themeColor="text1"/>
        </w:rPr>
      </w:pPr>
      <w:r>
        <w:rPr>
          <w:rFonts w:eastAsia="Calibri" w:cs="Calibri"/>
          <w:color w:val="000000" w:themeColor="text1"/>
        </w:rPr>
        <w:t xml:space="preserve">Recent increased concern about needs and gaps in the child care sector has resulted in a dynamic and quickly shifting landscape. </w:t>
      </w:r>
      <w:r w:rsidR="00AA099E">
        <w:rPr>
          <w:rFonts w:eastAsia="Calibri" w:cs="Arial"/>
          <w:color w:val="000000" w:themeColor="text1"/>
        </w:rPr>
        <w:t xml:space="preserve"> </w:t>
      </w:r>
      <w:r w:rsidR="00917BE1" w:rsidRPr="71D2A87E">
        <w:rPr>
          <w:rFonts w:eastAsia="Calibri" w:cs="Calibri"/>
          <w:color w:val="000000" w:themeColor="text1"/>
        </w:rPr>
        <w:t xml:space="preserve">In 2021, the Washington State Legislature passed </w:t>
      </w:r>
      <w:r w:rsidR="00FF793E">
        <w:rPr>
          <w:rFonts w:eastAsia="Calibri" w:cs="Calibri"/>
          <w:color w:val="000000" w:themeColor="text1"/>
        </w:rPr>
        <w:t xml:space="preserve">Engrossed Second Substitute Senate Bill 5237, </w:t>
      </w:r>
      <w:r w:rsidR="00917BE1" w:rsidRPr="71D2A87E">
        <w:rPr>
          <w:rFonts w:eastAsia="Calibri" w:cs="Calibri"/>
          <w:color w:val="000000" w:themeColor="text1"/>
        </w:rPr>
        <w:t>the Fair Start for Kids Act, which significantly expand</w:t>
      </w:r>
      <w:r w:rsidR="00917BE1">
        <w:rPr>
          <w:rFonts w:eastAsia="Calibri" w:cs="Calibri"/>
          <w:color w:val="000000" w:themeColor="text1"/>
        </w:rPr>
        <w:t>s</w:t>
      </w:r>
      <w:r w:rsidR="00917BE1" w:rsidRPr="71D2A87E">
        <w:rPr>
          <w:rFonts w:eastAsia="Calibri" w:cs="Calibri"/>
          <w:color w:val="000000" w:themeColor="text1"/>
        </w:rPr>
        <w:t xml:space="preserve"> income eligibility for WCCC and ECEAP.</w:t>
      </w:r>
      <w:r w:rsidR="00917BE1">
        <w:rPr>
          <w:rStyle w:val="FootnoteReference"/>
          <w:rFonts w:eastAsia="Calibri" w:cs="Calibri"/>
          <w:color w:val="000000" w:themeColor="text1"/>
        </w:rPr>
        <w:footnoteReference w:id="102"/>
      </w:r>
      <w:r w:rsidR="00917BE1" w:rsidRPr="71D2A87E">
        <w:rPr>
          <w:rFonts w:eastAsia="Calibri" w:cs="Calibri"/>
          <w:color w:val="000000" w:themeColor="text1"/>
        </w:rPr>
        <w:t xml:space="preserve"> Increased </w:t>
      </w:r>
      <w:r w:rsidR="002963FA">
        <w:rPr>
          <w:rFonts w:eastAsia="Calibri" w:cs="Calibri"/>
          <w:color w:val="000000" w:themeColor="text1"/>
        </w:rPr>
        <w:t xml:space="preserve">Fair Start Act </w:t>
      </w:r>
      <w:r w:rsidR="00917BE1" w:rsidRPr="71D2A87E">
        <w:rPr>
          <w:rFonts w:eastAsia="Calibri" w:cs="Calibri"/>
          <w:color w:val="000000" w:themeColor="text1"/>
        </w:rPr>
        <w:t xml:space="preserve">investments </w:t>
      </w:r>
      <w:r w:rsidR="00CC3018">
        <w:rPr>
          <w:rFonts w:eastAsia="Calibri" w:cs="Calibri"/>
          <w:color w:val="000000" w:themeColor="text1"/>
        </w:rPr>
        <w:t>are expected to</w:t>
      </w:r>
      <w:r w:rsidR="00CC3018" w:rsidRPr="71D2A87E">
        <w:rPr>
          <w:rFonts w:eastAsia="Calibri" w:cs="Calibri"/>
          <w:color w:val="000000" w:themeColor="text1"/>
        </w:rPr>
        <w:t xml:space="preserve"> </w:t>
      </w:r>
      <w:r w:rsidR="00E507B0">
        <w:rPr>
          <w:rFonts w:eastAsia="Calibri" w:cs="Calibri"/>
          <w:color w:val="000000" w:themeColor="text1"/>
        </w:rPr>
        <w:t>expand WCCC eligibility to</w:t>
      </w:r>
      <w:r w:rsidR="00917BE1" w:rsidRPr="71D2A87E">
        <w:rPr>
          <w:rFonts w:eastAsia="Calibri" w:cs="Calibri"/>
          <w:color w:val="000000" w:themeColor="text1"/>
        </w:rPr>
        <w:t xml:space="preserve"> families making up to 60</w:t>
      </w:r>
      <w:r w:rsidR="00E5576E">
        <w:rPr>
          <w:rFonts w:eastAsia="Calibri" w:cs="Calibri"/>
          <w:color w:val="000000" w:themeColor="text1"/>
        </w:rPr>
        <w:t xml:space="preserve"> percent of the</w:t>
      </w:r>
      <w:r w:rsidR="00917BE1" w:rsidRPr="71D2A87E">
        <w:rPr>
          <w:rFonts w:eastAsia="Calibri" w:cs="Calibri"/>
          <w:color w:val="000000" w:themeColor="text1"/>
        </w:rPr>
        <w:t xml:space="preserve"> State Median Income (SMI)</w:t>
      </w:r>
      <w:r w:rsidR="00E507B0">
        <w:rPr>
          <w:rFonts w:eastAsia="Calibri" w:cs="Calibri"/>
          <w:color w:val="000000" w:themeColor="text1"/>
        </w:rPr>
        <w:t xml:space="preserve"> beginning October 1, 2021</w:t>
      </w:r>
      <w:r w:rsidR="00917BE1" w:rsidRPr="71D2A87E">
        <w:rPr>
          <w:rFonts w:eastAsia="Calibri" w:cs="Calibri"/>
          <w:color w:val="000000" w:themeColor="text1"/>
        </w:rPr>
        <w:t>, which is approximately $52,000 for a family of three</w:t>
      </w:r>
      <w:r w:rsidR="00280846">
        <w:rPr>
          <w:rFonts w:eastAsia="Calibri" w:cs="Calibri"/>
          <w:color w:val="000000" w:themeColor="text1"/>
        </w:rPr>
        <w:t>,</w:t>
      </w:r>
      <w:r w:rsidR="005C49FD" w:rsidRPr="005C49FD">
        <w:rPr>
          <w:rFonts w:eastAsia="Calibri" w:cs="Calibri"/>
          <w:color w:val="000000" w:themeColor="text1"/>
        </w:rPr>
        <w:t xml:space="preserve"> </w:t>
      </w:r>
      <w:r w:rsidR="005C49FD">
        <w:rPr>
          <w:rFonts w:eastAsia="Calibri" w:cs="Calibri"/>
          <w:color w:val="000000" w:themeColor="text1"/>
        </w:rPr>
        <w:t xml:space="preserve">and to 75 percent </w:t>
      </w:r>
      <w:r w:rsidR="00EC6A47">
        <w:rPr>
          <w:rFonts w:eastAsia="Calibri" w:cs="Calibri"/>
          <w:color w:val="000000" w:themeColor="text1"/>
        </w:rPr>
        <w:t xml:space="preserve">of </w:t>
      </w:r>
      <w:r w:rsidR="005C49FD">
        <w:rPr>
          <w:rFonts w:eastAsia="Calibri" w:cs="Calibri"/>
          <w:color w:val="000000" w:themeColor="text1"/>
        </w:rPr>
        <w:t>SMI beginning July 1, 2025.</w:t>
      </w:r>
      <w:r w:rsidR="00917BE1">
        <w:rPr>
          <w:rStyle w:val="FootnoteReference"/>
          <w:rFonts w:eastAsia="Calibri" w:cs="Calibri"/>
          <w:color w:val="000000" w:themeColor="text1"/>
        </w:rPr>
        <w:footnoteReference w:id="103"/>
      </w:r>
      <w:r w:rsidR="00280846">
        <w:rPr>
          <w:rFonts w:eastAsia="Calibri" w:cs="Calibri"/>
          <w:color w:val="000000" w:themeColor="text1"/>
        </w:rPr>
        <w:t xml:space="preserve"> </w:t>
      </w:r>
      <w:r w:rsidR="00917BE1" w:rsidRPr="71D2A87E">
        <w:rPr>
          <w:rFonts w:eastAsia="Calibri" w:cs="Calibri"/>
          <w:color w:val="000000" w:themeColor="text1"/>
        </w:rPr>
        <w:t xml:space="preserve">While these investments </w:t>
      </w:r>
      <w:r w:rsidR="00265EF9">
        <w:rPr>
          <w:rFonts w:eastAsia="Calibri" w:cs="Calibri"/>
          <w:color w:val="000000" w:themeColor="text1"/>
        </w:rPr>
        <w:t xml:space="preserve">will </w:t>
      </w:r>
      <w:r w:rsidR="00917BE1" w:rsidRPr="71D2A87E">
        <w:rPr>
          <w:rFonts w:eastAsia="Calibri" w:cs="Calibri"/>
          <w:color w:val="000000" w:themeColor="text1"/>
        </w:rPr>
        <w:t xml:space="preserve">greatly increase the number of families eligible for child care supports statewide, King County’s high cost of living means that many families whose incomes are </w:t>
      </w:r>
      <w:r w:rsidR="00C67F18">
        <w:rPr>
          <w:rFonts w:eastAsia="Calibri" w:cs="Calibri"/>
          <w:color w:val="000000" w:themeColor="text1"/>
        </w:rPr>
        <w:t>slightly</w:t>
      </w:r>
      <w:r w:rsidR="00C67F18" w:rsidRPr="71D2A87E">
        <w:rPr>
          <w:rFonts w:eastAsia="Calibri" w:cs="Calibri"/>
          <w:color w:val="000000" w:themeColor="text1"/>
        </w:rPr>
        <w:t xml:space="preserve"> </w:t>
      </w:r>
      <w:r w:rsidR="00917BE1" w:rsidRPr="71D2A87E">
        <w:rPr>
          <w:rFonts w:eastAsia="Calibri" w:cs="Calibri"/>
          <w:color w:val="000000" w:themeColor="text1"/>
        </w:rPr>
        <w:t xml:space="preserve">too high </w:t>
      </w:r>
      <w:r w:rsidR="00E5576E">
        <w:rPr>
          <w:rFonts w:eastAsia="Calibri" w:cs="Calibri"/>
          <w:color w:val="000000" w:themeColor="text1"/>
        </w:rPr>
        <w:t xml:space="preserve">for WCCC </w:t>
      </w:r>
      <w:r w:rsidR="00917BE1" w:rsidRPr="71D2A87E">
        <w:rPr>
          <w:rFonts w:eastAsia="Calibri" w:cs="Calibri"/>
          <w:color w:val="000000" w:themeColor="text1"/>
        </w:rPr>
        <w:t xml:space="preserve">will </w:t>
      </w:r>
      <w:r w:rsidR="00E25595">
        <w:rPr>
          <w:rFonts w:eastAsia="Calibri" w:cs="Calibri"/>
          <w:color w:val="000000" w:themeColor="text1"/>
        </w:rPr>
        <w:t xml:space="preserve">still </w:t>
      </w:r>
      <w:r w:rsidR="00917BE1" w:rsidRPr="71D2A87E">
        <w:rPr>
          <w:rFonts w:eastAsia="Calibri" w:cs="Calibri"/>
          <w:color w:val="000000" w:themeColor="text1"/>
        </w:rPr>
        <w:t xml:space="preserve">struggle to afford child care. </w:t>
      </w:r>
    </w:p>
    <w:p w14:paraId="3A151534" w14:textId="77777777" w:rsidR="00917BE1" w:rsidRDefault="00917BE1" w:rsidP="00917BE1">
      <w:pPr>
        <w:rPr>
          <w:rFonts w:eastAsia="Calibri" w:cs="Calibri"/>
          <w:color w:val="000000" w:themeColor="text1"/>
        </w:rPr>
      </w:pPr>
    </w:p>
    <w:p w14:paraId="55DB461A" w14:textId="5E89D654" w:rsidR="00917BE1" w:rsidRDefault="00917BE1" w:rsidP="00917BE1">
      <w:pPr>
        <w:rPr>
          <w:rFonts w:eastAsia="Calibri" w:cs="Calibri"/>
          <w:color w:val="000000" w:themeColor="text1"/>
        </w:rPr>
      </w:pPr>
      <w:r w:rsidRPr="71D2A87E">
        <w:rPr>
          <w:rFonts w:eastAsia="Calibri" w:cs="Calibri"/>
          <w:color w:val="000000" w:themeColor="text1"/>
        </w:rPr>
        <w:t xml:space="preserve">The goal of </w:t>
      </w:r>
      <w:r w:rsidRPr="71D2A87E">
        <w:rPr>
          <w:rFonts w:eastAsia="Calibri" w:cs="Calibri"/>
          <w:i/>
          <w:iCs/>
          <w:color w:val="000000" w:themeColor="text1"/>
        </w:rPr>
        <w:t>Best Starts</w:t>
      </w:r>
      <w:r w:rsidR="00333E50">
        <w:rPr>
          <w:rFonts w:eastAsia="Calibri" w:cs="Calibri"/>
          <w:i/>
          <w:iCs/>
          <w:color w:val="000000" w:themeColor="text1"/>
        </w:rPr>
        <w:t>’</w:t>
      </w:r>
      <w:r w:rsidRPr="71D2A87E">
        <w:rPr>
          <w:rFonts w:eastAsia="Calibri" w:cs="Calibri"/>
          <w:i/>
          <w:iCs/>
          <w:color w:val="000000" w:themeColor="text1"/>
        </w:rPr>
        <w:t xml:space="preserve"> </w:t>
      </w:r>
      <w:r w:rsidRPr="71D2A87E">
        <w:rPr>
          <w:rFonts w:eastAsia="Calibri" w:cs="Calibri"/>
          <w:color w:val="000000" w:themeColor="text1"/>
        </w:rPr>
        <w:t>child care</w:t>
      </w:r>
      <w:r w:rsidR="00333E50">
        <w:rPr>
          <w:rFonts w:eastAsia="Calibri" w:cs="Calibri"/>
          <w:color w:val="000000" w:themeColor="text1"/>
        </w:rPr>
        <w:t xml:space="preserve"> subsidy</w:t>
      </w:r>
      <w:r w:rsidRPr="71D2A87E">
        <w:rPr>
          <w:rFonts w:eastAsia="Calibri" w:cs="Calibri"/>
          <w:color w:val="000000" w:themeColor="text1"/>
        </w:rPr>
        <w:t xml:space="preserve"> </w:t>
      </w:r>
      <w:r w:rsidR="00337310">
        <w:rPr>
          <w:rFonts w:eastAsia="Calibri" w:cs="Calibri"/>
          <w:color w:val="000000" w:themeColor="text1"/>
        </w:rPr>
        <w:t xml:space="preserve">program </w:t>
      </w:r>
      <w:r w:rsidRPr="71D2A87E">
        <w:rPr>
          <w:rFonts w:eastAsia="Calibri" w:cs="Calibri"/>
          <w:color w:val="000000" w:themeColor="text1"/>
        </w:rPr>
        <w:t xml:space="preserve">investment is to expand equitable access to high quality and affordable child care for more families in King County. The long-term vision </w:t>
      </w:r>
      <w:r w:rsidR="00951E7D">
        <w:rPr>
          <w:rFonts w:eastAsia="Calibri" w:cs="Calibri"/>
          <w:color w:val="000000" w:themeColor="text1"/>
        </w:rPr>
        <w:t xml:space="preserve">for this investment </w:t>
      </w:r>
      <w:r w:rsidRPr="71D2A87E">
        <w:rPr>
          <w:rFonts w:eastAsia="Calibri" w:cs="Calibri"/>
          <w:color w:val="000000" w:themeColor="text1"/>
        </w:rPr>
        <w:t xml:space="preserve">is </w:t>
      </w:r>
      <w:r>
        <w:rPr>
          <w:rFonts w:eastAsia="Calibri" w:cs="Calibri"/>
          <w:color w:val="000000" w:themeColor="text1"/>
        </w:rPr>
        <w:t xml:space="preserve">seamless and </w:t>
      </w:r>
      <w:r w:rsidRPr="71D2A87E">
        <w:rPr>
          <w:rFonts w:eastAsia="Calibri" w:cs="Calibri"/>
          <w:color w:val="000000" w:themeColor="text1"/>
        </w:rPr>
        <w:t>equitable access for all familie</w:t>
      </w:r>
      <w:r>
        <w:rPr>
          <w:rFonts w:eastAsia="Calibri" w:cs="Calibri"/>
          <w:color w:val="000000" w:themeColor="text1"/>
        </w:rPr>
        <w:t xml:space="preserve">s, and a holistic and collaborative approach with other government and funding partners. </w:t>
      </w:r>
      <w:r w:rsidR="00FE2DDE">
        <w:rPr>
          <w:rFonts w:eastAsia="Calibri" w:cs="Calibri"/>
          <w:color w:val="000000" w:themeColor="text1"/>
        </w:rPr>
        <w:t xml:space="preserve">Toward this end, </w:t>
      </w:r>
      <w:r w:rsidRPr="71D2A87E">
        <w:rPr>
          <w:rFonts w:eastAsia="Calibri" w:cs="Calibri"/>
          <w:i/>
          <w:iCs/>
          <w:color w:val="000000" w:themeColor="text1"/>
        </w:rPr>
        <w:t xml:space="preserve">Best Starts </w:t>
      </w:r>
      <w:r w:rsidRPr="71D2A87E">
        <w:rPr>
          <w:rFonts w:eastAsia="Calibri" w:cs="Calibri"/>
          <w:color w:val="000000" w:themeColor="text1"/>
        </w:rPr>
        <w:t xml:space="preserve">will coordinate closely with local and state partners to understand where gaps </w:t>
      </w:r>
      <w:r>
        <w:rPr>
          <w:rFonts w:eastAsia="Calibri" w:cs="Calibri"/>
          <w:color w:val="000000" w:themeColor="text1"/>
        </w:rPr>
        <w:t xml:space="preserve">and needs </w:t>
      </w:r>
      <w:r w:rsidRPr="71D2A87E">
        <w:rPr>
          <w:rFonts w:eastAsia="Calibri" w:cs="Calibri"/>
          <w:color w:val="000000" w:themeColor="text1"/>
        </w:rPr>
        <w:t xml:space="preserve">exist, </w:t>
      </w:r>
      <w:r>
        <w:rPr>
          <w:rFonts w:eastAsia="Calibri" w:cs="Calibri"/>
          <w:color w:val="000000" w:themeColor="text1"/>
        </w:rPr>
        <w:t>how to coordinate services</w:t>
      </w:r>
      <w:r w:rsidRPr="71D2A87E">
        <w:rPr>
          <w:rFonts w:eastAsia="Calibri" w:cs="Calibri"/>
          <w:color w:val="000000" w:themeColor="text1"/>
        </w:rPr>
        <w:t xml:space="preserve">, and how best to prioritize families who need access most. These dynamics </w:t>
      </w:r>
      <w:r>
        <w:rPr>
          <w:rFonts w:eastAsia="Calibri" w:cs="Calibri"/>
          <w:color w:val="000000" w:themeColor="text1"/>
        </w:rPr>
        <w:t>will likely</w:t>
      </w:r>
      <w:r w:rsidRPr="71D2A87E">
        <w:rPr>
          <w:rFonts w:eastAsia="Calibri" w:cs="Calibri"/>
          <w:color w:val="000000" w:themeColor="text1"/>
        </w:rPr>
        <w:t xml:space="preserve"> shift throughout the life of </w:t>
      </w:r>
      <w:r w:rsidR="00AF1401" w:rsidRPr="00325AE3">
        <w:rPr>
          <w:rFonts w:eastAsia="Calibri" w:cs="Calibri"/>
          <w:i/>
          <w:color w:val="000000" w:themeColor="text1"/>
        </w:rPr>
        <w:t>Best Starts’</w:t>
      </w:r>
      <w:r w:rsidR="00AF1401">
        <w:rPr>
          <w:rFonts w:eastAsia="Calibri" w:cs="Calibri"/>
          <w:color w:val="000000" w:themeColor="text1"/>
        </w:rPr>
        <w:t xml:space="preserve"> 2022-2027</w:t>
      </w:r>
      <w:r w:rsidRPr="71D2A87E">
        <w:rPr>
          <w:rFonts w:eastAsia="Calibri" w:cs="Calibri"/>
          <w:color w:val="000000" w:themeColor="text1"/>
        </w:rPr>
        <w:t xml:space="preserve"> levy</w:t>
      </w:r>
      <w:r>
        <w:rPr>
          <w:rFonts w:eastAsia="Calibri" w:cs="Calibri"/>
          <w:color w:val="000000" w:themeColor="text1"/>
        </w:rPr>
        <w:t xml:space="preserve">, </w:t>
      </w:r>
      <w:r w:rsidR="00240892">
        <w:rPr>
          <w:rFonts w:eastAsia="Calibri" w:cs="Calibri"/>
          <w:color w:val="000000" w:themeColor="text1"/>
        </w:rPr>
        <w:t xml:space="preserve">requiring King County to be nimble, flexible, </w:t>
      </w:r>
      <w:r>
        <w:rPr>
          <w:rFonts w:eastAsia="Calibri" w:cs="Calibri"/>
          <w:color w:val="000000" w:themeColor="text1"/>
        </w:rPr>
        <w:t xml:space="preserve">and </w:t>
      </w:r>
      <w:r w:rsidR="00240892">
        <w:rPr>
          <w:rFonts w:eastAsia="Calibri" w:cs="Calibri"/>
          <w:color w:val="000000" w:themeColor="text1"/>
        </w:rPr>
        <w:t xml:space="preserve">innovative to best meet the needs of children, families, and providers in this region. As a result, </w:t>
      </w:r>
      <w:r w:rsidR="00240892" w:rsidRPr="00325AE3">
        <w:rPr>
          <w:rFonts w:eastAsia="Calibri" w:cs="Calibri"/>
          <w:i/>
          <w:color w:val="000000" w:themeColor="text1"/>
        </w:rPr>
        <w:t>Best Start</w:t>
      </w:r>
      <w:r w:rsidR="00A2022B" w:rsidRPr="00325AE3">
        <w:rPr>
          <w:rFonts w:eastAsia="Calibri" w:cs="Calibri"/>
          <w:i/>
          <w:color w:val="000000" w:themeColor="text1"/>
        </w:rPr>
        <w:t>s</w:t>
      </w:r>
      <w:r w:rsidR="00240892" w:rsidRPr="00325AE3">
        <w:rPr>
          <w:rFonts w:eastAsia="Calibri" w:cs="Calibri"/>
          <w:i/>
          <w:color w:val="000000" w:themeColor="text1"/>
        </w:rPr>
        <w:t xml:space="preserve"> </w:t>
      </w:r>
      <w:r w:rsidR="00A2022B">
        <w:rPr>
          <w:rFonts w:eastAsia="Calibri" w:cs="Calibri"/>
          <w:color w:val="000000" w:themeColor="text1"/>
        </w:rPr>
        <w:t>subsid</w:t>
      </w:r>
      <w:r w:rsidR="00B0069A">
        <w:rPr>
          <w:rFonts w:eastAsia="Calibri" w:cs="Calibri"/>
          <w:color w:val="000000" w:themeColor="text1"/>
        </w:rPr>
        <w:t>y</w:t>
      </w:r>
      <w:r w:rsidR="00FE2DDE">
        <w:rPr>
          <w:rFonts w:eastAsia="Calibri" w:cs="Calibri"/>
          <w:color w:val="000000" w:themeColor="text1"/>
        </w:rPr>
        <w:t xml:space="preserve"> </w:t>
      </w:r>
      <w:r w:rsidR="00B0069A">
        <w:rPr>
          <w:rFonts w:eastAsia="Calibri" w:cs="Calibri"/>
          <w:color w:val="000000" w:themeColor="text1"/>
        </w:rPr>
        <w:t xml:space="preserve">eligibility </w:t>
      </w:r>
      <w:r w:rsidR="000977C6">
        <w:rPr>
          <w:rFonts w:eastAsia="Calibri" w:cs="Calibri"/>
          <w:color w:val="000000" w:themeColor="text1"/>
        </w:rPr>
        <w:t xml:space="preserve">will </w:t>
      </w:r>
      <w:r>
        <w:rPr>
          <w:rFonts w:eastAsia="Calibri" w:cs="Calibri"/>
          <w:color w:val="000000" w:themeColor="text1"/>
        </w:rPr>
        <w:t xml:space="preserve">evolve to adjust to </w:t>
      </w:r>
      <w:r w:rsidR="001C14E5">
        <w:rPr>
          <w:rFonts w:eastAsia="Calibri" w:cs="Calibri"/>
          <w:color w:val="000000" w:themeColor="text1"/>
        </w:rPr>
        <w:t>other program</w:t>
      </w:r>
      <w:r>
        <w:rPr>
          <w:rFonts w:eastAsia="Calibri" w:cs="Calibri"/>
          <w:color w:val="000000" w:themeColor="text1"/>
        </w:rPr>
        <w:t xml:space="preserve"> changes in </w:t>
      </w:r>
      <w:r w:rsidR="00A2022B">
        <w:rPr>
          <w:rFonts w:eastAsia="Calibri" w:cs="Calibri"/>
          <w:color w:val="000000" w:themeColor="text1"/>
        </w:rPr>
        <w:t xml:space="preserve">child care access for </w:t>
      </w:r>
      <w:r w:rsidR="0048158B">
        <w:rPr>
          <w:rFonts w:eastAsia="Calibri" w:cs="Calibri"/>
          <w:color w:val="000000" w:themeColor="text1"/>
        </w:rPr>
        <w:t>low-</w:t>
      </w:r>
      <w:r w:rsidR="00A2022B">
        <w:rPr>
          <w:rFonts w:eastAsia="Calibri" w:cs="Calibri"/>
          <w:color w:val="000000" w:themeColor="text1"/>
        </w:rPr>
        <w:t xml:space="preserve"> and middle-</w:t>
      </w:r>
      <w:r w:rsidR="0048158B">
        <w:rPr>
          <w:rFonts w:eastAsia="Calibri" w:cs="Calibri"/>
          <w:color w:val="000000" w:themeColor="text1"/>
        </w:rPr>
        <w:t>income families</w:t>
      </w:r>
      <w:r w:rsidRPr="71D2A87E">
        <w:rPr>
          <w:rFonts w:eastAsia="Calibri" w:cs="Calibri"/>
          <w:color w:val="000000" w:themeColor="text1"/>
        </w:rPr>
        <w:t xml:space="preserve">. </w:t>
      </w:r>
      <w:r w:rsidRPr="71D2A87E">
        <w:rPr>
          <w:rStyle w:val="normaltextrun"/>
          <w:rFonts w:eastAsia="Calibri" w:cs="Calibri"/>
          <w:i/>
          <w:iCs/>
          <w:color w:val="000000" w:themeColor="text1"/>
        </w:rPr>
        <w:t>Best Starts</w:t>
      </w:r>
      <w:r w:rsidRPr="71D2A87E">
        <w:rPr>
          <w:rStyle w:val="normaltextrun"/>
          <w:rFonts w:eastAsia="Calibri" w:cs="Calibri"/>
          <w:color w:val="000000" w:themeColor="text1"/>
        </w:rPr>
        <w:t xml:space="preserve"> will calibrate </w:t>
      </w:r>
      <w:r w:rsidR="00023844">
        <w:rPr>
          <w:rStyle w:val="normaltextrun"/>
          <w:rFonts w:eastAsia="Calibri" w:cs="Calibri"/>
          <w:color w:val="000000" w:themeColor="text1"/>
        </w:rPr>
        <w:t xml:space="preserve">subsidies </w:t>
      </w:r>
      <w:r w:rsidRPr="71D2A87E">
        <w:rPr>
          <w:rStyle w:val="normaltextrun"/>
          <w:rFonts w:eastAsia="Calibri" w:cs="Calibri"/>
          <w:color w:val="000000" w:themeColor="text1"/>
        </w:rPr>
        <w:t xml:space="preserve">to ensure funding streams are aligned and leveraged to expand access and affordability and </w:t>
      </w:r>
      <w:r w:rsidR="00547B58">
        <w:rPr>
          <w:rStyle w:val="normaltextrun"/>
          <w:rFonts w:eastAsia="Calibri" w:cs="Calibri"/>
          <w:color w:val="000000" w:themeColor="text1"/>
        </w:rPr>
        <w:t>to</w:t>
      </w:r>
      <w:r w:rsidRPr="71D2A87E">
        <w:rPr>
          <w:rStyle w:val="normaltextrun"/>
          <w:rFonts w:eastAsia="Calibri" w:cs="Calibri"/>
          <w:color w:val="000000" w:themeColor="text1"/>
        </w:rPr>
        <w:t xml:space="preserve"> ensure a seamless </w:t>
      </w:r>
      <w:r>
        <w:rPr>
          <w:rStyle w:val="normaltextrun"/>
          <w:rFonts w:eastAsia="Calibri" w:cs="Calibri"/>
          <w:color w:val="000000" w:themeColor="text1"/>
        </w:rPr>
        <w:t xml:space="preserve">and easily accessible </w:t>
      </w:r>
      <w:r w:rsidRPr="71D2A87E">
        <w:rPr>
          <w:rStyle w:val="normaltextrun"/>
          <w:rFonts w:eastAsia="Calibri" w:cs="Calibri"/>
          <w:color w:val="000000" w:themeColor="text1"/>
        </w:rPr>
        <w:t>experience for families.</w:t>
      </w:r>
    </w:p>
    <w:p w14:paraId="581D47F5" w14:textId="77777777" w:rsidR="00917BE1" w:rsidRPr="00D03F1F" w:rsidRDefault="00917BE1" w:rsidP="00917BE1">
      <w:pPr>
        <w:contextualSpacing/>
        <w:rPr>
          <w:rFonts w:eastAsia="Calibri" w:cs="Arial"/>
          <w:color w:val="000000" w:themeColor="text1"/>
        </w:rPr>
      </w:pPr>
    </w:p>
    <w:p w14:paraId="036D43DE" w14:textId="77777777" w:rsidR="00DC07CA" w:rsidRDefault="00DC07CA" w:rsidP="00917BE1">
      <w:pPr>
        <w:contextualSpacing/>
        <w:rPr>
          <w:rFonts w:eastAsia="Calibri" w:cs="Calibri"/>
          <w:b/>
          <w:bCs/>
          <w:color w:val="000000" w:themeColor="text1"/>
        </w:rPr>
      </w:pPr>
    </w:p>
    <w:p w14:paraId="765E6D26" w14:textId="70CCFF5B" w:rsidR="00917BE1" w:rsidRPr="00D03F1F" w:rsidRDefault="00917BE1" w:rsidP="00917BE1">
      <w:pPr>
        <w:contextualSpacing/>
        <w:rPr>
          <w:rFonts w:eastAsia="Calibri" w:cs="Calibri"/>
          <w:color w:val="000000" w:themeColor="text1"/>
        </w:rPr>
      </w:pPr>
      <w:r>
        <w:rPr>
          <w:rFonts w:eastAsia="Calibri" w:cs="Calibri"/>
          <w:b/>
          <w:bCs/>
          <w:color w:val="000000" w:themeColor="text1"/>
        </w:rPr>
        <w:lastRenderedPageBreak/>
        <w:t>Planned</w:t>
      </w:r>
      <w:r w:rsidRPr="2D71CCAF">
        <w:rPr>
          <w:rFonts w:eastAsia="Calibri" w:cs="Calibri"/>
          <w:b/>
          <w:bCs/>
          <w:color w:val="000000" w:themeColor="text1"/>
        </w:rPr>
        <w:t xml:space="preserve"> populations for eligibility include:</w:t>
      </w:r>
    </w:p>
    <w:p w14:paraId="1F8E4145" w14:textId="4E8517DB" w:rsidR="00917BE1" w:rsidRPr="00D03F1F" w:rsidRDefault="00917BE1" w:rsidP="00917BE1">
      <w:pPr>
        <w:pStyle w:val="ListParagraph"/>
        <w:numPr>
          <w:ilvl w:val="0"/>
          <w:numId w:val="1"/>
        </w:numPr>
        <w:rPr>
          <w:rFonts w:asciiTheme="minorHAnsi" w:eastAsiaTheme="minorEastAsia" w:hAnsiTheme="minorHAnsi"/>
          <w:color w:val="000000" w:themeColor="text1"/>
        </w:rPr>
      </w:pPr>
      <w:r w:rsidRPr="2D71CCAF">
        <w:rPr>
          <w:rFonts w:eastAsia="Calibri" w:cs="Calibri"/>
          <w:color w:val="000000" w:themeColor="text1"/>
        </w:rPr>
        <w:t xml:space="preserve">Families living just above the </w:t>
      </w:r>
      <w:r w:rsidR="006A4268">
        <w:rPr>
          <w:rFonts w:eastAsia="Calibri" w:cs="Calibri"/>
          <w:color w:val="000000" w:themeColor="text1"/>
        </w:rPr>
        <w:t xml:space="preserve">income </w:t>
      </w:r>
      <w:r w:rsidRPr="2D71CCAF">
        <w:rPr>
          <w:rFonts w:eastAsia="Calibri" w:cs="Calibri"/>
          <w:color w:val="000000" w:themeColor="text1"/>
        </w:rPr>
        <w:t xml:space="preserve">eligibility threshold for existing subsidy programs, </w:t>
      </w:r>
      <w:r w:rsidR="00945E14">
        <w:rPr>
          <w:rFonts w:eastAsia="Calibri" w:cs="Calibri"/>
          <w:color w:val="000000" w:themeColor="text1"/>
        </w:rPr>
        <w:t>for whom</w:t>
      </w:r>
      <w:r w:rsidR="00945E14" w:rsidRPr="2D71CCAF">
        <w:rPr>
          <w:rFonts w:eastAsia="Calibri" w:cs="Calibri"/>
          <w:color w:val="000000" w:themeColor="text1"/>
        </w:rPr>
        <w:t xml:space="preserve"> </w:t>
      </w:r>
      <w:r w:rsidRPr="2D71CCAF">
        <w:rPr>
          <w:rFonts w:eastAsia="Calibri" w:cs="Calibri"/>
          <w:color w:val="000000" w:themeColor="text1"/>
        </w:rPr>
        <w:t xml:space="preserve">child care is still unaffordable due to the high cost of living in King County. </w:t>
      </w:r>
      <w:r w:rsidR="00A13D90" w:rsidRPr="000B32EE">
        <w:rPr>
          <w:rFonts w:eastAsia="Calibri" w:cs="Calibri"/>
          <w:i/>
          <w:iCs/>
          <w:color w:val="000000" w:themeColor="text1"/>
        </w:rPr>
        <w:t>Best</w:t>
      </w:r>
      <w:r w:rsidR="00A13D90" w:rsidRPr="000B32EE">
        <w:rPr>
          <w:rFonts w:eastAsia="Calibri" w:cs="Calibri"/>
          <w:i/>
          <w:color w:val="000000" w:themeColor="text1"/>
        </w:rPr>
        <w:t xml:space="preserve"> Starts</w:t>
      </w:r>
      <w:r w:rsidR="0045695C">
        <w:rPr>
          <w:rFonts w:eastAsia="Calibri" w:cs="Calibri"/>
          <w:color w:val="000000" w:themeColor="text1"/>
        </w:rPr>
        <w:t xml:space="preserve"> will </w:t>
      </w:r>
      <w:r w:rsidR="0045695C" w:rsidRPr="2D71CCAF">
        <w:rPr>
          <w:rFonts w:eastAsia="Calibri" w:cs="Calibri"/>
          <w:color w:val="000000" w:themeColor="text1"/>
        </w:rPr>
        <w:t>focus on families immediately above eligibility for WCCC</w:t>
      </w:r>
      <w:r w:rsidR="0045695C">
        <w:rPr>
          <w:rFonts w:eastAsia="Calibri" w:cs="Calibri"/>
          <w:color w:val="000000" w:themeColor="text1"/>
        </w:rPr>
        <w:t xml:space="preserve">. </w:t>
      </w:r>
      <w:r w:rsidR="0045695C" w:rsidRPr="000B32EE">
        <w:rPr>
          <w:rFonts w:eastAsia="Calibri" w:cs="Calibri"/>
          <w:i/>
          <w:color w:val="000000" w:themeColor="text1"/>
        </w:rPr>
        <w:t>Best Starts’</w:t>
      </w:r>
      <w:r w:rsidR="0045695C">
        <w:rPr>
          <w:rFonts w:eastAsia="Calibri" w:cs="Calibri"/>
          <w:color w:val="000000" w:themeColor="text1"/>
        </w:rPr>
        <w:t xml:space="preserve"> </w:t>
      </w:r>
      <w:r w:rsidR="00A13D90">
        <w:rPr>
          <w:rFonts w:eastAsia="Calibri" w:cs="Calibri"/>
          <w:color w:val="000000" w:themeColor="text1"/>
        </w:rPr>
        <w:t>eligibility</w:t>
      </w:r>
      <w:r w:rsidRPr="2D71CCAF">
        <w:rPr>
          <w:rFonts w:eastAsia="Calibri" w:cs="Calibri"/>
          <w:color w:val="000000" w:themeColor="text1"/>
        </w:rPr>
        <w:t xml:space="preserve"> cap </w:t>
      </w:r>
      <w:r w:rsidR="00AA6DD4">
        <w:rPr>
          <w:rFonts w:eastAsia="Calibri" w:cs="Calibri"/>
          <w:color w:val="000000" w:themeColor="text1"/>
        </w:rPr>
        <w:t>will prioritize families whose incomes are slightly too high to meet</w:t>
      </w:r>
      <w:r w:rsidR="00A13D90" w:rsidRPr="2D71CCAF">
        <w:rPr>
          <w:rFonts w:eastAsia="Calibri" w:cs="Calibri"/>
          <w:color w:val="000000" w:themeColor="text1"/>
        </w:rPr>
        <w:t xml:space="preserve"> </w:t>
      </w:r>
      <w:r w:rsidRPr="2D71CCAF">
        <w:rPr>
          <w:rFonts w:eastAsia="Calibri" w:cs="Calibri"/>
          <w:color w:val="000000" w:themeColor="text1"/>
        </w:rPr>
        <w:t>the State</w:t>
      </w:r>
      <w:r w:rsidR="00AD4A53">
        <w:rPr>
          <w:rFonts w:eastAsia="Calibri" w:cs="Calibri"/>
          <w:color w:val="000000" w:themeColor="text1"/>
        </w:rPr>
        <w:t>’s</w:t>
      </w:r>
      <w:r w:rsidRPr="2D71CCAF">
        <w:rPr>
          <w:rFonts w:eastAsia="Calibri" w:cs="Calibri"/>
          <w:color w:val="000000" w:themeColor="text1"/>
        </w:rPr>
        <w:t xml:space="preserve"> subsidy eligibility criteria</w:t>
      </w:r>
      <w:r w:rsidR="0045695C">
        <w:rPr>
          <w:rFonts w:eastAsia="Calibri" w:cs="Calibri"/>
          <w:color w:val="000000" w:themeColor="text1"/>
        </w:rPr>
        <w:t>,</w:t>
      </w:r>
      <w:r w:rsidR="00E7074D">
        <w:rPr>
          <w:rStyle w:val="FootnoteReference"/>
          <w:rFonts w:eastAsia="Calibri" w:cs="Calibri"/>
          <w:color w:val="000000" w:themeColor="text1"/>
        </w:rPr>
        <w:footnoteReference w:id="104"/>
      </w:r>
      <w:r w:rsidR="0045695C">
        <w:rPr>
          <w:rFonts w:eastAsia="Calibri" w:cs="Calibri"/>
          <w:color w:val="000000" w:themeColor="text1"/>
        </w:rPr>
        <w:t xml:space="preserve"> </w:t>
      </w:r>
      <w:r w:rsidRPr="2D71CCAF">
        <w:rPr>
          <w:rFonts w:eastAsia="Calibri" w:cs="Calibri"/>
          <w:color w:val="000000" w:themeColor="text1"/>
        </w:rPr>
        <w:t xml:space="preserve">and </w:t>
      </w:r>
      <w:r w:rsidR="00AA6DD4">
        <w:rPr>
          <w:rFonts w:eastAsia="Calibri" w:cs="Calibri"/>
          <w:color w:val="000000" w:themeColor="text1"/>
        </w:rPr>
        <w:t>will</w:t>
      </w:r>
      <w:r w:rsidR="00AA6DD4" w:rsidRPr="2D71CCAF">
        <w:rPr>
          <w:rFonts w:eastAsia="Calibri" w:cs="Calibri"/>
          <w:color w:val="000000" w:themeColor="text1"/>
        </w:rPr>
        <w:t xml:space="preserve"> </w:t>
      </w:r>
      <w:r w:rsidR="00C25E07">
        <w:rPr>
          <w:rFonts w:eastAsia="Calibri" w:cs="Calibri"/>
          <w:color w:val="000000" w:themeColor="text1"/>
        </w:rPr>
        <w:t>be</w:t>
      </w:r>
      <w:r w:rsidR="00EB2181">
        <w:rPr>
          <w:rFonts w:eastAsia="Calibri" w:cs="Calibri"/>
          <w:color w:val="000000" w:themeColor="text1"/>
        </w:rPr>
        <w:t xml:space="preserve"> </w:t>
      </w:r>
      <w:r w:rsidR="00C60D0B">
        <w:rPr>
          <w:rFonts w:eastAsia="Calibri" w:cs="Calibri"/>
          <w:color w:val="000000" w:themeColor="text1"/>
        </w:rPr>
        <w:t>adjust</w:t>
      </w:r>
      <w:r w:rsidR="00C25E07">
        <w:rPr>
          <w:rFonts w:eastAsia="Calibri" w:cs="Calibri"/>
          <w:color w:val="000000" w:themeColor="text1"/>
        </w:rPr>
        <w:t>ed</w:t>
      </w:r>
      <w:r w:rsidR="00C60D0B">
        <w:rPr>
          <w:rFonts w:eastAsia="Calibri" w:cs="Calibri"/>
          <w:color w:val="000000" w:themeColor="text1"/>
        </w:rPr>
        <w:t xml:space="preserve"> accordingly</w:t>
      </w:r>
      <w:r w:rsidR="00C60D0B" w:rsidRPr="2D71CCAF">
        <w:rPr>
          <w:rFonts w:eastAsia="Calibri" w:cs="Calibri"/>
          <w:color w:val="000000" w:themeColor="text1"/>
        </w:rPr>
        <w:t xml:space="preserve"> </w:t>
      </w:r>
      <w:r w:rsidRPr="2D71CCAF">
        <w:rPr>
          <w:rFonts w:eastAsia="Calibri" w:cs="Calibri"/>
          <w:color w:val="000000" w:themeColor="text1"/>
        </w:rPr>
        <w:t xml:space="preserve">throughout the </w:t>
      </w:r>
      <w:r w:rsidR="00547B58">
        <w:rPr>
          <w:rFonts w:eastAsia="Calibri" w:cs="Calibri"/>
          <w:color w:val="000000" w:themeColor="text1"/>
        </w:rPr>
        <w:t>2022-2027</w:t>
      </w:r>
      <w:r w:rsidRPr="2D71CCAF">
        <w:rPr>
          <w:rFonts w:eastAsia="Calibri" w:cs="Calibri"/>
          <w:color w:val="000000" w:themeColor="text1"/>
        </w:rPr>
        <w:t xml:space="preserve"> levy</w:t>
      </w:r>
      <w:r w:rsidR="00567C60">
        <w:rPr>
          <w:rFonts w:eastAsia="Calibri" w:cs="Calibri"/>
          <w:color w:val="000000" w:themeColor="text1"/>
        </w:rPr>
        <w:t xml:space="preserve"> to reflect any changes in state </w:t>
      </w:r>
      <w:r w:rsidR="000B32EE">
        <w:rPr>
          <w:rFonts w:eastAsia="Calibri" w:cs="Calibri"/>
          <w:color w:val="000000" w:themeColor="text1"/>
        </w:rPr>
        <w:t xml:space="preserve">and Federal </w:t>
      </w:r>
      <w:r w:rsidR="00567C60">
        <w:rPr>
          <w:rFonts w:eastAsia="Calibri" w:cs="Calibri"/>
          <w:color w:val="000000" w:themeColor="text1"/>
        </w:rPr>
        <w:t>policy</w:t>
      </w:r>
      <w:r w:rsidR="008D0A92">
        <w:rPr>
          <w:rFonts w:eastAsia="Calibri" w:cs="Calibri"/>
          <w:color w:val="000000" w:themeColor="text1"/>
        </w:rPr>
        <w:t>;</w:t>
      </w:r>
      <w:r w:rsidRPr="2D71CCAF">
        <w:rPr>
          <w:rFonts w:eastAsia="Calibri" w:cs="Calibri"/>
          <w:color w:val="000000" w:themeColor="text1"/>
        </w:rPr>
        <w:t xml:space="preserve"> </w:t>
      </w:r>
    </w:p>
    <w:p w14:paraId="2F6AAE49" w14:textId="095130C5" w:rsidR="00917BE1" w:rsidRPr="00D03F1F" w:rsidRDefault="00917BE1" w:rsidP="00917BE1">
      <w:pPr>
        <w:pStyle w:val="ListParagraph"/>
        <w:numPr>
          <w:ilvl w:val="0"/>
          <w:numId w:val="1"/>
        </w:numPr>
        <w:rPr>
          <w:rFonts w:asciiTheme="minorHAnsi" w:eastAsiaTheme="minorEastAsia" w:hAnsiTheme="minorHAnsi"/>
          <w:color w:val="000000" w:themeColor="text1"/>
        </w:rPr>
      </w:pPr>
      <w:r w:rsidRPr="2D71CCAF">
        <w:rPr>
          <w:rFonts w:eastAsia="Calibri" w:cs="Calibri"/>
          <w:color w:val="000000" w:themeColor="text1"/>
        </w:rPr>
        <w:t xml:space="preserve">Families </w:t>
      </w:r>
      <w:r w:rsidR="003767AA">
        <w:rPr>
          <w:rFonts w:eastAsia="Calibri" w:cs="Calibri"/>
          <w:color w:val="000000" w:themeColor="text1"/>
        </w:rPr>
        <w:t>whose</w:t>
      </w:r>
      <w:r w:rsidRPr="2D71CCAF">
        <w:rPr>
          <w:rFonts w:eastAsia="Calibri" w:cs="Calibri"/>
          <w:color w:val="000000" w:themeColor="text1"/>
        </w:rPr>
        <w:t xml:space="preserve"> child care copays</w:t>
      </w:r>
      <w:r w:rsidR="003767AA">
        <w:rPr>
          <w:rFonts w:eastAsia="Calibri" w:cs="Calibri"/>
          <w:color w:val="000000" w:themeColor="text1"/>
        </w:rPr>
        <w:t xml:space="preserve"> create financial hardship</w:t>
      </w:r>
      <w:r w:rsidRPr="2D71CCAF">
        <w:rPr>
          <w:rFonts w:eastAsia="Calibri" w:cs="Calibri"/>
          <w:color w:val="000000" w:themeColor="text1"/>
        </w:rPr>
        <w:t>;</w:t>
      </w:r>
    </w:p>
    <w:p w14:paraId="2AAD0588" w14:textId="73FCDC83" w:rsidR="00917BE1" w:rsidRPr="00D03F1F" w:rsidRDefault="00917BE1" w:rsidP="43D3543F">
      <w:pPr>
        <w:pStyle w:val="ListParagraph"/>
        <w:numPr>
          <w:ilvl w:val="0"/>
          <w:numId w:val="1"/>
        </w:numPr>
        <w:rPr>
          <w:rFonts w:asciiTheme="minorHAnsi" w:eastAsiaTheme="minorEastAsia" w:hAnsiTheme="minorHAnsi"/>
          <w:color w:val="000000" w:themeColor="text1"/>
        </w:rPr>
      </w:pPr>
      <w:r w:rsidRPr="43D3543F">
        <w:rPr>
          <w:rFonts w:eastAsia="Calibri" w:cs="Calibri"/>
          <w:color w:val="000000" w:themeColor="text1"/>
        </w:rPr>
        <w:t xml:space="preserve">Families ineligible for </w:t>
      </w:r>
      <w:r w:rsidR="00D1335B">
        <w:rPr>
          <w:rFonts w:eastAsia="Calibri" w:cs="Calibri"/>
          <w:color w:val="000000" w:themeColor="text1"/>
        </w:rPr>
        <w:t xml:space="preserve">or not well served by </w:t>
      </w:r>
      <w:r w:rsidRPr="43D3543F">
        <w:rPr>
          <w:rFonts w:eastAsia="Calibri" w:cs="Calibri"/>
          <w:color w:val="000000" w:themeColor="text1"/>
        </w:rPr>
        <w:t>existing subsidy programs</w:t>
      </w:r>
      <w:r w:rsidR="006A6869">
        <w:rPr>
          <w:rFonts w:eastAsia="Calibri" w:cs="Calibri"/>
          <w:color w:val="000000" w:themeColor="text1"/>
        </w:rPr>
        <w:t>.</w:t>
      </w:r>
      <w:r w:rsidR="003E4473">
        <w:rPr>
          <w:rFonts w:eastAsia="Calibri" w:cs="Calibri"/>
          <w:color w:val="000000" w:themeColor="text1"/>
        </w:rPr>
        <w:t xml:space="preserve"> </w:t>
      </w:r>
      <w:r w:rsidR="006A6869">
        <w:rPr>
          <w:rFonts w:eastAsia="Calibri" w:cs="Calibri"/>
          <w:color w:val="000000" w:themeColor="text1"/>
        </w:rPr>
        <w:t>This includes</w:t>
      </w:r>
      <w:r w:rsidR="003E4473">
        <w:rPr>
          <w:rFonts w:eastAsia="Calibri" w:cs="Calibri"/>
          <w:color w:val="000000" w:themeColor="text1"/>
        </w:rPr>
        <w:t xml:space="preserve"> </w:t>
      </w:r>
      <w:r w:rsidRPr="43D3543F">
        <w:rPr>
          <w:rFonts w:eastAsia="Calibri" w:cs="Calibri"/>
          <w:color w:val="000000" w:themeColor="text1"/>
        </w:rPr>
        <w:t xml:space="preserve">parents who are unemployed, students, </w:t>
      </w:r>
      <w:r w:rsidR="006A6869">
        <w:rPr>
          <w:rFonts w:eastAsia="Calibri" w:cs="Calibri"/>
          <w:color w:val="000000" w:themeColor="text1"/>
        </w:rPr>
        <w:t xml:space="preserve">or </w:t>
      </w:r>
      <w:r w:rsidRPr="43D3543F">
        <w:rPr>
          <w:rFonts w:eastAsia="Calibri" w:cs="Calibri"/>
          <w:color w:val="000000" w:themeColor="text1"/>
        </w:rPr>
        <w:t>living homeless</w:t>
      </w:r>
      <w:r w:rsidR="006A6869">
        <w:rPr>
          <w:rFonts w:eastAsia="Calibri" w:cs="Calibri"/>
          <w:color w:val="000000" w:themeColor="text1"/>
        </w:rPr>
        <w:t>;</w:t>
      </w:r>
      <w:r w:rsidRPr="43D3543F">
        <w:rPr>
          <w:rFonts w:eastAsia="Calibri" w:cs="Calibri"/>
          <w:color w:val="000000" w:themeColor="text1"/>
        </w:rPr>
        <w:t xml:space="preserve"> </w:t>
      </w:r>
      <w:r w:rsidR="006A6869">
        <w:rPr>
          <w:rFonts w:eastAsia="Calibri" w:cs="Calibri"/>
          <w:color w:val="000000" w:themeColor="text1"/>
        </w:rPr>
        <w:t>parents</w:t>
      </w:r>
      <w:r w:rsidRPr="43D3543F">
        <w:rPr>
          <w:rFonts w:eastAsia="Calibri" w:cs="Calibri"/>
          <w:color w:val="000000" w:themeColor="text1"/>
        </w:rPr>
        <w:t xml:space="preserve"> who live or attend care in unincorporated areas</w:t>
      </w:r>
      <w:r w:rsidR="006A6869">
        <w:rPr>
          <w:rFonts w:eastAsia="Calibri" w:cs="Calibri"/>
          <w:color w:val="000000" w:themeColor="text1"/>
        </w:rPr>
        <w:t>;</w:t>
      </w:r>
      <w:r w:rsidRPr="43D3543F">
        <w:rPr>
          <w:rFonts w:eastAsia="Calibri" w:cs="Calibri"/>
          <w:color w:val="000000" w:themeColor="text1"/>
        </w:rPr>
        <w:t xml:space="preserve"> or children </w:t>
      </w:r>
      <w:r w:rsidR="006A6869">
        <w:rPr>
          <w:rFonts w:eastAsia="Calibri" w:cs="Calibri"/>
          <w:color w:val="000000" w:themeColor="text1"/>
        </w:rPr>
        <w:t xml:space="preserve">who </w:t>
      </w:r>
      <w:r w:rsidRPr="43D3543F">
        <w:rPr>
          <w:rFonts w:eastAsia="Calibri" w:cs="Calibri"/>
          <w:color w:val="000000" w:themeColor="text1"/>
        </w:rPr>
        <w:t xml:space="preserve">are undocumented. </w:t>
      </w:r>
    </w:p>
    <w:p w14:paraId="4AB9F22B" w14:textId="77777777" w:rsidR="00917BE1" w:rsidRPr="00D03F1F" w:rsidRDefault="00917BE1" w:rsidP="00917BE1">
      <w:pPr>
        <w:contextualSpacing/>
        <w:rPr>
          <w:rFonts w:eastAsia="Calibri" w:cs="Calibri"/>
          <w:color w:val="000000" w:themeColor="text1"/>
        </w:rPr>
      </w:pPr>
    </w:p>
    <w:p w14:paraId="5A8C4B90" w14:textId="5E6DBFD5" w:rsidR="00917BE1" w:rsidRPr="00D03F1F" w:rsidRDefault="00917BE1" w:rsidP="00917BE1">
      <w:pPr>
        <w:contextualSpacing/>
        <w:rPr>
          <w:rFonts w:eastAsia="Calibri" w:cs="Calibri"/>
          <w:color w:val="000000" w:themeColor="text1"/>
        </w:rPr>
      </w:pPr>
      <w:r w:rsidRPr="71D2A87E">
        <w:rPr>
          <w:rFonts w:eastAsia="Calibri" w:cs="Calibri"/>
          <w:color w:val="000000" w:themeColor="text1"/>
        </w:rPr>
        <w:t>King County residents experience a steep “benefits cliff” when they become ineligible for child care subsidy.</w:t>
      </w:r>
      <w:r w:rsidR="00D44660">
        <w:rPr>
          <w:rStyle w:val="FootnoteReference"/>
          <w:rFonts w:eastAsia="Calibri" w:cs="Calibri"/>
          <w:color w:val="000000" w:themeColor="text1"/>
        </w:rPr>
        <w:footnoteReference w:id="105"/>
      </w:r>
      <w:r>
        <w:rPr>
          <w:rFonts w:eastAsia="Calibri" w:cs="Calibri"/>
          <w:color w:val="000000" w:themeColor="text1"/>
        </w:rPr>
        <w:t xml:space="preserve"> </w:t>
      </w:r>
      <w:r w:rsidR="2E226285">
        <w:rPr>
          <w:rFonts w:eastAsia="Calibri" w:cs="Calibri"/>
          <w:color w:val="000000" w:themeColor="text1"/>
        </w:rPr>
        <w:t xml:space="preserve">The passage of the Fair Start Act eases this </w:t>
      </w:r>
      <w:r w:rsidR="75C21246">
        <w:rPr>
          <w:rFonts w:eastAsia="Calibri" w:cs="Calibri"/>
          <w:color w:val="000000" w:themeColor="text1"/>
        </w:rPr>
        <w:t xml:space="preserve">by </w:t>
      </w:r>
      <w:r w:rsidR="2D94F526">
        <w:rPr>
          <w:rFonts w:eastAsia="Calibri" w:cs="Calibri"/>
          <w:color w:val="000000" w:themeColor="text1"/>
        </w:rPr>
        <w:t xml:space="preserve">significantly </w:t>
      </w:r>
      <w:r w:rsidR="75C21246">
        <w:rPr>
          <w:rFonts w:eastAsia="Calibri" w:cs="Calibri"/>
          <w:color w:val="000000" w:themeColor="text1"/>
        </w:rPr>
        <w:t>expanding eligibility and limiting participating families’ copays to seven percent</w:t>
      </w:r>
      <w:r w:rsidR="44216187">
        <w:rPr>
          <w:rFonts w:eastAsia="Calibri" w:cs="Calibri"/>
          <w:color w:val="000000" w:themeColor="text1"/>
        </w:rPr>
        <w:t xml:space="preserve"> </w:t>
      </w:r>
      <w:r w:rsidR="5065F6D7">
        <w:rPr>
          <w:rFonts w:eastAsia="Calibri" w:cs="Calibri"/>
          <w:color w:val="000000" w:themeColor="text1"/>
        </w:rPr>
        <w:t>of their income.</w:t>
      </w:r>
      <w:r w:rsidRPr="42D50327">
        <w:rPr>
          <w:rStyle w:val="FootnoteReference"/>
          <w:rFonts w:eastAsia="Calibri" w:cs="Calibri"/>
          <w:color w:val="000000" w:themeColor="text1"/>
        </w:rPr>
        <w:footnoteReference w:id="106"/>
      </w:r>
      <w:r w:rsidR="00B4741C">
        <w:rPr>
          <w:rFonts w:eastAsia="Calibri" w:cs="Calibri"/>
          <w:color w:val="000000" w:themeColor="text1"/>
        </w:rPr>
        <w:t xml:space="preserve"> </w:t>
      </w:r>
      <w:r w:rsidR="587A087D" w:rsidRPr="71D2A87E">
        <w:rPr>
          <w:rFonts w:eastAsia="Calibri" w:cs="Calibri"/>
          <w:color w:val="000000" w:themeColor="text1"/>
        </w:rPr>
        <w:t xml:space="preserve">However, </w:t>
      </w:r>
      <w:r w:rsidR="007E2D24">
        <w:rPr>
          <w:rFonts w:eastAsia="Calibri" w:cs="Calibri"/>
          <w:color w:val="000000" w:themeColor="text1"/>
        </w:rPr>
        <w:t xml:space="preserve">without additional </w:t>
      </w:r>
      <w:r w:rsidR="001D5E1A">
        <w:rPr>
          <w:rFonts w:eastAsia="Calibri" w:cs="Calibri"/>
          <w:color w:val="000000" w:themeColor="text1"/>
        </w:rPr>
        <w:t xml:space="preserve">subsidies like the one </w:t>
      </w:r>
      <w:r w:rsidR="001D5E1A" w:rsidRPr="000D3B07">
        <w:rPr>
          <w:rFonts w:eastAsia="Calibri" w:cs="Calibri"/>
          <w:i/>
          <w:color w:val="000000" w:themeColor="text1"/>
        </w:rPr>
        <w:t>Best Starts</w:t>
      </w:r>
      <w:r w:rsidR="001D5E1A">
        <w:rPr>
          <w:rFonts w:eastAsia="Calibri" w:cs="Calibri"/>
          <w:color w:val="000000" w:themeColor="text1"/>
        </w:rPr>
        <w:t xml:space="preserve"> </w:t>
      </w:r>
      <w:r w:rsidR="002A676F">
        <w:rPr>
          <w:rFonts w:eastAsia="Calibri" w:cs="Calibri"/>
          <w:color w:val="000000" w:themeColor="text1"/>
        </w:rPr>
        <w:t xml:space="preserve">will </w:t>
      </w:r>
      <w:r w:rsidR="001D5E1A">
        <w:rPr>
          <w:rFonts w:eastAsia="Calibri" w:cs="Calibri"/>
          <w:color w:val="000000" w:themeColor="text1"/>
        </w:rPr>
        <w:t xml:space="preserve">provide, </w:t>
      </w:r>
      <w:r w:rsidR="587A087D" w:rsidRPr="71D2A87E">
        <w:rPr>
          <w:rFonts w:eastAsia="Calibri" w:cs="Calibri"/>
          <w:color w:val="000000" w:themeColor="text1"/>
        </w:rPr>
        <w:t xml:space="preserve">families who receive </w:t>
      </w:r>
      <w:r w:rsidR="001D5E1A">
        <w:rPr>
          <w:rFonts w:eastAsia="Calibri" w:cs="Calibri"/>
          <w:color w:val="000000" w:themeColor="text1"/>
        </w:rPr>
        <w:t xml:space="preserve">even </w:t>
      </w:r>
      <w:r w:rsidR="587A087D" w:rsidRPr="71D2A87E">
        <w:rPr>
          <w:rFonts w:eastAsia="Calibri" w:cs="Calibri"/>
          <w:color w:val="000000" w:themeColor="text1"/>
        </w:rPr>
        <w:t>a</w:t>
      </w:r>
      <w:r w:rsidR="001D5E1A">
        <w:rPr>
          <w:rFonts w:eastAsia="Calibri" w:cs="Calibri"/>
          <w:color w:val="000000" w:themeColor="text1"/>
        </w:rPr>
        <w:t xml:space="preserve"> modest</w:t>
      </w:r>
      <w:r w:rsidR="587A087D" w:rsidRPr="71D2A87E">
        <w:rPr>
          <w:rFonts w:eastAsia="Calibri" w:cs="Calibri"/>
          <w:color w:val="000000" w:themeColor="text1"/>
        </w:rPr>
        <w:t xml:space="preserve"> increase in pay </w:t>
      </w:r>
      <w:r w:rsidR="001D5E1A">
        <w:rPr>
          <w:rFonts w:eastAsia="Calibri" w:cs="Calibri"/>
          <w:color w:val="000000" w:themeColor="text1"/>
        </w:rPr>
        <w:t>that causes them to</w:t>
      </w:r>
      <w:r w:rsidR="001D5E1A" w:rsidRPr="71D2A87E">
        <w:rPr>
          <w:rFonts w:eastAsia="Calibri" w:cs="Calibri"/>
          <w:color w:val="000000" w:themeColor="text1"/>
        </w:rPr>
        <w:t xml:space="preserve"> </w:t>
      </w:r>
      <w:r w:rsidR="587A087D" w:rsidRPr="71D2A87E">
        <w:rPr>
          <w:rFonts w:eastAsia="Calibri" w:cs="Calibri"/>
          <w:color w:val="000000" w:themeColor="text1"/>
        </w:rPr>
        <w:t xml:space="preserve">become </w:t>
      </w:r>
      <w:r w:rsidRPr="71D2A87E">
        <w:rPr>
          <w:rFonts w:eastAsia="Calibri" w:cs="Calibri"/>
          <w:color w:val="000000" w:themeColor="text1"/>
        </w:rPr>
        <w:t>ineligible</w:t>
      </w:r>
      <w:r>
        <w:rPr>
          <w:rFonts w:eastAsia="Calibri" w:cs="Calibri"/>
          <w:color w:val="000000" w:themeColor="text1"/>
        </w:rPr>
        <w:t xml:space="preserve"> </w:t>
      </w:r>
      <w:r w:rsidRPr="71D2A87E">
        <w:rPr>
          <w:rFonts w:eastAsia="Calibri" w:cs="Calibri"/>
          <w:color w:val="000000" w:themeColor="text1"/>
        </w:rPr>
        <w:t xml:space="preserve">for WCCC </w:t>
      </w:r>
      <w:r w:rsidR="007E2D24">
        <w:rPr>
          <w:rFonts w:eastAsia="Calibri" w:cs="Calibri"/>
          <w:color w:val="000000" w:themeColor="text1"/>
        </w:rPr>
        <w:t xml:space="preserve">over the longer term </w:t>
      </w:r>
      <w:r w:rsidR="00511442">
        <w:rPr>
          <w:rFonts w:eastAsia="Calibri" w:cs="Calibri"/>
          <w:color w:val="000000" w:themeColor="text1"/>
        </w:rPr>
        <w:t xml:space="preserve">can </w:t>
      </w:r>
      <w:r w:rsidRPr="71D2A87E">
        <w:rPr>
          <w:rFonts w:eastAsia="Calibri" w:cs="Calibri"/>
          <w:color w:val="000000" w:themeColor="text1"/>
        </w:rPr>
        <w:t xml:space="preserve">become responsible for </w:t>
      </w:r>
      <w:r w:rsidR="00CB1844">
        <w:rPr>
          <w:rFonts w:eastAsia="Calibri" w:cs="Calibri"/>
          <w:color w:val="000000" w:themeColor="text1"/>
        </w:rPr>
        <w:t>a prohibitively high</w:t>
      </w:r>
      <w:r w:rsidR="00CB1844" w:rsidRPr="71D2A87E">
        <w:rPr>
          <w:rFonts w:eastAsia="Calibri" w:cs="Calibri"/>
          <w:color w:val="000000" w:themeColor="text1"/>
        </w:rPr>
        <w:t xml:space="preserve"> </w:t>
      </w:r>
      <w:r w:rsidRPr="71D2A87E">
        <w:rPr>
          <w:rFonts w:eastAsia="Calibri" w:cs="Calibri"/>
          <w:color w:val="000000" w:themeColor="text1"/>
        </w:rPr>
        <w:t xml:space="preserve">full cost of care. For </w:t>
      </w:r>
      <w:r w:rsidR="007F6F36">
        <w:rPr>
          <w:rFonts w:eastAsia="Calibri" w:cs="Calibri"/>
          <w:color w:val="000000" w:themeColor="text1"/>
        </w:rPr>
        <w:t xml:space="preserve">families with </w:t>
      </w:r>
      <w:r w:rsidRPr="71D2A87E">
        <w:rPr>
          <w:rFonts w:eastAsia="Calibri" w:cs="Calibri"/>
          <w:color w:val="000000" w:themeColor="text1"/>
        </w:rPr>
        <w:t>two children</w:t>
      </w:r>
      <w:r>
        <w:rPr>
          <w:rFonts w:eastAsia="Calibri" w:cs="Calibri"/>
          <w:color w:val="000000" w:themeColor="text1"/>
        </w:rPr>
        <w:t xml:space="preserve"> in center-based care in Washington State</w:t>
      </w:r>
      <w:r w:rsidRPr="71D2A87E">
        <w:rPr>
          <w:rFonts w:eastAsia="Calibri" w:cs="Calibri"/>
          <w:color w:val="000000" w:themeColor="text1"/>
        </w:rPr>
        <w:t xml:space="preserve">, this </w:t>
      </w:r>
      <w:r w:rsidR="00490A53">
        <w:rPr>
          <w:rFonts w:eastAsia="Calibri" w:cs="Calibri"/>
          <w:color w:val="000000" w:themeColor="text1"/>
        </w:rPr>
        <w:t>averages</w:t>
      </w:r>
      <w:r w:rsidRPr="00CE5558">
        <w:rPr>
          <w:rFonts w:eastAsia="Calibri" w:cs="Calibri"/>
          <w:color w:val="000000" w:themeColor="text1"/>
        </w:rPr>
        <w:t xml:space="preserve"> $</w:t>
      </w:r>
      <w:r>
        <w:rPr>
          <w:rFonts w:eastAsia="Calibri" w:cs="Calibri"/>
          <w:color w:val="000000" w:themeColor="text1"/>
        </w:rPr>
        <w:t>2,183</w:t>
      </w:r>
      <w:r w:rsidRPr="00CE5558">
        <w:rPr>
          <w:rFonts w:eastAsia="Calibri" w:cs="Calibri"/>
          <w:color w:val="000000" w:themeColor="text1"/>
        </w:rPr>
        <w:t xml:space="preserve"> each</w:t>
      </w:r>
      <w:r w:rsidRPr="71D2A87E">
        <w:rPr>
          <w:rFonts w:eastAsia="Calibri" w:cs="Calibri"/>
          <w:color w:val="000000" w:themeColor="text1"/>
        </w:rPr>
        <w:t xml:space="preserve"> month</w:t>
      </w:r>
      <w:r w:rsidR="007F6F36">
        <w:rPr>
          <w:rFonts w:eastAsia="Calibri" w:cs="Calibri"/>
          <w:color w:val="000000" w:themeColor="text1"/>
        </w:rPr>
        <w:t>,</w:t>
      </w:r>
      <w:r>
        <w:rPr>
          <w:rFonts w:eastAsia="Calibri" w:cs="Calibri"/>
          <w:color w:val="000000" w:themeColor="text1"/>
        </w:rPr>
        <w:t xml:space="preserve"> </w:t>
      </w:r>
      <w:r w:rsidR="007F6F36">
        <w:rPr>
          <w:rFonts w:eastAsia="Calibri" w:cs="Calibri"/>
          <w:color w:val="000000" w:themeColor="text1"/>
        </w:rPr>
        <w:t xml:space="preserve">with costs often </w:t>
      </w:r>
      <w:r w:rsidR="00B404FB">
        <w:rPr>
          <w:rFonts w:eastAsia="Calibri" w:cs="Calibri"/>
          <w:color w:val="000000" w:themeColor="text1"/>
        </w:rPr>
        <w:t xml:space="preserve">significantly </w:t>
      </w:r>
      <w:r w:rsidR="007F6F36">
        <w:rPr>
          <w:rFonts w:eastAsia="Calibri" w:cs="Calibri"/>
          <w:color w:val="000000" w:themeColor="text1"/>
        </w:rPr>
        <w:t>higher</w:t>
      </w:r>
      <w:r w:rsidR="00244584">
        <w:rPr>
          <w:rFonts w:eastAsia="Calibri" w:cs="Calibri"/>
          <w:color w:val="000000" w:themeColor="text1"/>
        </w:rPr>
        <w:t xml:space="preserve"> </w:t>
      </w:r>
      <w:r w:rsidR="00FA1275">
        <w:rPr>
          <w:rFonts w:eastAsia="Calibri" w:cs="Calibri"/>
          <w:color w:val="000000" w:themeColor="text1"/>
        </w:rPr>
        <w:t>in</w:t>
      </w:r>
      <w:r w:rsidR="007F6F36">
        <w:rPr>
          <w:rFonts w:eastAsia="Calibri" w:cs="Calibri"/>
          <w:color w:val="000000" w:themeColor="text1"/>
        </w:rPr>
        <w:t xml:space="preserve"> regions with higher cost of living like King County.</w:t>
      </w:r>
      <w:r w:rsidR="00D44660">
        <w:rPr>
          <w:rStyle w:val="FootnoteReference"/>
          <w:rFonts w:eastAsia="Calibri" w:cs="Calibri"/>
          <w:color w:val="000000" w:themeColor="text1"/>
        </w:rPr>
        <w:footnoteReference w:id="107"/>
      </w:r>
      <w:r w:rsidR="00D44660">
        <w:rPr>
          <w:rFonts w:eastAsia="Calibri" w:cs="Calibri"/>
          <w:color w:val="000000" w:themeColor="text1"/>
        </w:rPr>
        <w:t xml:space="preserve"> </w:t>
      </w:r>
      <w:r w:rsidR="007F6F36">
        <w:rPr>
          <w:rFonts w:eastAsia="Calibri" w:cs="Calibri"/>
          <w:color w:val="000000" w:themeColor="text1"/>
        </w:rPr>
        <w:t xml:space="preserve"> </w:t>
      </w:r>
      <w:r w:rsidR="00511442">
        <w:rPr>
          <w:rFonts w:eastAsia="Calibri" w:cs="Calibri"/>
          <w:color w:val="000000" w:themeColor="text1"/>
        </w:rPr>
        <w:t>As a result, m</w:t>
      </w:r>
      <w:r w:rsidRPr="71D2A87E">
        <w:rPr>
          <w:rFonts w:eastAsia="Calibri" w:cs="Calibri"/>
          <w:color w:val="000000" w:themeColor="text1"/>
        </w:rPr>
        <w:t xml:space="preserve">any families in King County are unable to </w:t>
      </w:r>
      <w:r w:rsidR="00876316">
        <w:rPr>
          <w:rFonts w:eastAsia="Calibri" w:cs="Calibri"/>
          <w:color w:val="000000" w:themeColor="text1"/>
        </w:rPr>
        <w:t>advance</w:t>
      </w:r>
      <w:r w:rsidRPr="71D2A87E">
        <w:rPr>
          <w:rFonts w:eastAsia="Calibri" w:cs="Calibri"/>
          <w:color w:val="000000" w:themeColor="text1"/>
        </w:rPr>
        <w:t xml:space="preserve"> professionally or financially because the full cost of child care is prohibitive </w:t>
      </w:r>
      <w:r w:rsidR="00511442">
        <w:rPr>
          <w:rFonts w:eastAsia="Calibri" w:cs="Calibri"/>
          <w:color w:val="000000" w:themeColor="text1"/>
        </w:rPr>
        <w:t>once</w:t>
      </w:r>
      <w:r w:rsidR="00511442" w:rsidRPr="71D2A87E">
        <w:rPr>
          <w:rFonts w:eastAsia="Calibri" w:cs="Calibri"/>
          <w:color w:val="000000" w:themeColor="text1"/>
        </w:rPr>
        <w:t xml:space="preserve"> </w:t>
      </w:r>
      <w:r w:rsidRPr="71D2A87E">
        <w:rPr>
          <w:rFonts w:eastAsia="Calibri" w:cs="Calibri"/>
          <w:color w:val="000000" w:themeColor="text1"/>
        </w:rPr>
        <w:t xml:space="preserve">they become ineligible for </w:t>
      </w:r>
      <w:r w:rsidR="004C29A8">
        <w:rPr>
          <w:rFonts w:eastAsia="Calibri" w:cs="Calibri"/>
          <w:color w:val="000000" w:themeColor="text1"/>
        </w:rPr>
        <w:t>the S</w:t>
      </w:r>
      <w:r w:rsidR="00511442">
        <w:rPr>
          <w:rFonts w:eastAsia="Calibri" w:cs="Calibri"/>
          <w:color w:val="000000" w:themeColor="text1"/>
        </w:rPr>
        <w:t>tate</w:t>
      </w:r>
      <w:r w:rsidR="004C29A8">
        <w:rPr>
          <w:rFonts w:eastAsia="Calibri" w:cs="Calibri"/>
          <w:color w:val="000000" w:themeColor="text1"/>
        </w:rPr>
        <w:t>’s</w:t>
      </w:r>
      <w:r w:rsidR="00511442">
        <w:rPr>
          <w:rFonts w:eastAsia="Calibri" w:cs="Calibri"/>
          <w:color w:val="000000" w:themeColor="text1"/>
        </w:rPr>
        <w:t xml:space="preserve"> </w:t>
      </w:r>
      <w:r w:rsidRPr="71D2A87E">
        <w:rPr>
          <w:rFonts w:eastAsia="Calibri" w:cs="Calibri"/>
          <w:color w:val="000000" w:themeColor="text1"/>
        </w:rPr>
        <w:t xml:space="preserve">subsidy. A lack of access to stable child care can keep families in poverty or </w:t>
      </w:r>
      <w:r w:rsidR="004C29A8">
        <w:rPr>
          <w:rFonts w:eastAsia="Calibri" w:cs="Calibri"/>
          <w:color w:val="000000" w:themeColor="text1"/>
        </w:rPr>
        <w:t xml:space="preserve">place them </w:t>
      </w:r>
      <w:r w:rsidRPr="71D2A87E">
        <w:rPr>
          <w:rFonts w:eastAsia="Calibri" w:cs="Calibri"/>
          <w:color w:val="000000" w:themeColor="text1"/>
        </w:rPr>
        <w:t>at risk of homelessness.</w:t>
      </w:r>
      <w:r w:rsidR="00EC7D5C">
        <w:rPr>
          <w:rStyle w:val="FootnoteReference"/>
          <w:rFonts w:eastAsia="Calibri" w:cs="Calibri"/>
          <w:color w:val="000000" w:themeColor="text1"/>
        </w:rPr>
        <w:footnoteReference w:id="108"/>
      </w:r>
      <w:r w:rsidRPr="71D2A87E">
        <w:rPr>
          <w:rFonts w:eastAsia="Calibri" w:cs="Calibri"/>
          <w:color w:val="000000" w:themeColor="text1"/>
        </w:rPr>
        <w:t xml:space="preserve"> </w:t>
      </w:r>
      <w:r w:rsidRPr="71D2A87E">
        <w:rPr>
          <w:rFonts w:eastAsia="Calibri" w:cs="Calibri"/>
          <w:i/>
          <w:iCs/>
          <w:color w:val="000000" w:themeColor="text1"/>
        </w:rPr>
        <w:t>Best Starts</w:t>
      </w:r>
      <w:r w:rsidRPr="71D2A87E">
        <w:rPr>
          <w:rFonts w:eastAsia="Calibri" w:cs="Calibri"/>
          <w:color w:val="000000" w:themeColor="text1"/>
        </w:rPr>
        <w:t xml:space="preserve"> funding will support </w:t>
      </w:r>
      <w:r w:rsidR="004C29A8">
        <w:rPr>
          <w:rFonts w:eastAsia="Calibri" w:cs="Calibri"/>
          <w:color w:val="000000" w:themeColor="text1"/>
        </w:rPr>
        <w:t xml:space="preserve">these </w:t>
      </w:r>
      <w:r w:rsidRPr="71D2A87E">
        <w:rPr>
          <w:rFonts w:eastAsia="Calibri" w:cs="Calibri"/>
          <w:color w:val="000000" w:themeColor="text1"/>
        </w:rPr>
        <w:t>families</w:t>
      </w:r>
      <w:r>
        <w:rPr>
          <w:rFonts w:eastAsia="Calibri" w:cs="Calibri"/>
          <w:color w:val="000000" w:themeColor="text1"/>
        </w:rPr>
        <w:t xml:space="preserve"> to</w:t>
      </w:r>
      <w:r w:rsidRPr="71D2A87E">
        <w:rPr>
          <w:rFonts w:eastAsia="Calibri" w:cs="Calibri"/>
          <w:color w:val="000000" w:themeColor="text1"/>
        </w:rPr>
        <w:t xml:space="preserve"> attain stability and thrive.</w:t>
      </w:r>
    </w:p>
    <w:p w14:paraId="533BBB63" w14:textId="77777777" w:rsidR="00917BE1" w:rsidRDefault="00917BE1" w:rsidP="00917BE1">
      <w:pPr>
        <w:contextualSpacing/>
        <w:rPr>
          <w:rFonts w:eastAsia="Calibri" w:cs="Calibri"/>
          <w:color w:val="000000" w:themeColor="text1"/>
        </w:rPr>
      </w:pPr>
    </w:p>
    <w:p w14:paraId="3645AC1B" w14:textId="5C1CDF65" w:rsidR="00766B38" w:rsidRPr="00D03F1F" w:rsidRDefault="00766B38" w:rsidP="00766B38">
      <w:pPr>
        <w:contextualSpacing/>
        <w:rPr>
          <w:rFonts w:eastAsia="Calibri" w:cs="Calibri"/>
          <w:color w:val="000000" w:themeColor="text1"/>
        </w:rPr>
      </w:pPr>
      <w:r w:rsidRPr="71D2A87E">
        <w:rPr>
          <w:rFonts w:eastAsia="Calibri" w:cs="Calibri"/>
          <w:color w:val="000000" w:themeColor="text1"/>
        </w:rPr>
        <w:t xml:space="preserve">The child care access challenges outlined above do not impact all King County families equally. BIPOC families, families whose children have developmental delays, disabilities, or are impacted by trauma, and families who live in areas without sufficient child care slots are disproportionately harmed by inadequate access to care. </w:t>
      </w:r>
      <w:r w:rsidRPr="71D2A87E">
        <w:rPr>
          <w:rFonts w:eastAsia="Calibri" w:cs="Calibri"/>
          <w:i/>
          <w:iCs/>
          <w:color w:val="000000" w:themeColor="text1"/>
        </w:rPr>
        <w:t>Best Starts</w:t>
      </w:r>
      <w:r w:rsidRPr="71D2A87E">
        <w:rPr>
          <w:rFonts w:eastAsia="Calibri" w:cs="Calibri"/>
          <w:color w:val="000000" w:themeColor="text1"/>
        </w:rPr>
        <w:t xml:space="preserve">’ child care subsidy program will work toward advancing equity and eliminating disparities by prioritizing families </w:t>
      </w:r>
      <w:r w:rsidR="00F320BF">
        <w:rPr>
          <w:rFonts w:eastAsia="Calibri" w:cs="Calibri"/>
          <w:color w:val="000000" w:themeColor="text1"/>
        </w:rPr>
        <w:t xml:space="preserve">like these </w:t>
      </w:r>
      <w:r w:rsidRPr="71D2A87E">
        <w:rPr>
          <w:rFonts w:eastAsia="Calibri" w:cs="Calibri"/>
          <w:color w:val="000000" w:themeColor="text1"/>
        </w:rPr>
        <w:t>who experience additional challenges to access</w:t>
      </w:r>
      <w:r w:rsidR="71A5D2F6" w:rsidRPr="71D2A87E">
        <w:rPr>
          <w:rFonts w:eastAsia="Calibri" w:cs="Calibri"/>
          <w:color w:val="000000" w:themeColor="text1"/>
        </w:rPr>
        <w:t>ing care</w:t>
      </w:r>
      <w:r w:rsidRPr="71D2A87E">
        <w:rPr>
          <w:rFonts w:eastAsia="Calibri" w:cs="Calibri"/>
          <w:color w:val="000000" w:themeColor="text1"/>
        </w:rPr>
        <w:t>. This includes families who live in</w:t>
      </w:r>
      <w:r w:rsidR="00B85594">
        <w:rPr>
          <w:rFonts w:eastAsia="Calibri" w:cs="Calibri"/>
          <w:color w:val="000000" w:themeColor="text1"/>
        </w:rPr>
        <w:t xml:space="preserve"> </w:t>
      </w:r>
      <w:r w:rsidR="005F3A2E">
        <w:rPr>
          <w:rFonts w:eastAsia="Calibri" w:cs="Calibri"/>
          <w:color w:val="000000" w:themeColor="text1"/>
        </w:rPr>
        <w:t xml:space="preserve">geographic </w:t>
      </w:r>
      <w:r w:rsidR="00B85594">
        <w:rPr>
          <w:rFonts w:eastAsia="Calibri" w:cs="Calibri"/>
          <w:color w:val="000000" w:themeColor="text1"/>
        </w:rPr>
        <w:t xml:space="preserve">areas or communities without </w:t>
      </w:r>
      <w:r w:rsidR="005F3A2E">
        <w:rPr>
          <w:rFonts w:eastAsia="Calibri" w:cs="Calibri"/>
          <w:color w:val="000000" w:themeColor="text1"/>
        </w:rPr>
        <w:t>sufficient access to quality child care, known</w:t>
      </w:r>
      <w:r w:rsidRPr="71D2A87E">
        <w:rPr>
          <w:rFonts w:eastAsia="Calibri" w:cs="Calibri"/>
          <w:color w:val="000000" w:themeColor="text1"/>
        </w:rPr>
        <w:t xml:space="preserve"> </w:t>
      </w:r>
      <w:r w:rsidR="005F3A2E">
        <w:rPr>
          <w:rFonts w:eastAsia="Calibri" w:cs="Calibri"/>
          <w:color w:val="000000" w:themeColor="text1"/>
        </w:rPr>
        <w:t>as child care</w:t>
      </w:r>
      <w:r w:rsidR="005F3A2E" w:rsidRPr="71D2A87E">
        <w:rPr>
          <w:rFonts w:eastAsia="Calibri" w:cs="Calibri"/>
          <w:color w:val="000000" w:themeColor="text1"/>
        </w:rPr>
        <w:t xml:space="preserve"> </w:t>
      </w:r>
      <w:r w:rsidRPr="71D2A87E">
        <w:rPr>
          <w:rFonts w:eastAsia="Calibri" w:cs="Calibri"/>
          <w:color w:val="000000" w:themeColor="text1"/>
        </w:rPr>
        <w:t>access deserts or whose children have been suspended or expelled from child care settings.</w:t>
      </w:r>
      <w:r w:rsidR="00D44660">
        <w:rPr>
          <w:rStyle w:val="FootnoteReference"/>
          <w:rFonts w:eastAsia="Calibri" w:cs="Calibri"/>
          <w:color w:val="000000" w:themeColor="text1"/>
        </w:rPr>
        <w:footnoteReference w:id="109"/>
      </w:r>
      <w:r w:rsidR="00D44660" w:rsidRPr="71D2A87E">
        <w:rPr>
          <w:rFonts w:eastAsia="Calibri" w:cs="Calibri"/>
          <w:color w:val="000000" w:themeColor="text1"/>
        </w:rPr>
        <w:t xml:space="preserve"> </w:t>
      </w:r>
      <w:r w:rsidRPr="71D2A87E">
        <w:rPr>
          <w:rFonts w:eastAsia="Calibri" w:cs="Calibri"/>
          <w:color w:val="000000" w:themeColor="text1"/>
        </w:rPr>
        <w:t xml:space="preserve"> Where possible, </w:t>
      </w:r>
      <w:r w:rsidRPr="71D2A87E">
        <w:rPr>
          <w:rFonts w:eastAsia="Calibri" w:cs="Calibri"/>
          <w:i/>
          <w:iCs/>
          <w:color w:val="000000" w:themeColor="text1"/>
        </w:rPr>
        <w:t>Best Starts</w:t>
      </w:r>
      <w:r w:rsidRPr="71D2A87E">
        <w:rPr>
          <w:rFonts w:eastAsia="Calibri" w:cs="Calibri"/>
          <w:color w:val="000000" w:themeColor="text1"/>
        </w:rPr>
        <w:t xml:space="preserve"> will </w:t>
      </w:r>
      <w:r w:rsidRPr="477958E1">
        <w:rPr>
          <w:rFonts w:eastAsia="Calibri" w:cs="Calibri"/>
          <w:color w:val="000000" w:themeColor="text1"/>
        </w:rPr>
        <w:t>avoid eligibility</w:t>
      </w:r>
      <w:r w:rsidRPr="71D2A87E">
        <w:rPr>
          <w:rFonts w:eastAsia="Calibri" w:cs="Calibri"/>
          <w:color w:val="000000" w:themeColor="text1"/>
        </w:rPr>
        <w:t xml:space="preserve"> requirements </w:t>
      </w:r>
      <w:r w:rsidRPr="71D2A87E">
        <w:rPr>
          <w:rFonts w:eastAsia="Calibri" w:cs="Calibri"/>
          <w:color w:val="000000" w:themeColor="text1"/>
        </w:rPr>
        <w:lastRenderedPageBreak/>
        <w:t>that prevent families from accessing care and disrupt continuity of care, including frequent income verifications.</w:t>
      </w:r>
    </w:p>
    <w:p w14:paraId="29E8688B" w14:textId="77777777" w:rsidR="00766B38" w:rsidRPr="00D03F1F" w:rsidRDefault="00766B38" w:rsidP="00766B38">
      <w:pPr>
        <w:contextualSpacing/>
        <w:rPr>
          <w:rFonts w:eastAsia="Calibri" w:cs="Calibri"/>
          <w:color w:val="000000" w:themeColor="text1"/>
        </w:rPr>
      </w:pPr>
    </w:p>
    <w:p w14:paraId="53FF6314" w14:textId="74C4DAD1" w:rsidR="00766B38" w:rsidRDefault="00766B38" w:rsidP="00766B38">
      <w:pPr>
        <w:contextualSpacing/>
        <w:rPr>
          <w:rFonts w:eastAsia="Calibri" w:cs="Calibri"/>
          <w:color w:val="000000" w:themeColor="text1"/>
        </w:rPr>
      </w:pPr>
      <w:r w:rsidRPr="71D2A87E">
        <w:rPr>
          <w:rFonts w:eastAsia="Calibri" w:cs="Calibri"/>
          <w:i/>
          <w:iCs/>
          <w:color w:val="000000" w:themeColor="text1"/>
        </w:rPr>
        <w:t xml:space="preserve">Best Starts </w:t>
      </w:r>
      <w:r w:rsidRPr="71D2A87E">
        <w:rPr>
          <w:rFonts w:eastAsia="Calibri" w:cs="Calibri"/>
          <w:color w:val="000000" w:themeColor="text1"/>
        </w:rPr>
        <w:t xml:space="preserve">will contract with one or more intermediaries with experience in child care referral and subsidy programming </w:t>
      </w:r>
      <w:r>
        <w:rPr>
          <w:rFonts w:eastAsia="Calibri" w:cs="Calibri"/>
          <w:color w:val="000000" w:themeColor="text1"/>
        </w:rPr>
        <w:t xml:space="preserve">to </w:t>
      </w:r>
      <w:r w:rsidRPr="71D2A87E">
        <w:rPr>
          <w:rFonts w:eastAsia="Calibri" w:cs="Calibri"/>
          <w:color w:val="000000" w:themeColor="text1"/>
        </w:rPr>
        <w:t>administer the subsidy program, and partner with community-based organizations to ensure effective outreach and support for families and child care providers</w:t>
      </w:r>
      <w:r w:rsidRPr="259AA845">
        <w:rPr>
          <w:rFonts w:eastAsia="Calibri" w:cs="Calibri"/>
          <w:color w:val="000000" w:themeColor="text1"/>
        </w:rPr>
        <w:t xml:space="preserve"> in equitably accessing the subsidy program</w:t>
      </w:r>
      <w:r w:rsidRPr="71D2A87E">
        <w:rPr>
          <w:rFonts w:eastAsia="Calibri" w:cs="Calibri"/>
          <w:color w:val="000000" w:themeColor="text1"/>
        </w:rPr>
        <w:t xml:space="preserve">. </w:t>
      </w:r>
      <w:r>
        <w:rPr>
          <w:rFonts w:eastAsia="Calibri" w:cs="Calibri"/>
          <w:i/>
          <w:iCs/>
          <w:color w:val="000000" w:themeColor="text1"/>
        </w:rPr>
        <w:t>Best Starts</w:t>
      </w:r>
      <w:r>
        <w:rPr>
          <w:rFonts w:eastAsia="Calibri" w:cs="Calibri"/>
          <w:color w:val="000000" w:themeColor="text1"/>
        </w:rPr>
        <w:t xml:space="preserve"> intends to establish reimbursement rates that allow child care providers to operate sustainably and avoid exacerbating existing inequities experienced by providers.</w:t>
      </w:r>
    </w:p>
    <w:p w14:paraId="0788D428" w14:textId="77777777" w:rsidR="00766B38" w:rsidRDefault="00766B38" w:rsidP="00766B38">
      <w:pPr>
        <w:contextualSpacing/>
        <w:rPr>
          <w:rFonts w:eastAsia="Calibri" w:cs="Calibri"/>
          <w:color w:val="000000" w:themeColor="text1"/>
        </w:rPr>
      </w:pPr>
    </w:p>
    <w:p w14:paraId="3590AA45" w14:textId="443132DD" w:rsidR="00917BE1" w:rsidRPr="00D03F1F" w:rsidRDefault="00917BE1" w:rsidP="00917BE1">
      <w:pPr>
        <w:contextualSpacing/>
        <w:rPr>
          <w:rFonts w:eastAsia="Calibri" w:cs="Calibri"/>
          <w:color w:val="000000" w:themeColor="text1"/>
        </w:rPr>
      </w:pPr>
      <w:r w:rsidRPr="71D2A87E">
        <w:rPr>
          <w:rFonts w:eastAsia="Calibri" w:cs="Calibri"/>
          <w:i/>
          <w:iCs/>
          <w:color w:val="000000" w:themeColor="text1"/>
        </w:rPr>
        <w:t>Best Starts for Kids</w:t>
      </w:r>
      <w:r w:rsidRPr="71D2A87E">
        <w:rPr>
          <w:rFonts w:eastAsia="Calibri" w:cs="Calibri"/>
          <w:color w:val="000000" w:themeColor="text1"/>
        </w:rPr>
        <w:t xml:space="preserve"> values the wisdom of families as they decide what type of </w:t>
      </w:r>
      <w:r>
        <w:rPr>
          <w:rFonts w:eastAsia="Calibri" w:cs="Calibri"/>
          <w:color w:val="000000" w:themeColor="text1"/>
        </w:rPr>
        <w:t>high</w:t>
      </w:r>
      <w:r w:rsidR="002657E1">
        <w:rPr>
          <w:rFonts w:eastAsia="Calibri" w:cs="Calibri"/>
          <w:color w:val="000000" w:themeColor="text1"/>
        </w:rPr>
        <w:t>-</w:t>
      </w:r>
      <w:r>
        <w:rPr>
          <w:rFonts w:eastAsia="Calibri" w:cs="Calibri"/>
          <w:color w:val="000000" w:themeColor="text1"/>
        </w:rPr>
        <w:t xml:space="preserve">quality </w:t>
      </w:r>
      <w:r w:rsidRPr="71D2A87E">
        <w:rPr>
          <w:rFonts w:eastAsia="Calibri" w:cs="Calibri"/>
          <w:color w:val="000000" w:themeColor="text1"/>
        </w:rPr>
        <w:t>care best meets their needs</w:t>
      </w:r>
      <w:r w:rsidR="00FD42BA">
        <w:rPr>
          <w:rFonts w:eastAsia="Calibri" w:cs="Calibri"/>
          <w:color w:val="000000" w:themeColor="text1"/>
        </w:rPr>
        <w:t xml:space="preserve">. It also </w:t>
      </w:r>
      <w:r w:rsidRPr="71D2A87E">
        <w:rPr>
          <w:rFonts w:eastAsia="Calibri" w:cs="Calibri"/>
          <w:color w:val="000000" w:themeColor="text1"/>
        </w:rPr>
        <w:t>recognizes the critical importance of family, friend, and neighbor (FFN)</w:t>
      </w:r>
      <w:r w:rsidR="00FD42BA">
        <w:rPr>
          <w:rFonts w:eastAsia="Calibri" w:cs="Calibri"/>
          <w:color w:val="000000" w:themeColor="text1"/>
        </w:rPr>
        <w:t xml:space="preserve"> caregivers</w:t>
      </w:r>
      <w:r w:rsidRPr="71D2A87E">
        <w:rPr>
          <w:rFonts w:eastAsia="Calibri" w:cs="Calibri"/>
          <w:color w:val="000000" w:themeColor="text1"/>
        </w:rPr>
        <w:t xml:space="preserve">, </w:t>
      </w:r>
      <w:r w:rsidR="00FD42BA">
        <w:rPr>
          <w:rFonts w:eastAsia="Calibri" w:cs="Calibri"/>
          <w:color w:val="000000" w:themeColor="text1"/>
        </w:rPr>
        <w:t>as well as</w:t>
      </w:r>
      <w:r w:rsidR="00FD42BA" w:rsidRPr="71D2A87E">
        <w:rPr>
          <w:rFonts w:eastAsia="Calibri" w:cs="Calibri"/>
          <w:color w:val="000000" w:themeColor="text1"/>
        </w:rPr>
        <w:t xml:space="preserve"> </w:t>
      </w:r>
      <w:r w:rsidRPr="71D2A87E">
        <w:rPr>
          <w:rFonts w:eastAsia="Calibri" w:cs="Calibri"/>
          <w:color w:val="000000" w:themeColor="text1"/>
        </w:rPr>
        <w:t xml:space="preserve">informal caregivers. </w:t>
      </w:r>
      <w:r w:rsidR="007B17F7" w:rsidRPr="71D2A87E">
        <w:rPr>
          <w:rFonts w:eastAsia="Calibri" w:cs="Calibri"/>
          <w:color w:val="000000" w:themeColor="text1"/>
        </w:rPr>
        <w:t xml:space="preserve">These caregivers are more difficult to support through direct cash payments or subsidies. </w:t>
      </w:r>
      <w:r w:rsidR="005E1BDA">
        <w:rPr>
          <w:rFonts w:eastAsia="Calibri" w:cs="Calibri"/>
          <w:color w:val="000000" w:themeColor="text1"/>
        </w:rPr>
        <w:t xml:space="preserve">As a result, </w:t>
      </w:r>
      <w:r w:rsidRPr="71D2A87E">
        <w:rPr>
          <w:rFonts w:eastAsia="Calibri" w:cs="Calibri"/>
          <w:i/>
          <w:iCs/>
          <w:color w:val="000000" w:themeColor="text1"/>
        </w:rPr>
        <w:t>Best Starts</w:t>
      </w:r>
      <w:r w:rsidRPr="71D2A87E">
        <w:rPr>
          <w:rFonts w:eastAsia="Calibri" w:cs="Calibri"/>
          <w:color w:val="000000" w:themeColor="text1"/>
        </w:rPr>
        <w:t xml:space="preserve"> currently provides peer-based and material supports through investments in child care health consultation, infant mental health, and Kaleidoscope Play and Learn groups</w:t>
      </w:r>
      <w:r w:rsidR="00BF2A41">
        <w:rPr>
          <w:rFonts w:eastAsia="Calibri" w:cs="Calibri"/>
          <w:color w:val="000000" w:themeColor="text1"/>
        </w:rPr>
        <w:t>. H</w:t>
      </w:r>
      <w:r w:rsidR="003C3A3C">
        <w:rPr>
          <w:rFonts w:eastAsia="Calibri" w:cs="Calibri"/>
          <w:color w:val="000000" w:themeColor="text1"/>
        </w:rPr>
        <w:t>owever, many of these caregivers are low-income and providing child care free of cost</w:t>
      </w:r>
      <w:r w:rsidRPr="71D2A87E">
        <w:rPr>
          <w:rFonts w:eastAsia="Calibri" w:cs="Calibri"/>
          <w:color w:val="000000" w:themeColor="text1"/>
        </w:rPr>
        <w:t xml:space="preserve">. </w:t>
      </w:r>
      <w:r w:rsidRPr="71D2A87E">
        <w:rPr>
          <w:rFonts w:eastAsia="Calibri" w:cs="Calibri"/>
          <w:i/>
          <w:iCs/>
          <w:color w:val="000000" w:themeColor="text1"/>
        </w:rPr>
        <w:t>Best Starts</w:t>
      </w:r>
      <w:r w:rsidRPr="71D2A87E">
        <w:rPr>
          <w:rFonts w:eastAsia="Calibri" w:cs="Calibri"/>
          <w:color w:val="000000" w:themeColor="text1"/>
        </w:rPr>
        <w:t xml:space="preserve"> intends to explore strategies to provide </w:t>
      </w:r>
      <w:r w:rsidR="009B37E3">
        <w:rPr>
          <w:rFonts w:eastAsia="Calibri" w:cs="Calibri"/>
          <w:color w:val="000000" w:themeColor="text1"/>
        </w:rPr>
        <w:t>financial assistance</w:t>
      </w:r>
      <w:r w:rsidR="009B37E3" w:rsidRPr="71D2A87E">
        <w:rPr>
          <w:rFonts w:eastAsia="Calibri" w:cs="Calibri"/>
          <w:color w:val="000000" w:themeColor="text1"/>
        </w:rPr>
        <w:t xml:space="preserve"> </w:t>
      </w:r>
      <w:r w:rsidRPr="71D2A87E">
        <w:rPr>
          <w:rFonts w:eastAsia="Calibri" w:cs="Calibri"/>
          <w:color w:val="000000" w:themeColor="text1"/>
        </w:rPr>
        <w:t xml:space="preserve">to families </w:t>
      </w:r>
      <w:r w:rsidR="009C4207">
        <w:rPr>
          <w:rFonts w:eastAsia="Calibri" w:cs="Calibri"/>
          <w:color w:val="000000" w:themeColor="text1"/>
        </w:rPr>
        <w:t>accessing</w:t>
      </w:r>
      <w:r w:rsidR="009C4207" w:rsidRPr="71D2A87E">
        <w:rPr>
          <w:rFonts w:eastAsia="Calibri" w:cs="Calibri"/>
          <w:color w:val="000000" w:themeColor="text1"/>
        </w:rPr>
        <w:t xml:space="preserve"> </w:t>
      </w:r>
      <w:r w:rsidR="009B37E3">
        <w:rPr>
          <w:rFonts w:eastAsia="Calibri" w:cs="Calibri"/>
          <w:color w:val="000000" w:themeColor="text1"/>
        </w:rPr>
        <w:t>FFN or informal</w:t>
      </w:r>
      <w:r w:rsidRPr="71D2A87E">
        <w:rPr>
          <w:rFonts w:eastAsia="Calibri" w:cs="Calibri"/>
          <w:color w:val="000000" w:themeColor="text1"/>
        </w:rPr>
        <w:t xml:space="preserve"> care</w:t>
      </w:r>
      <w:r w:rsidRPr="477958E1">
        <w:rPr>
          <w:rFonts w:eastAsia="Calibri" w:cs="Calibri"/>
          <w:color w:val="000000" w:themeColor="text1"/>
        </w:rPr>
        <w:t xml:space="preserve"> in partnership with </w:t>
      </w:r>
      <w:r w:rsidRPr="46A41B20">
        <w:rPr>
          <w:rFonts w:eastAsia="Calibri" w:cs="Calibri"/>
          <w:color w:val="000000" w:themeColor="text1"/>
        </w:rPr>
        <w:t>other governments and nonprofit partners, and by engaging directly with families and caregivers to better understand their needs</w:t>
      </w:r>
      <w:r w:rsidRPr="477958E1">
        <w:rPr>
          <w:rFonts w:eastAsia="Calibri" w:cs="Calibri"/>
          <w:color w:val="000000" w:themeColor="text1"/>
        </w:rPr>
        <w:t>.</w:t>
      </w:r>
    </w:p>
    <w:p w14:paraId="09E0E2B9" w14:textId="77777777" w:rsidR="00917BE1" w:rsidRPr="00D03F1F" w:rsidRDefault="00917BE1" w:rsidP="00917BE1">
      <w:pPr>
        <w:contextualSpacing/>
        <w:rPr>
          <w:rFonts w:eastAsia="Calibri" w:cs="Calibri"/>
          <w:color w:val="000000" w:themeColor="text1"/>
        </w:rPr>
      </w:pPr>
    </w:p>
    <w:p w14:paraId="2066C1FF" w14:textId="77777777" w:rsidR="00917BE1" w:rsidRDefault="00917BE1" w:rsidP="00917BE1">
      <w:pPr>
        <w:contextualSpacing/>
        <w:rPr>
          <w:rFonts w:eastAsia="Calibri" w:cs="Calibri"/>
          <w:b/>
          <w:bCs/>
          <w:color w:val="000000" w:themeColor="text1"/>
        </w:rPr>
      </w:pPr>
      <w:r>
        <w:rPr>
          <w:rFonts w:eastAsia="Calibri" w:cs="Calibri"/>
          <w:b/>
          <w:bCs/>
          <w:color w:val="000000" w:themeColor="text1"/>
        </w:rPr>
        <w:t>Rationale for Investment:</w:t>
      </w:r>
    </w:p>
    <w:p w14:paraId="212D1F8B" w14:textId="1633C67D" w:rsidR="00917BE1" w:rsidRDefault="00917BE1" w:rsidP="00917BE1">
      <w:pPr>
        <w:rPr>
          <w:rFonts w:cs="Calibri"/>
        </w:rPr>
      </w:pPr>
      <w:r w:rsidRPr="71D2A87E">
        <w:rPr>
          <w:rFonts w:cs="Calibri"/>
        </w:rPr>
        <w:t xml:space="preserve">Insufficient access to high-quality child care was already a crisis in the region before the COVID-19 pandemic. According to a </w:t>
      </w:r>
      <w:r w:rsidRPr="1C922D62">
        <w:rPr>
          <w:rFonts w:cs="Calibri"/>
          <w:i/>
          <w:iCs/>
        </w:rPr>
        <w:t>Best Starts for Kids</w:t>
      </w:r>
      <w:r w:rsidRPr="71D2A87E">
        <w:rPr>
          <w:rFonts w:cs="Calibri"/>
        </w:rPr>
        <w:t xml:space="preserve"> survey, in 2019, 34</w:t>
      </w:r>
      <w:r w:rsidR="00BF2A41">
        <w:rPr>
          <w:rFonts w:cs="Calibri"/>
        </w:rPr>
        <w:t xml:space="preserve"> percent</w:t>
      </w:r>
      <w:r w:rsidRPr="71D2A87E">
        <w:rPr>
          <w:rFonts w:cs="Calibri"/>
        </w:rPr>
        <w:t xml:space="preserve"> of children </w:t>
      </w:r>
      <w:r w:rsidR="00CA353F">
        <w:rPr>
          <w:rFonts w:cs="Calibri"/>
        </w:rPr>
        <w:t xml:space="preserve">in King County </w:t>
      </w:r>
      <w:r w:rsidRPr="71D2A87E">
        <w:rPr>
          <w:rFonts w:cs="Calibri"/>
        </w:rPr>
        <w:t>lived in families that found it difficult to afford child care in King County.</w:t>
      </w:r>
      <w:r w:rsidRPr="2D71CCAF">
        <w:rPr>
          <w:rStyle w:val="FootnoteReference"/>
          <w:rFonts w:cs="Calibri"/>
        </w:rPr>
        <w:footnoteReference w:id="110"/>
      </w:r>
      <w:r w:rsidRPr="71D2A87E">
        <w:rPr>
          <w:rFonts w:cs="Calibri"/>
        </w:rPr>
        <w:t xml:space="preserve"> The challenge is multifaceted. Families struggle to afford the cost of care for children and youth, and the number of available slots for child care does not meet demand</w:t>
      </w:r>
      <w:r w:rsidR="00B85619">
        <w:rPr>
          <w:rFonts w:cs="Calibri"/>
        </w:rPr>
        <w:t>, while t</w:t>
      </w:r>
      <w:r w:rsidRPr="71D2A87E">
        <w:rPr>
          <w:rFonts w:cs="Calibri"/>
        </w:rPr>
        <w:t>he care provider workforce, many of them women of color, is underpaid.</w:t>
      </w:r>
      <w:r w:rsidRPr="2D71CCAF">
        <w:rPr>
          <w:rStyle w:val="FootnoteReference"/>
          <w:rFonts w:cs="Calibri"/>
        </w:rPr>
        <w:footnoteReference w:id="111"/>
      </w:r>
      <w:r w:rsidRPr="71D2A87E">
        <w:rPr>
          <w:rFonts w:cs="Calibri"/>
        </w:rPr>
        <w:t xml:space="preserve"> Children of color, children from low-income families, and children who have developmental delays or disabilities face additional barriers</w:t>
      </w:r>
      <w:r w:rsidR="00BF5737">
        <w:rPr>
          <w:rFonts w:cs="Calibri"/>
        </w:rPr>
        <w:t xml:space="preserve">. They are </w:t>
      </w:r>
      <w:r w:rsidRPr="71D2A87E">
        <w:rPr>
          <w:rFonts w:cs="Calibri"/>
        </w:rPr>
        <w:t xml:space="preserve">often excluded from the </w:t>
      </w:r>
      <w:r w:rsidR="00BF5737">
        <w:rPr>
          <w:rFonts w:cs="Calibri"/>
        </w:rPr>
        <w:t xml:space="preserve">child care </w:t>
      </w:r>
      <w:r w:rsidRPr="71D2A87E">
        <w:rPr>
          <w:rFonts w:cs="Calibri"/>
        </w:rPr>
        <w:t xml:space="preserve">system or have little access to care during the critical </w:t>
      </w:r>
      <w:r w:rsidR="068100E4" w:rsidRPr="71D2A87E">
        <w:rPr>
          <w:rFonts w:cs="Calibri"/>
        </w:rPr>
        <w:t xml:space="preserve">early childhood </w:t>
      </w:r>
      <w:r w:rsidRPr="71D2A87E">
        <w:rPr>
          <w:rFonts w:cs="Calibri"/>
        </w:rPr>
        <w:t xml:space="preserve">years through </w:t>
      </w:r>
      <w:r w:rsidR="001D49E4">
        <w:rPr>
          <w:rFonts w:cs="Calibri"/>
        </w:rPr>
        <w:t xml:space="preserve">age </w:t>
      </w:r>
      <w:r w:rsidR="001B1284">
        <w:rPr>
          <w:rFonts w:cs="Calibri"/>
        </w:rPr>
        <w:t>12</w:t>
      </w:r>
      <w:r w:rsidRPr="71D2A87E">
        <w:rPr>
          <w:rFonts w:cs="Calibri"/>
        </w:rPr>
        <w:t>.</w:t>
      </w:r>
      <w:r w:rsidRPr="2D71CCAF">
        <w:rPr>
          <w:rStyle w:val="FootnoteReference"/>
          <w:rFonts w:cs="Calibri"/>
        </w:rPr>
        <w:footnoteReference w:id="112"/>
      </w:r>
    </w:p>
    <w:p w14:paraId="5B1FCB0C" w14:textId="77777777" w:rsidR="00917BE1" w:rsidRDefault="00917BE1" w:rsidP="00917BE1">
      <w:pPr>
        <w:rPr>
          <w:rFonts w:cs="Calibri"/>
        </w:rPr>
      </w:pPr>
    </w:p>
    <w:p w14:paraId="6DBD63FF" w14:textId="62EBE3A9" w:rsidR="00917BE1" w:rsidRDefault="001D49E4" w:rsidP="00917BE1">
      <w:pPr>
        <w:contextualSpacing/>
        <w:rPr>
          <w:rFonts w:cs="Calibri"/>
        </w:rPr>
      </w:pPr>
      <w:r>
        <w:rPr>
          <w:rFonts w:cs="Calibri"/>
          <w:shd w:val="clear" w:color="auto" w:fill="FFFFFF"/>
        </w:rPr>
        <w:t xml:space="preserve">The </w:t>
      </w:r>
      <w:r w:rsidR="00B26759">
        <w:rPr>
          <w:rFonts w:cs="Calibri"/>
          <w:shd w:val="clear" w:color="auto" w:fill="FFFFFF"/>
        </w:rPr>
        <w:t xml:space="preserve">unsubsidized </w:t>
      </w:r>
      <w:r>
        <w:rPr>
          <w:rFonts w:cs="Calibri"/>
          <w:shd w:val="clear" w:color="auto" w:fill="FFFFFF"/>
        </w:rPr>
        <w:t xml:space="preserve">cost of child care in King County is prohibitive to many families. </w:t>
      </w:r>
      <w:r w:rsidR="00917BE1" w:rsidRPr="00D03F1F">
        <w:rPr>
          <w:rFonts w:cs="Calibri"/>
          <w:shd w:val="clear" w:color="auto" w:fill="FFFFFF"/>
        </w:rPr>
        <w:t xml:space="preserve">Child Care Aware of America’s 2019 report, </w:t>
      </w:r>
      <w:r w:rsidR="00917BE1" w:rsidRPr="71D2A87E">
        <w:rPr>
          <w:rFonts w:cs="Calibri"/>
          <w:i/>
          <w:iCs/>
          <w:shd w:val="clear" w:color="auto" w:fill="FFFFFF"/>
        </w:rPr>
        <w:t xml:space="preserve">The US and the High Price of Child Care, </w:t>
      </w:r>
      <w:r w:rsidR="00917BE1" w:rsidRPr="00D03F1F">
        <w:rPr>
          <w:rFonts w:cs="Calibri"/>
          <w:shd w:val="clear" w:color="auto" w:fill="FFFFFF"/>
        </w:rPr>
        <w:t xml:space="preserve">examined child care costs and supports in the Seattle metropolitan area, including King, Snohomish and Pierce Counties, where residents are paying a significant amount of their income on child care. The average </w:t>
      </w:r>
      <w:r w:rsidR="00B96322">
        <w:rPr>
          <w:rFonts w:cs="Calibri"/>
          <w:shd w:val="clear" w:color="auto" w:fill="FFFFFF"/>
        </w:rPr>
        <w:t xml:space="preserve">annual </w:t>
      </w:r>
      <w:r w:rsidR="00917BE1" w:rsidRPr="00D03F1F">
        <w:rPr>
          <w:rFonts w:cs="Calibri"/>
          <w:shd w:val="clear" w:color="auto" w:fill="FFFFFF"/>
        </w:rPr>
        <w:t xml:space="preserve">cost of center-based tuition for an infant was $23,013 in Seattle and $16,604 elsewhere in the tri-County region. These numbers translate to </w:t>
      </w:r>
      <w:r w:rsidR="001424A5">
        <w:rPr>
          <w:rFonts w:cs="Calibri"/>
          <w:shd w:val="clear" w:color="auto" w:fill="FFFFFF"/>
        </w:rPr>
        <w:t>19</w:t>
      </w:r>
      <w:r w:rsidR="00917BE1" w:rsidRPr="00D03F1F">
        <w:rPr>
          <w:rFonts w:cs="Calibri"/>
          <w:shd w:val="clear" w:color="auto" w:fill="FFFFFF"/>
        </w:rPr>
        <w:t xml:space="preserve"> and </w:t>
      </w:r>
      <w:r w:rsidR="001424A5">
        <w:rPr>
          <w:rFonts w:cs="Calibri"/>
          <w:shd w:val="clear" w:color="auto" w:fill="FFFFFF"/>
        </w:rPr>
        <w:t>16</w:t>
      </w:r>
      <w:r w:rsidR="00917BE1" w:rsidRPr="00D03F1F">
        <w:rPr>
          <w:rFonts w:cs="Calibri"/>
          <w:shd w:val="clear" w:color="auto" w:fill="FFFFFF"/>
        </w:rPr>
        <w:t xml:space="preserve"> percent, respectively, of median household income for married parents with children. For single parents with children, this care costs 61.8 and 45.2 percent, respectively, of </w:t>
      </w:r>
      <w:r w:rsidR="00917BE1" w:rsidRPr="00D03F1F">
        <w:rPr>
          <w:rFonts w:cs="Calibri"/>
          <w:shd w:val="clear" w:color="auto" w:fill="FFFFFF"/>
        </w:rPr>
        <w:lastRenderedPageBreak/>
        <w:t>median household income.</w:t>
      </w:r>
      <w:r w:rsidR="00917BE1" w:rsidRPr="00D03F1F">
        <w:rPr>
          <w:rStyle w:val="FootnoteReference"/>
          <w:rFonts w:cs="Calibri"/>
          <w:shd w:val="clear" w:color="auto" w:fill="FFFFFF"/>
        </w:rPr>
        <w:footnoteReference w:id="113"/>
      </w:r>
      <w:r w:rsidR="00917BE1" w:rsidRPr="00D03F1F">
        <w:rPr>
          <w:rFonts w:cs="Calibri"/>
          <w:shd w:val="clear" w:color="auto" w:fill="FFFFFF"/>
        </w:rPr>
        <w:t xml:space="preserve"> </w:t>
      </w:r>
      <w:r w:rsidR="00917BE1" w:rsidRPr="00D03F1F">
        <w:rPr>
          <w:rFonts w:cs="Calibri"/>
        </w:rPr>
        <w:t xml:space="preserve">The U.S. Department of Health and Human Services considers </w:t>
      </w:r>
      <w:r w:rsidR="00C56439">
        <w:rPr>
          <w:rFonts w:cs="Calibri"/>
        </w:rPr>
        <w:t>seven</w:t>
      </w:r>
      <w:r w:rsidR="00917BE1" w:rsidRPr="00D03F1F">
        <w:rPr>
          <w:rFonts w:cs="Calibri"/>
        </w:rPr>
        <w:t xml:space="preserve"> </w:t>
      </w:r>
      <w:r w:rsidR="00917BE1" w:rsidRPr="71D2A87E">
        <w:rPr>
          <w:rFonts w:cs="Calibri"/>
        </w:rPr>
        <w:t xml:space="preserve">percent </w:t>
      </w:r>
      <w:r w:rsidR="00917BE1" w:rsidRPr="00D03F1F">
        <w:rPr>
          <w:rFonts w:cs="Calibri"/>
        </w:rPr>
        <w:t>of family income the threshold for affordable child care.</w:t>
      </w:r>
      <w:r w:rsidR="00917BE1" w:rsidRPr="00D03F1F">
        <w:rPr>
          <w:rStyle w:val="FootnoteReference"/>
          <w:rFonts w:cs="Calibri"/>
        </w:rPr>
        <w:footnoteReference w:id="114"/>
      </w:r>
    </w:p>
    <w:p w14:paraId="15B22945" w14:textId="77777777" w:rsidR="00917BE1" w:rsidRDefault="00917BE1" w:rsidP="00917BE1">
      <w:pPr>
        <w:contextualSpacing/>
        <w:rPr>
          <w:rFonts w:cs="Calibri"/>
        </w:rPr>
      </w:pPr>
    </w:p>
    <w:p w14:paraId="6EE60AD0" w14:textId="7BCC12D0" w:rsidR="00917BE1" w:rsidRPr="008E24B7" w:rsidRDefault="00BE2113" w:rsidP="00917BE1">
      <w:pPr>
        <w:rPr>
          <w:rFonts w:eastAsia="Calibri" w:cs="Arial"/>
          <w:vertAlign w:val="superscript"/>
        </w:rPr>
      </w:pPr>
      <w:r>
        <w:rPr>
          <w:rFonts w:cs="Calibri"/>
        </w:rPr>
        <w:t>Th</w:t>
      </w:r>
      <w:r w:rsidR="003052ED">
        <w:rPr>
          <w:rFonts w:cs="Calibri"/>
        </w:rPr>
        <w:t>is child care subsidy program</w:t>
      </w:r>
      <w:r w:rsidR="00001743">
        <w:rPr>
          <w:rFonts w:cs="Calibri"/>
        </w:rPr>
        <w:t xml:space="preserve"> </w:t>
      </w:r>
      <w:r w:rsidR="00921A7F">
        <w:rPr>
          <w:rFonts w:cs="Calibri"/>
        </w:rPr>
        <w:t>will</w:t>
      </w:r>
      <w:r w:rsidR="0022241F">
        <w:rPr>
          <w:rFonts w:cs="Calibri"/>
        </w:rPr>
        <w:t xml:space="preserve"> begin</w:t>
      </w:r>
      <w:r w:rsidR="00001743">
        <w:rPr>
          <w:rFonts w:cs="Calibri"/>
        </w:rPr>
        <w:t xml:space="preserve"> implement</w:t>
      </w:r>
      <w:r w:rsidR="004047FC">
        <w:rPr>
          <w:rFonts w:cs="Calibri"/>
        </w:rPr>
        <w:t>ation</w:t>
      </w:r>
      <w:r w:rsidR="003052ED">
        <w:rPr>
          <w:rFonts w:cs="Calibri"/>
        </w:rPr>
        <w:t xml:space="preserve"> </w:t>
      </w:r>
      <w:r w:rsidR="0044755E">
        <w:rPr>
          <w:rFonts w:cs="Calibri"/>
        </w:rPr>
        <w:t xml:space="preserve">of </w:t>
      </w:r>
      <w:r w:rsidR="003052ED">
        <w:rPr>
          <w:rFonts w:cs="Calibri"/>
        </w:rPr>
        <w:t>reinstat</w:t>
      </w:r>
      <w:r w:rsidR="0075180B">
        <w:rPr>
          <w:rFonts w:cs="Calibri"/>
        </w:rPr>
        <w:t>ing</w:t>
      </w:r>
      <w:r w:rsidR="00917BE1">
        <w:rPr>
          <w:rFonts w:cs="Calibri"/>
        </w:rPr>
        <w:t xml:space="preserve"> a c</w:t>
      </w:r>
      <w:r w:rsidR="00917BE1" w:rsidRPr="003008FF">
        <w:rPr>
          <w:rFonts w:cs="Calibri"/>
        </w:rPr>
        <w:t xml:space="preserve">omprehensive </w:t>
      </w:r>
      <w:r w:rsidR="00001743">
        <w:rPr>
          <w:rFonts w:cs="Calibri"/>
        </w:rPr>
        <w:t>c</w:t>
      </w:r>
      <w:r w:rsidR="00917BE1" w:rsidRPr="003008FF">
        <w:rPr>
          <w:rFonts w:cs="Calibri"/>
        </w:rPr>
        <w:t xml:space="preserve">hild </w:t>
      </w:r>
      <w:r w:rsidR="00001743">
        <w:rPr>
          <w:rFonts w:cs="Calibri"/>
        </w:rPr>
        <w:t>c</w:t>
      </w:r>
      <w:r w:rsidR="00917BE1" w:rsidRPr="003008FF">
        <w:rPr>
          <w:rFonts w:cs="Calibri"/>
        </w:rPr>
        <w:t xml:space="preserve">are </w:t>
      </w:r>
      <w:r w:rsidR="00001743">
        <w:rPr>
          <w:rFonts w:cs="Calibri"/>
        </w:rPr>
        <w:t>p</w:t>
      </w:r>
      <w:r w:rsidR="00917BE1" w:rsidRPr="003008FF">
        <w:rPr>
          <w:rFonts w:cs="Calibri"/>
        </w:rPr>
        <w:t>rogram with subsidies for families struggling to afford care and supports for providers</w:t>
      </w:r>
      <w:r w:rsidR="0075180B">
        <w:rPr>
          <w:rFonts w:cs="Calibri"/>
        </w:rPr>
        <w:t>, a 2020 recommendation from t</w:t>
      </w:r>
      <w:r w:rsidR="0075180B" w:rsidRPr="00D03F1F">
        <w:rPr>
          <w:rFonts w:cs="Calibri"/>
        </w:rPr>
        <w:t>he King County Children and Families Strategy Task Force</w:t>
      </w:r>
      <w:r w:rsidR="00917BE1" w:rsidRPr="003008FF">
        <w:rPr>
          <w:rFonts w:cs="Calibri"/>
        </w:rPr>
        <w:t>.</w:t>
      </w:r>
      <w:r w:rsidR="007B33ED">
        <w:rPr>
          <w:rStyle w:val="FootnoteReference"/>
          <w:rFonts w:cs="Calibri"/>
        </w:rPr>
        <w:footnoteReference w:id="115"/>
      </w:r>
      <w:r w:rsidR="00917BE1">
        <w:rPr>
          <w:rFonts w:cs="Calibri"/>
        </w:rPr>
        <w:t xml:space="preserve"> </w:t>
      </w:r>
      <w:r w:rsidR="00917BE1" w:rsidRPr="71D2A87E">
        <w:rPr>
          <w:rFonts w:cs="Calibri"/>
        </w:rPr>
        <w:t>Affordable, accessible child care</w:t>
      </w:r>
      <w:r w:rsidR="00C735B3">
        <w:rPr>
          <w:rFonts w:cs="Calibri"/>
        </w:rPr>
        <w:t xml:space="preserve">, often made possible </w:t>
      </w:r>
      <w:r w:rsidR="002414C2">
        <w:rPr>
          <w:rFonts w:cs="Calibri"/>
        </w:rPr>
        <w:t xml:space="preserve">through </w:t>
      </w:r>
      <w:r w:rsidR="00C735B3">
        <w:rPr>
          <w:rFonts w:cs="Calibri"/>
        </w:rPr>
        <w:t xml:space="preserve">such </w:t>
      </w:r>
      <w:r w:rsidR="002414C2">
        <w:rPr>
          <w:rFonts w:cs="Calibri"/>
        </w:rPr>
        <w:t>targeted subsidies</w:t>
      </w:r>
      <w:r w:rsidR="00C735B3">
        <w:rPr>
          <w:rFonts w:cs="Calibri"/>
        </w:rPr>
        <w:t>,</w:t>
      </w:r>
      <w:r w:rsidR="00917BE1" w:rsidRPr="71D2A87E">
        <w:rPr>
          <w:rFonts w:cs="Calibri"/>
        </w:rPr>
        <w:t xml:space="preserve"> is necessary to improve racial and gender equity in King County and will be critical in the region’s economic recovery after the COVID-19 pandemic.</w:t>
      </w:r>
      <w:r w:rsidR="00917BE1" w:rsidRPr="2D71CCAF">
        <w:rPr>
          <w:rStyle w:val="FootnoteReference"/>
          <w:rFonts w:cs="Calibri"/>
        </w:rPr>
        <w:footnoteReference w:id="116"/>
      </w:r>
      <w:r w:rsidR="00917BE1" w:rsidRPr="71D2A87E">
        <w:rPr>
          <w:rFonts w:cs="Calibri"/>
          <w:vertAlign w:val="superscript"/>
        </w:rPr>
        <w:t>,</w:t>
      </w:r>
      <w:r w:rsidR="00917BE1" w:rsidRPr="2D71CCAF">
        <w:rPr>
          <w:rStyle w:val="FootnoteReference"/>
          <w:rFonts w:cs="Calibri"/>
        </w:rPr>
        <w:footnoteReference w:id="117"/>
      </w:r>
    </w:p>
    <w:p w14:paraId="0A39CA19" w14:textId="77777777" w:rsidR="00917BE1" w:rsidRDefault="00917BE1" w:rsidP="00917BE1">
      <w:pPr>
        <w:contextualSpacing/>
        <w:rPr>
          <w:rFonts w:eastAsia="Calibri" w:cs="Calibri"/>
          <w:color w:val="000000" w:themeColor="text1"/>
        </w:rPr>
      </w:pPr>
    </w:p>
    <w:p w14:paraId="660AD05C" w14:textId="277258B2" w:rsidR="00917BE1" w:rsidRDefault="00917BE1" w:rsidP="00917BE1">
      <w:pPr>
        <w:contextualSpacing/>
        <w:rPr>
          <w:rFonts w:eastAsia="Calibri" w:cs="Calibri"/>
          <w:color w:val="000000" w:themeColor="text1"/>
        </w:rPr>
      </w:pPr>
      <w:r>
        <w:rPr>
          <w:rFonts w:eastAsia="Calibri" w:cs="Calibri"/>
          <w:b/>
          <w:bCs/>
          <w:color w:val="000000" w:themeColor="text1"/>
        </w:rPr>
        <w:t xml:space="preserve">Approximate Scope: </w:t>
      </w:r>
      <w:r>
        <w:rPr>
          <w:rFonts w:eastAsia="Calibri" w:cs="Calibri"/>
          <w:color w:val="000000" w:themeColor="text1"/>
        </w:rPr>
        <w:t>3</w:t>
      </w:r>
      <w:r w:rsidR="003052ED">
        <w:rPr>
          <w:rFonts w:eastAsia="Calibri" w:cs="Calibri"/>
          <w:color w:val="000000" w:themeColor="text1"/>
        </w:rPr>
        <w:t>,</w:t>
      </w:r>
      <w:r>
        <w:rPr>
          <w:rFonts w:eastAsia="Calibri" w:cs="Calibri"/>
          <w:color w:val="000000" w:themeColor="text1"/>
        </w:rPr>
        <w:t>000 children and their families each year.</w:t>
      </w:r>
    </w:p>
    <w:p w14:paraId="47E84ADD" w14:textId="77777777" w:rsidR="00917BE1" w:rsidRDefault="00917BE1" w:rsidP="00917BE1">
      <w:pPr>
        <w:contextualSpacing/>
        <w:rPr>
          <w:rFonts w:eastAsia="Calibri" w:cs="Calibri"/>
          <w:color w:val="000000" w:themeColor="text1"/>
        </w:rPr>
      </w:pPr>
    </w:p>
    <w:p w14:paraId="358CDA46" w14:textId="37710419" w:rsidR="00917BE1" w:rsidRPr="00D03F1F" w:rsidRDefault="00917BE1" w:rsidP="00917BE1">
      <w:pPr>
        <w:contextualSpacing/>
        <w:rPr>
          <w:rFonts w:eastAsia="Calibri" w:cs="Calibri"/>
          <w:color w:val="000000" w:themeColor="text1"/>
        </w:rPr>
      </w:pPr>
      <w:r w:rsidRPr="43D3543F">
        <w:rPr>
          <w:rFonts w:eastAsia="Calibri" w:cs="Calibri"/>
          <w:b/>
          <w:bCs/>
          <w:color w:val="000000" w:themeColor="text1"/>
        </w:rPr>
        <w:t xml:space="preserve">Anticipated Timeline: </w:t>
      </w:r>
      <w:r w:rsidRPr="43D3543F">
        <w:rPr>
          <w:rFonts w:eastAsia="Calibri" w:cs="Calibri"/>
          <w:i/>
          <w:iCs/>
          <w:color w:val="000000" w:themeColor="text1"/>
        </w:rPr>
        <w:t>Best Starts for Kids</w:t>
      </w:r>
      <w:r w:rsidRPr="43D3543F">
        <w:rPr>
          <w:rFonts w:eastAsia="Calibri" w:cs="Calibri"/>
          <w:color w:val="000000" w:themeColor="text1"/>
        </w:rPr>
        <w:t xml:space="preserve"> will release an RFP in the first quarter of 2022 to identify and contract with </w:t>
      </w:r>
      <w:r w:rsidR="009007EF">
        <w:rPr>
          <w:rFonts w:eastAsia="Calibri" w:cs="Calibri"/>
          <w:color w:val="000000" w:themeColor="text1"/>
        </w:rPr>
        <w:t>one or more intermediar</w:t>
      </w:r>
      <w:r w:rsidR="00525C07">
        <w:rPr>
          <w:rFonts w:eastAsia="Calibri" w:cs="Calibri"/>
          <w:color w:val="000000" w:themeColor="text1"/>
        </w:rPr>
        <w:t>y agencies</w:t>
      </w:r>
      <w:r w:rsidR="009007EF">
        <w:rPr>
          <w:rFonts w:eastAsia="Calibri" w:cs="Calibri"/>
          <w:color w:val="000000" w:themeColor="text1"/>
        </w:rPr>
        <w:t xml:space="preserve"> who will manage</w:t>
      </w:r>
      <w:r w:rsidR="00525C07">
        <w:rPr>
          <w:rFonts w:eastAsia="Calibri" w:cs="Calibri"/>
          <w:color w:val="000000" w:themeColor="text1"/>
        </w:rPr>
        <w:t xml:space="preserve"> </w:t>
      </w:r>
      <w:r w:rsidR="00216D90">
        <w:rPr>
          <w:rFonts w:eastAsia="Calibri" w:cs="Calibri"/>
          <w:color w:val="000000" w:themeColor="text1"/>
        </w:rPr>
        <w:t xml:space="preserve">enrollment of eligible families and </w:t>
      </w:r>
      <w:r w:rsidR="00525C07">
        <w:rPr>
          <w:rFonts w:eastAsia="Calibri" w:cs="Calibri"/>
          <w:color w:val="000000" w:themeColor="text1"/>
        </w:rPr>
        <w:t xml:space="preserve">the distribution of </w:t>
      </w:r>
      <w:r w:rsidR="009007EF">
        <w:rPr>
          <w:rFonts w:eastAsia="Calibri" w:cs="Calibri"/>
          <w:color w:val="000000" w:themeColor="text1"/>
        </w:rPr>
        <w:t xml:space="preserve">subsidies to </w:t>
      </w:r>
      <w:r w:rsidR="00216D90">
        <w:rPr>
          <w:rFonts w:eastAsia="Calibri" w:cs="Calibri"/>
          <w:color w:val="000000" w:themeColor="text1"/>
        </w:rPr>
        <w:t>their child care providers</w:t>
      </w:r>
      <w:r w:rsidR="009007EF">
        <w:rPr>
          <w:rFonts w:eastAsia="Calibri" w:cs="Calibri"/>
          <w:color w:val="000000" w:themeColor="text1"/>
        </w:rPr>
        <w:t>. I</w:t>
      </w:r>
      <w:r w:rsidRPr="43D3543F">
        <w:rPr>
          <w:rFonts w:eastAsia="Calibri" w:cs="Calibri"/>
          <w:color w:val="000000" w:themeColor="text1"/>
        </w:rPr>
        <w:t xml:space="preserve">nitial implementation of the subsidy program </w:t>
      </w:r>
      <w:r w:rsidR="00F57082">
        <w:rPr>
          <w:rFonts w:eastAsia="Calibri" w:cs="Calibri"/>
          <w:color w:val="000000" w:themeColor="text1"/>
        </w:rPr>
        <w:t xml:space="preserve">is expected to </w:t>
      </w:r>
      <w:r w:rsidR="00525C07">
        <w:rPr>
          <w:rFonts w:eastAsia="Calibri" w:cs="Calibri"/>
          <w:color w:val="000000" w:themeColor="text1"/>
        </w:rPr>
        <w:t>begin</w:t>
      </w:r>
      <w:r w:rsidR="00525C07" w:rsidRPr="43D3543F">
        <w:rPr>
          <w:rFonts w:eastAsia="Calibri" w:cs="Calibri"/>
          <w:color w:val="000000" w:themeColor="text1"/>
        </w:rPr>
        <w:t xml:space="preserve"> </w:t>
      </w:r>
      <w:r w:rsidR="15F048DE" w:rsidRPr="43D3543F">
        <w:rPr>
          <w:rFonts w:eastAsia="Calibri" w:cs="Calibri"/>
          <w:color w:val="000000" w:themeColor="text1"/>
        </w:rPr>
        <w:t>in the s</w:t>
      </w:r>
      <w:r w:rsidR="669D553D" w:rsidRPr="43D3543F">
        <w:rPr>
          <w:rFonts w:eastAsia="Calibri" w:cs="Calibri"/>
          <w:color w:val="000000" w:themeColor="text1"/>
        </w:rPr>
        <w:t xml:space="preserve">econd half </w:t>
      </w:r>
      <w:r w:rsidRPr="43D3543F">
        <w:rPr>
          <w:rFonts w:eastAsia="Calibri" w:cs="Calibri"/>
          <w:color w:val="000000" w:themeColor="text1"/>
        </w:rPr>
        <w:t>of 2022</w:t>
      </w:r>
      <w:r w:rsidRPr="43D3543F" w:rsidDel="00791013">
        <w:rPr>
          <w:rFonts w:eastAsia="Calibri" w:cs="Calibri"/>
          <w:color w:val="000000" w:themeColor="text1"/>
        </w:rPr>
        <w:t>.</w:t>
      </w:r>
    </w:p>
    <w:p w14:paraId="779E8F09" w14:textId="77777777" w:rsidR="00917BE1" w:rsidRPr="00D03F1F" w:rsidRDefault="00917BE1" w:rsidP="00917BE1">
      <w:pPr>
        <w:contextualSpacing/>
        <w:rPr>
          <w:rFonts w:eastAsia="Calibri" w:cs="Calibri"/>
          <w:color w:val="000000" w:themeColor="text1"/>
        </w:rPr>
      </w:pPr>
    </w:p>
    <w:p w14:paraId="18E243C8" w14:textId="176CBACD" w:rsidR="00917BE1" w:rsidRPr="007A02A6" w:rsidRDefault="00C64908" w:rsidP="00A45926">
      <w:pPr>
        <w:rPr>
          <w:b/>
        </w:rPr>
      </w:pPr>
      <w:bookmarkStart w:id="46" w:name="_Hlk74686494"/>
      <w:r>
        <w:rPr>
          <w:b/>
        </w:rPr>
        <w:t>Workforce</w:t>
      </w:r>
      <w:r w:rsidR="00917BE1" w:rsidRPr="007A02A6">
        <w:rPr>
          <w:b/>
        </w:rPr>
        <w:t xml:space="preserve"> Demonstration Project</w:t>
      </w:r>
    </w:p>
    <w:p w14:paraId="3B4F1EB5" w14:textId="41471853" w:rsidR="00917BE1" w:rsidRPr="00D03F1F" w:rsidRDefault="00917BE1" w:rsidP="00917BE1">
      <w:pPr>
        <w:contextualSpacing/>
        <w:rPr>
          <w:rFonts w:eastAsia="Calibri" w:cs="Calibri"/>
          <w:color w:val="000000" w:themeColor="text1"/>
        </w:rPr>
      </w:pPr>
      <w:r w:rsidRPr="71D2A87E">
        <w:rPr>
          <w:rFonts w:eastAsia="Calibri" w:cs="Calibri"/>
          <w:color w:val="000000" w:themeColor="text1"/>
        </w:rPr>
        <w:t xml:space="preserve">The proposed </w:t>
      </w:r>
      <w:r w:rsidRPr="71D2A87E">
        <w:rPr>
          <w:rFonts w:eastAsia="Calibri" w:cs="Calibri"/>
          <w:i/>
          <w:iCs/>
          <w:color w:val="000000" w:themeColor="text1"/>
        </w:rPr>
        <w:t>Best Starts for Kids</w:t>
      </w:r>
      <w:r w:rsidRPr="71D2A87E">
        <w:rPr>
          <w:rFonts w:eastAsia="Calibri" w:cs="Calibri"/>
          <w:color w:val="000000" w:themeColor="text1"/>
        </w:rPr>
        <w:t xml:space="preserve"> </w:t>
      </w:r>
      <w:r w:rsidR="00C64908">
        <w:rPr>
          <w:rFonts w:eastAsia="Calibri" w:cs="Calibri"/>
          <w:color w:val="000000" w:themeColor="text1"/>
        </w:rPr>
        <w:t>Workforce</w:t>
      </w:r>
      <w:r w:rsidRPr="71D2A87E">
        <w:rPr>
          <w:rFonts w:eastAsia="Calibri" w:cs="Calibri"/>
          <w:color w:val="000000" w:themeColor="text1"/>
        </w:rPr>
        <w:t xml:space="preserve"> Demonstration Project will allocate </w:t>
      </w:r>
      <w:r w:rsidR="00FA2759">
        <w:rPr>
          <w:rFonts w:eastAsia="Calibri" w:cs="Calibri"/>
          <w:color w:val="000000" w:themeColor="text1"/>
        </w:rPr>
        <w:t xml:space="preserve">at least </w:t>
      </w:r>
      <w:r w:rsidRPr="71D2A87E">
        <w:rPr>
          <w:rFonts w:eastAsia="Calibri" w:cs="Calibri"/>
          <w:color w:val="000000" w:themeColor="text1"/>
        </w:rPr>
        <w:t xml:space="preserve">$5 million annually to provide a salary supplement to child care providers working with children aged birth to </w:t>
      </w:r>
      <w:r w:rsidR="00F47D39">
        <w:rPr>
          <w:rFonts w:eastAsia="Calibri" w:cs="Calibri"/>
          <w:color w:val="000000" w:themeColor="text1"/>
        </w:rPr>
        <w:t>12</w:t>
      </w:r>
      <w:r w:rsidR="00F47D39" w:rsidRPr="71D2A87E">
        <w:rPr>
          <w:rFonts w:eastAsia="Calibri" w:cs="Calibri"/>
          <w:color w:val="000000" w:themeColor="text1"/>
        </w:rPr>
        <w:t xml:space="preserve"> </w:t>
      </w:r>
      <w:r w:rsidRPr="71D2A87E">
        <w:rPr>
          <w:rFonts w:eastAsia="Calibri" w:cs="Calibri"/>
          <w:color w:val="000000" w:themeColor="text1"/>
        </w:rPr>
        <w:t>in King County</w:t>
      </w:r>
      <w:r w:rsidR="005F1CB4">
        <w:rPr>
          <w:rFonts w:eastAsia="Calibri" w:cs="Calibri"/>
          <w:color w:val="000000" w:themeColor="text1"/>
        </w:rPr>
        <w:t xml:space="preserve"> </w:t>
      </w:r>
      <w:r w:rsidR="005F1CB4" w:rsidRPr="71D2A87E">
        <w:rPr>
          <w:rFonts w:eastAsia="Calibri" w:cs="Calibri"/>
          <w:color w:val="000000" w:themeColor="text1"/>
        </w:rPr>
        <w:t>at licensed child care centers and family child care providers</w:t>
      </w:r>
      <w:r w:rsidRPr="71D2A87E">
        <w:rPr>
          <w:rFonts w:eastAsia="Calibri" w:cs="Calibri"/>
          <w:color w:val="000000" w:themeColor="text1"/>
        </w:rPr>
        <w:t xml:space="preserve">. The project will </w:t>
      </w:r>
      <w:r w:rsidR="005028EA">
        <w:rPr>
          <w:rFonts w:eastAsia="Calibri" w:cs="Calibri"/>
          <w:color w:val="000000" w:themeColor="text1"/>
        </w:rPr>
        <w:t xml:space="preserve">also </w:t>
      </w:r>
      <w:r w:rsidRPr="71D2A87E">
        <w:rPr>
          <w:rFonts w:eastAsia="Calibri" w:cs="Calibri"/>
          <w:color w:val="000000" w:themeColor="text1"/>
        </w:rPr>
        <w:t xml:space="preserve">study the impact of </w:t>
      </w:r>
      <w:r w:rsidR="00B83D53">
        <w:rPr>
          <w:rFonts w:eastAsia="Calibri" w:cs="Calibri"/>
          <w:color w:val="000000" w:themeColor="text1"/>
        </w:rPr>
        <w:t>this</w:t>
      </w:r>
      <w:r w:rsidRPr="71D2A87E">
        <w:rPr>
          <w:rFonts w:eastAsia="Calibri" w:cs="Calibri"/>
          <w:color w:val="000000" w:themeColor="text1"/>
        </w:rPr>
        <w:t xml:space="preserve"> wage boost on employee retention and continuity of care. </w:t>
      </w:r>
    </w:p>
    <w:bookmarkEnd w:id="46"/>
    <w:p w14:paraId="6559D16E" w14:textId="77777777" w:rsidR="00917BE1" w:rsidRPr="00D03F1F" w:rsidRDefault="00917BE1" w:rsidP="00917BE1">
      <w:pPr>
        <w:contextualSpacing/>
        <w:rPr>
          <w:rFonts w:eastAsia="Calibri" w:cs="Calibri"/>
          <w:color w:val="000000" w:themeColor="text1"/>
        </w:rPr>
      </w:pPr>
    </w:p>
    <w:p w14:paraId="41C45455" w14:textId="2BA2AF54" w:rsidR="00917BE1" w:rsidRPr="00D03F1F" w:rsidRDefault="00ED0A0F" w:rsidP="00917BE1">
      <w:pPr>
        <w:contextualSpacing/>
        <w:rPr>
          <w:rFonts w:eastAsia="Calibri" w:cs="Calibri"/>
          <w:color w:val="000000" w:themeColor="text1"/>
        </w:rPr>
      </w:pPr>
      <w:r w:rsidRPr="2D71CCAF">
        <w:rPr>
          <w:rFonts w:eastAsia="Calibri" w:cs="Calibri"/>
          <w:color w:val="000000" w:themeColor="text1"/>
        </w:rPr>
        <w:t xml:space="preserve">The </w:t>
      </w:r>
      <w:r w:rsidR="00ED02DE">
        <w:rPr>
          <w:rFonts w:eastAsia="Calibri" w:cs="Calibri"/>
          <w:color w:val="000000" w:themeColor="text1"/>
        </w:rPr>
        <w:t>p</w:t>
      </w:r>
      <w:r w:rsidR="005E72B5">
        <w:rPr>
          <w:rFonts w:eastAsia="Calibri" w:cs="Calibri"/>
          <w:color w:val="000000" w:themeColor="text1"/>
        </w:rPr>
        <w:t>roject</w:t>
      </w:r>
      <w:r>
        <w:rPr>
          <w:rFonts w:eastAsia="Calibri" w:cs="Calibri"/>
          <w:color w:val="000000" w:themeColor="text1"/>
        </w:rPr>
        <w:t xml:space="preserve"> is expected to</w:t>
      </w:r>
      <w:r w:rsidRPr="2D71CCAF">
        <w:rPr>
          <w:rFonts w:eastAsia="Calibri" w:cs="Calibri"/>
          <w:color w:val="000000" w:themeColor="text1"/>
        </w:rPr>
        <w:t xml:space="preserve"> take the form of an hourly wage boost or a </w:t>
      </w:r>
      <w:r w:rsidR="008B3E16">
        <w:rPr>
          <w:rFonts w:eastAsia="Calibri" w:cs="Calibri"/>
          <w:color w:val="000000" w:themeColor="text1"/>
        </w:rPr>
        <w:t>retention</w:t>
      </w:r>
      <w:r w:rsidR="004F0EB4">
        <w:rPr>
          <w:rFonts w:eastAsia="Calibri" w:cs="Calibri"/>
          <w:color w:val="000000" w:themeColor="text1"/>
        </w:rPr>
        <w:t xml:space="preserve"> </w:t>
      </w:r>
      <w:r w:rsidRPr="2D71CCAF">
        <w:rPr>
          <w:rFonts w:eastAsia="Calibri" w:cs="Calibri"/>
          <w:color w:val="000000" w:themeColor="text1"/>
        </w:rPr>
        <w:t>bonus model</w:t>
      </w:r>
      <w:r w:rsidRPr="261F37E9">
        <w:rPr>
          <w:rStyle w:val="FootnoteReference"/>
          <w:rFonts w:eastAsia="Calibri" w:cs="Calibri"/>
          <w:color w:val="000000" w:themeColor="text1"/>
        </w:rPr>
        <w:footnoteReference w:id="118"/>
      </w:r>
      <w:r w:rsidR="008B3E16">
        <w:rPr>
          <w:rFonts w:eastAsia="Calibri" w:cs="Calibri"/>
          <w:color w:val="000000" w:themeColor="text1"/>
        </w:rPr>
        <w:t xml:space="preserve"> based on length of service</w:t>
      </w:r>
      <w:r w:rsidRPr="2D71CCAF">
        <w:rPr>
          <w:rFonts w:eastAsia="Calibri" w:cs="Calibri"/>
          <w:color w:val="000000" w:themeColor="text1"/>
        </w:rPr>
        <w:t xml:space="preserve"> and will reach at least 1,400 providers</w:t>
      </w:r>
      <w:r w:rsidR="28DA01E5" w:rsidRPr="2D71CCAF">
        <w:rPr>
          <w:rFonts w:eastAsia="Calibri" w:cs="Calibri"/>
          <w:color w:val="000000" w:themeColor="text1"/>
        </w:rPr>
        <w:t>, prioritizing those working in areas with limited child care access or serving low-income families</w:t>
      </w:r>
      <w:r w:rsidRPr="2D71CCAF">
        <w:rPr>
          <w:rFonts w:eastAsia="Calibri" w:cs="Calibri"/>
          <w:color w:val="000000" w:themeColor="text1"/>
        </w:rPr>
        <w:t xml:space="preserve">. </w:t>
      </w:r>
      <w:r w:rsidR="00917BE1">
        <w:rPr>
          <w:rFonts w:eastAsia="Calibri" w:cs="Calibri"/>
          <w:i/>
          <w:iCs/>
          <w:color w:val="000000" w:themeColor="text1"/>
        </w:rPr>
        <w:t xml:space="preserve">Best Starts </w:t>
      </w:r>
      <w:r w:rsidR="00917BE1">
        <w:rPr>
          <w:rFonts w:eastAsia="Calibri" w:cs="Calibri"/>
          <w:color w:val="000000" w:themeColor="text1"/>
        </w:rPr>
        <w:t>will engage with c</w:t>
      </w:r>
      <w:r w:rsidR="00917BE1" w:rsidRPr="2D71CCAF">
        <w:rPr>
          <w:rFonts w:eastAsia="Calibri" w:cs="Calibri"/>
          <w:color w:val="000000" w:themeColor="text1"/>
        </w:rPr>
        <w:t xml:space="preserve">hild care providers and staff </w:t>
      </w:r>
      <w:r w:rsidR="00C22CA6">
        <w:rPr>
          <w:rFonts w:eastAsia="Calibri" w:cs="Calibri"/>
          <w:color w:val="000000" w:themeColor="text1"/>
        </w:rPr>
        <w:t>to design</w:t>
      </w:r>
      <w:r w:rsidR="007169E2">
        <w:rPr>
          <w:rFonts w:eastAsia="Calibri" w:cs="Calibri"/>
          <w:color w:val="000000" w:themeColor="text1"/>
        </w:rPr>
        <w:t xml:space="preserve"> and refine </w:t>
      </w:r>
      <w:r w:rsidR="00917BE1" w:rsidRPr="2D71CCAF">
        <w:rPr>
          <w:rFonts w:eastAsia="Calibri" w:cs="Calibri"/>
          <w:color w:val="000000" w:themeColor="text1"/>
        </w:rPr>
        <w:t xml:space="preserve">the project’s </w:t>
      </w:r>
      <w:r w:rsidR="00641FA1">
        <w:rPr>
          <w:rFonts w:eastAsia="Calibri" w:cs="Calibri"/>
          <w:color w:val="000000" w:themeColor="text1"/>
        </w:rPr>
        <w:t xml:space="preserve">specific </w:t>
      </w:r>
      <w:r w:rsidR="00917BE1" w:rsidRPr="2D71CCAF">
        <w:rPr>
          <w:rFonts w:eastAsia="Calibri" w:cs="Calibri"/>
          <w:color w:val="000000" w:themeColor="text1"/>
        </w:rPr>
        <w:t>eligibility parameters, priorities, and structure</w:t>
      </w:r>
      <w:r>
        <w:rPr>
          <w:rFonts w:eastAsia="Calibri" w:cs="Calibri"/>
          <w:color w:val="000000" w:themeColor="text1"/>
        </w:rPr>
        <w:t>, and to minimize disparities in access</w:t>
      </w:r>
      <w:r w:rsidR="10CC3EBB">
        <w:rPr>
          <w:rFonts w:eastAsia="Calibri" w:cs="Calibri"/>
          <w:color w:val="000000" w:themeColor="text1"/>
        </w:rPr>
        <w:t xml:space="preserve"> to the program potentially experienced by smaller providers with limited infrastructure</w:t>
      </w:r>
      <w:r w:rsidR="00917BE1" w:rsidRPr="2D71CCAF">
        <w:rPr>
          <w:rFonts w:eastAsia="Calibri" w:cs="Calibri"/>
          <w:color w:val="000000" w:themeColor="text1"/>
        </w:rPr>
        <w:t xml:space="preserve">. Participating child care sites will </w:t>
      </w:r>
      <w:r w:rsidR="00917BE1">
        <w:rPr>
          <w:rFonts w:eastAsia="Calibri" w:cs="Calibri"/>
          <w:color w:val="000000" w:themeColor="text1"/>
        </w:rPr>
        <w:t>be required</w:t>
      </w:r>
      <w:r w:rsidR="00917BE1" w:rsidRPr="2D71CCAF">
        <w:rPr>
          <w:rFonts w:eastAsia="Calibri" w:cs="Calibri"/>
          <w:color w:val="000000" w:themeColor="text1"/>
        </w:rPr>
        <w:t xml:space="preserve"> to follow generally accepted best labor practices.</w:t>
      </w:r>
      <w:r w:rsidR="00917BE1" w:rsidRPr="0003656A">
        <w:rPr>
          <w:rFonts w:eastAsia="Calibri" w:cs="Calibri"/>
          <w:color w:val="000000" w:themeColor="text1"/>
        </w:rPr>
        <w:t xml:space="preserve"> </w:t>
      </w:r>
      <w:r w:rsidR="00917BE1" w:rsidRPr="0C29B765">
        <w:rPr>
          <w:rFonts w:eastAsia="Calibri" w:cs="Calibri"/>
          <w:color w:val="000000" w:themeColor="text1"/>
        </w:rPr>
        <w:t xml:space="preserve">Participating </w:t>
      </w:r>
      <w:r w:rsidR="00A0767C">
        <w:rPr>
          <w:rFonts w:eastAsia="Calibri" w:cs="Calibri"/>
          <w:color w:val="000000" w:themeColor="text1"/>
        </w:rPr>
        <w:t>individual</w:t>
      </w:r>
      <w:r w:rsidR="00917BE1" w:rsidRPr="0C29B765">
        <w:rPr>
          <w:rFonts w:eastAsia="Calibri" w:cs="Calibri"/>
          <w:color w:val="000000" w:themeColor="text1"/>
        </w:rPr>
        <w:t xml:space="preserve"> child care providers will be accepted on a rolling basis and </w:t>
      </w:r>
      <w:r w:rsidR="001C24FC">
        <w:rPr>
          <w:rFonts w:eastAsia="Calibri" w:cs="Calibri"/>
          <w:color w:val="000000" w:themeColor="text1"/>
        </w:rPr>
        <w:t xml:space="preserve">will be able to </w:t>
      </w:r>
      <w:r w:rsidR="00917BE1" w:rsidRPr="0C29B765">
        <w:rPr>
          <w:rFonts w:eastAsia="Calibri" w:cs="Calibri"/>
          <w:color w:val="000000" w:themeColor="text1"/>
        </w:rPr>
        <w:t xml:space="preserve">remain in the project for the duration of their employment or through 2027, whichever comes first. </w:t>
      </w:r>
      <w:r w:rsidR="00917BE1" w:rsidRPr="0C29B765">
        <w:rPr>
          <w:rFonts w:eastAsia="Calibri" w:cs="Calibri"/>
          <w:i/>
          <w:iCs/>
          <w:color w:val="000000" w:themeColor="text1"/>
        </w:rPr>
        <w:lastRenderedPageBreak/>
        <w:t>Best Starts</w:t>
      </w:r>
      <w:r w:rsidR="00917BE1" w:rsidRPr="0C29B765">
        <w:rPr>
          <w:rFonts w:eastAsia="Calibri" w:cs="Calibri"/>
          <w:color w:val="000000" w:themeColor="text1"/>
        </w:rPr>
        <w:t xml:space="preserve"> will ensure sufficient technical assistance to support child care providers, teachers, and staff in equitably accessing the program.</w:t>
      </w:r>
    </w:p>
    <w:p w14:paraId="23E425E2" w14:textId="77777777" w:rsidR="00917BE1" w:rsidRDefault="00917BE1" w:rsidP="00917BE1">
      <w:pPr>
        <w:rPr>
          <w:rFonts w:cs="Calibri"/>
        </w:rPr>
      </w:pPr>
    </w:p>
    <w:p w14:paraId="028E2340" w14:textId="1823F1E3" w:rsidR="00917BE1" w:rsidRDefault="00917BE1" w:rsidP="00917BE1">
      <w:pPr>
        <w:rPr>
          <w:rFonts w:cs="Calibri"/>
          <w:b/>
          <w:bCs/>
        </w:rPr>
      </w:pPr>
      <w:r>
        <w:rPr>
          <w:rFonts w:cs="Calibri"/>
          <w:b/>
          <w:bCs/>
        </w:rPr>
        <w:t>Rationale for Investment:</w:t>
      </w:r>
    </w:p>
    <w:p w14:paraId="7F262BB4" w14:textId="6853721D" w:rsidR="008B3A25" w:rsidRPr="008B3A25" w:rsidRDefault="00917BE1" w:rsidP="008B3A25">
      <w:pPr>
        <w:contextualSpacing/>
        <w:rPr>
          <w:rFonts w:cs="Calibri"/>
        </w:rPr>
      </w:pPr>
      <w:r w:rsidRPr="00D03F1F">
        <w:rPr>
          <w:rFonts w:eastAsia="Calibri" w:cs="Calibri"/>
        </w:rPr>
        <w:t>King County’s child care workforce is in crisis. This workforce is more diverse than the overall population, disproportionately made up of women and people of color as well as immigrants and refugees.</w:t>
      </w:r>
      <w:r w:rsidRPr="00D03F1F">
        <w:rPr>
          <w:rStyle w:val="FootnoteReference"/>
          <w:rFonts w:eastAsia="Calibri" w:cs="Calibri"/>
        </w:rPr>
        <w:footnoteReference w:id="119"/>
      </w:r>
      <w:r w:rsidRPr="00D03F1F">
        <w:rPr>
          <w:rFonts w:eastAsia="Calibri" w:cs="Calibri"/>
        </w:rPr>
        <w:t xml:space="preserve"> </w:t>
      </w:r>
      <w:r w:rsidRPr="00D03F1F">
        <w:rPr>
          <w:rFonts w:cs="Calibri"/>
        </w:rPr>
        <w:t>Many child care providers continue to live in poverty</w:t>
      </w:r>
      <w:r w:rsidR="00EA4570">
        <w:rPr>
          <w:rFonts w:cs="Calibri"/>
        </w:rPr>
        <w:t xml:space="preserve">. </w:t>
      </w:r>
      <w:r w:rsidR="00EA4570" w:rsidRPr="00D03F1F">
        <w:rPr>
          <w:rFonts w:cs="Calibri"/>
        </w:rPr>
        <w:t>The Washington State Department of Children, Youth, and Families (DCYF) Compensation Technical Workgroup’s 2019 report found that Washington’s early childhood educators rank in the third percentile of occupational wages. Additionally, 39 percent of Washington’s early childhood educators rely on one or more sources of public assistance support programs</w:t>
      </w:r>
      <w:r w:rsidR="007E5824">
        <w:rPr>
          <w:rFonts w:cs="Calibri"/>
        </w:rPr>
        <w:t>.</w:t>
      </w:r>
      <w:r w:rsidR="007E5824" w:rsidRPr="00D03F1F">
        <w:rPr>
          <w:rStyle w:val="FootnoteReference"/>
          <w:rFonts w:cs="Calibri"/>
        </w:rPr>
        <w:footnoteReference w:id="120"/>
      </w:r>
      <w:r w:rsidR="007E5824">
        <w:rPr>
          <w:rFonts w:cs="Calibri"/>
        </w:rPr>
        <w:t xml:space="preserve"> </w:t>
      </w:r>
      <w:r w:rsidRPr="00D03F1F">
        <w:rPr>
          <w:rFonts w:cs="Calibri"/>
        </w:rPr>
        <w:t>Nearly 15 percent of child care providers live below the poverty line, and many cannot afford care for their own children.</w:t>
      </w:r>
      <w:r w:rsidRPr="00D03F1F">
        <w:rPr>
          <w:rStyle w:val="FootnoteReference"/>
          <w:rFonts w:cs="Calibri"/>
        </w:rPr>
        <w:footnoteReference w:id="121"/>
      </w:r>
      <w:r w:rsidRPr="00D03F1F">
        <w:rPr>
          <w:rFonts w:cs="Calibri"/>
        </w:rPr>
        <w:t xml:space="preserve"> </w:t>
      </w:r>
    </w:p>
    <w:p w14:paraId="2770C747" w14:textId="77777777" w:rsidR="00A72DB4" w:rsidRDefault="00A72DB4" w:rsidP="00917BE1">
      <w:pPr>
        <w:contextualSpacing/>
        <w:rPr>
          <w:rFonts w:cs="Calibri"/>
        </w:rPr>
      </w:pPr>
    </w:p>
    <w:p w14:paraId="21EB010E" w14:textId="01A7DD77" w:rsidR="00917BE1" w:rsidRPr="00D03F1F" w:rsidRDefault="00744134" w:rsidP="00917BE1">
      <w:pPr>
        <w:contextualSpacing/>
        <w:rPr>
          <w:rFonts w:cs="Calibri"/>
        </w:rPr>
      </w:pPr>
      <w:r>
        <w:rPr>
          <w:rFonts w:cs="Calibri"/>
        </w:rPr>
        <w:t>E</w:t>
      </w:r>
      <w:r w:rsidRPr="00D03F1F">
        <w:rPr>
          <w:rFonts w:cs="Calibri"/>
        </w:rPr>
        <w:t xml:space="preserve">fforts to increase </w:t>
      </w:r>
      <w:r>
        <w:rPr>
          <w:rFonts w:cs="Calibri"/>
        </w:rPr>
        <w:t>child care workers’</w:t>
      </w:r>
      <w:r w:rsidRPr="00D03F1F">
        <w:rPr>
          <w:rFonts w:cs="Calibri"/>
        </w:rPr>
        <w:t xml:space="preserve"> wages have stalled due to the cost implications </w:t>
      </w:r>
      <w:r>
        <w:rPr>
          <w:rFonts w:cs="Calibri"/>
        </w:rPr>
        <w:t xml:space="preserve">for </w:t>
      </w:r>
      <w:r w:rsidRPr="00D03F1F">
        <w:rPr>
          <w:rFonts w:cs="Calibri"/>
        </w:rPr>
        <w:t>families who already struggle to afford care.</w:t>
      </w:r>
      <w:r w:rsidRPr="00D03F1F">
        <w:rPr>
          <w:rStyle w:val="FootnoteReference"/>
          <w:rFonts w:cs="Calibri"/>
        </w:rPr>
        <w:footnoteReference w:id="122"/>
      </w:r>
      <w:r w:rsidR="00285EB1">
        <w:rPr>
          <w:rStyle w:val="FootnoteReference"/>
          <w:rFonts w:cs="Calibri"/>
        </w:rPr>
        <w:t>,</w:t>
      </w:r>
      <w:r w:rsidRPr="00D03F1F">
        <w:rPr>
          <w:rStyle w:val="FootnoteReference"/>
          <w:rFonts w:cs="Calibri"/>
        </w:rPr>
        <w:footnoteReference w:id="123"/>
      </w:r>
      <w:r w:rsidRPr="00D03F1F">
        <w:rPr>
          <w:rFonts w:cs="Calibri"/>
        </w:rPr>
        <w:t xml:space="preserve"> </w:t>
      </w:r>
      <w:r w:rsidR="00917BE1" w:rsidRPr="00D03F1F">
        <w:rPr>
          <w:rFonts w:cs="Calibri"/>
        </w:rPr>
        <w:t>Benefits packages are also elusive: only 15 percent of child care providers receive health insurance, and fewer than 10 percent are covered by a pension plan at their job.</w:t>
      </w:r>
      <w:r w:rsidR="00917BE1" w:rsidRPr="00D03F1F">
        <w:rPr>
          <w:rStyle w:val="FootnoteReference"/>
          <w:rFonts w:cs="Calibri"/>
        </w:rPr>
        <w:footnoteReference w:id="124"/>
      </w:r>
      <w:r w:rsidR="00917BE1" w:rsidRPr="00D03F1F">
        <w:rPr>
          <w:rFonts w:cs="Calibri"/>
        </w:rPr>
        <w:t xml:space="preserve"> Meanwhile, center and family home providers struggle with narrow margins and the inability of families to afford to pay </w:t>
      </w:r>
      <w:r w:rsidR="008B75FA">
        <w:rPr>
          <w:rFonts w:cs="Calibri"/>
        </w:rPr>
        <w:t>the</w:t>
      </w:r>
      <w:r w:rsidR="00917BE1" w:rsidRPr="00D03F1F">
        <w:rPr>
          <w:rFonts w:cs="Calibri"/>
        </w:rPr>
        <w:t xml:space="preserve"> higher tuition rates that would allow </w:t>
      </w:r>
      <w:r w:rsidR="00D37310">
        <w:rPr>
          <w:rFonts w:cs="Calibri"/>
        </w:rPr>
        <w:t xml:space="preserve">them </w:t>
      </w:r>
      <w:r w:rsidR="00917BE1" w:rsidRPr="00D03F1F">
        <w:rPr>
          <w:rFonts w:cs="Calibri"/>
        </w:rPr>
        <w:t>to offer these types of enhancements</w:t>
      </w:r>
      <w:r w:rsidR="00D51AB0">
        <w:rPr>
          <w:rFonts w:cs="Calibri"/>
        </w:rPr>
        <w:t xml:space="preserve"> to their workers</w:t>
      </w:r>
      <w:r w:rsidR="00917BE1" w:rsidRPr="00D03F1F">
        <w:rPr>
          <w:rFonts w:cs="Calibri"/>
        </w:rPr>
        <w:t xml:space="preserve">. </w:t>
      </w:r>
      <w:r w:rsidR="00917BE1" w:rsidRPr="00D03F1F">
        <w:rPr>
          <w:rFonts w:eastAsia="Calibri" w:cs="Calibri"/>
        </w:rPr>
        <w:t xml:space="preserve">At the same time, a push for high quality care has driven increased educational requirements for child care providers without commensurate </w:t>
      </w:r>
      <w:r w:rsidR="000C55F2">
        <w:rPr>
          <w:rFonts w:eastAsia="Calibri" w:cs="Calibri"/>
        </w:rPr>
        <w:t xml:space="preserve">increases to </w:t>
      </w:r>
      <w:r w:rsidR="00917BE1" w:rsidRPr="00D03F1F">
        <w:rPr>
          <w:rFonts w:eastAsia="Calibri" w:cs="Calibri"/>
        </w:rPr>
        <w:t>compensation.</w:t>
      </w:r>
    </w:p>
    <w:p w14:paraId="4F942F68" w14:textId="77777777" w:rsidR="00917BE1" w:rsidRPr="00D03F1F" w:rsidRDefault="00917BE1" w:rsidP="00917BE1">
      <w:pPr>
        <w:contextualSpacing/>
        <w:rPr>
          <w:rFonts w:cs="Calibri"/>
        </w:rPr>
      </w:pPr>
    </w:p>
    <w:p w14:paraId="02EB97E7" w14:textId="516A2FD7" w:rsidR="00917BE1" w:rsidRPr="00D03F1F" w:rsidRDefault="00846415" w:rsidP="00917BE1">
      <w:pPr>
        <w:contextualSpacing/>
        <w:rPr>
          <w:rFonts w:cs="Calibri"/>
        </w:rPr>
      </w:pPr>
      <w:r w:rsidRPr="002F2F04">
        <w:rPr>
          <w:rFonts w:cs="Calibri"/>
          <w:i/>
        </w:rPr>
        <w:t>Best Starts’</w:t>
      </w:r>
      <w:r w:rsidR="00D321F5">
        <w:rPr>
          <w:rFonts w:cs="Calibri"/>
        </w:rPr>
        <w:t xml:space="preserve"> </w:t>
      </w:r>
      <w:r w:rsidR="00C64908">
        <w:rPr>
          <w:rFonts w:cs="Calibri"/>
        </w:rPr>
        <w:t>workforce</w:t>
      </w:r>
      <w:r w:rsidR="008A45BC">
        <w:rPr>
          <w:rFonts w:cs="Calibri"/>
        </w:rPr>
        <w:t xml:space="preserve"> demonstration project</w:t>
      </w:r>
      <w:r w:rsidR="00D321F5">
        <w:rPr>
          <w:rFonts w:cs="Calibri"/>
        </w:rPr>
        <w:t xml:space="preserve"> </w:t>
      </w:r>
      <w:r w:rsidR="00DC4CD4">
        <w:rPr>
          <w:rFonts w:cs="Calibri"/>
        </w:rPr>
        <w:t>aligns with</w:t>
      </w:r>
      <w:r w:rsidR="00D321F5">
        <w:rPr>
          <w:rFonts w:cs="Calibri"/>
        </w:rPr>
        <w:t xml:space="preserve"> </w:t>
      </w:r>
      <w:r w:rsidR="008A45BC">
        <w:rPr>
          <w:rFonts w:cs="Calibri"/>
        </w:rPr>
        <w:t>a recommendation</w:t>
      </w:r>
      <w:r w:rsidR="00D321F5">
        <w:rPr>
          <w:rFonts w:cs="Calibri"/>
        </w:rPr>
        <w:t xml:space="preserve"> </w:t>
      </w:r>
      <w:r w:rsidR="008A45BC">
        <w:rPr>
          <w:rFonts w:cs="Calibri"/>
        </w:rPr>
        <w:t>from t</w:t>
      </w:r>
      <w:r w:rsidR="00917BE1" w:rsidRPr="00D03F1F">
        <w:rPr>
          <w:rFonts w:cs="Calibri"/>
        </w:rPr>
        <w:t xml:space="preserve">he King County Children and Families Strategy Task Force </w:t>
      </w:r>
      <w:r w:rsidR="00132655">
        <w:rPr>
          <w:rFonts w:cs="Calibri"/>
        </w:rPr>
        <w:t xml:space="preserve">to </w:t>
      </w:r>
      <w:r w:rsidR="00917BE1" w:rsidRPr="00D03F1F">
        <w:rPr>
          <w:rFonts w:cs="Calibri"/>
        </w:rPr>
        <w:t xml:space="preserve">ensure child care providers have access to equitable, living wages and benefits </w:t>
      </w:r>
      <w:r w:rsidR="00EE4347">
        <w:rPr>
          <w:rFonts w:cs="Calibri"/>
        </w:rPr>
        <w:t xml:space="preserve">and to </w:t>
      </w:r>
      <w:r w:rsidR="00917BE1" w:rsidRPr="00D03F1F">
        <w:rPr>
          <w:rFonts w:cs="Calibri"/>
        </w:rPr>
        <w:t>includ</w:t>
      </w:r>
      <w:r w:rsidR="00EE4347">
        <w:rPr>
          <w:rFonts w:cs="Calibri"/>
        </w:rPr>
        <w:t>e</w:t>
      </w:r>
      <w:r w:rsidR="00917BE1" w:rsidRPr="00D03F1F">
        <w:rPr>
          <w:rFonts w:cs="Calibri"/>
        </w:rPr>
        <w:t xml:space="preserve"> providers in the process of determining these wages.</w:t>
      </w:r>
      <w:r w:rsidR="00917BE1">
        <w:rPr>
          <w:rStyle w:val="FootnoteReference"/>
          <w:rFonts w:cs="Calibri"/>
        </w:rPr>
        <w:footnoteReference w:id="125"/>
      </w:r>
    </w:p>
    <w:p w14:paraId="232F3AB5" w14:textId="77777777" w:rsidR="00917BE1" w:rsidRPr="003008FF" w:rsidRDefault="00917BE1" w:rsidP="00917BE1">
      <w:pPr>
        <w:rPr>
          <w:rFonts w:cs="Calibri"/>
          <w:b/>
        </w:rPr>
      </w:pPr>
    </w:p>
    <w:p w14:paraId="65EBF7AA" w14:textId="39F846E0" w:rsidR="00917BE1" w:rsidRDefault="00917BE1" w:rsidP="00917BE1">
      <w:pPr>
        <w:rPr>
          <w:rFonts w:cs="Calibri"/>
        </w:rPr>
      </w:pPr>
      <w:r>
        <w:rPr>
          <w:rFonts w:cs="Calibri"/>
          <w:b/>
          <w:bCs/>
        </w:rPr>
        <w:t xml:space="preserve">Approximate Scope: </w:t>
      </w:r>
      <w:r>
        <w:rPr>
          <w:rFonts w:cs="Calibri"/>
        </w:rPr>
        <w:t>1,400 child care providers per year</w:t>
      </w:r>
      <w:r w:rsidR="00DC4CD4">
        <w:rPr>
          <w:rFonts w:cs="Calibri"/>
        </w:rPr>
        <w:t>.</w:t>
      </w:r>
    </w:p>
    <w:p w14:paraId="2889114C" w14:textId="77777777" w:rsidR="00917BE1" w:rsidRDefault="00917BE1" w:rsidP="00917BE1">
      <w:pPr>
        <w:rPr>
          <w:rFonts w:cs="Calibri"/>
        </w:rPr>
      </w:pPr>
    </w:p>
    <w:p w14:paraId="2D695099" w14:textId="77777777" w:rsidR="00917BE1" w:rsidRDefault="00917BE1" w:rsidP="00917BE1">
      <w:pPr>
        <w:rPr>
          <w:rFonts w:cs="Calibri"/>
          <w:b/>
          <w:bCs/>
        </w:rPr>
      </w:pPr>
      <w:r>
        <w:rPr>
          <w:rFonts w:cs="Calibri"/>
          <w:b/>
          <w:bCs/>
        </w:rPr>
        <w:t xml:space="preserve">Anticipated Timeline: </w:t>
      </w:r>
    </w:p>
    <w:p w14:paraId="3C45DC11" w14:textId="71BA36A0" w:rsidR="00917BE1" w:rsidRPr="0003656A" w:rsidRDefault="00917BE1" w:rsidP="00917BE1">
      <w:pPr>
        <w:contextualSpacing/>
        <w:rPr>
          <w:rFonts w:cs="Calibri"/>
        </w:rPr>
      </w:pPr>
      <w:r w:rsidRPr="43D3543F">
        <w:rPr>
          <w:rFonts w:eastAsia="Calibri" w:cs="Calibri"/>
          <w:i/>
          <w:iCs/>
          <w:color w:val="000000" w:themeColor="text1"/>
        </w:rPr>
        <w:t xml:space="preserve">Best Starts </w:t>
      </w:r>
      <w:r w:rsidRPr="43D3543F">
        <w:rPr>
          <w:rFonts w:eastAsia="Calibri" w:cs="Calibri"/>
          <w:color w:val="000000" w:themeColor="text1"/>
        </w:rPr>
        <w:t xml:space="preserve">intends to implement the </w:t>
      </w:r>
      <w:r w:rsidR="00C64908">
        <w:rPr>
          <w:rFonts w:eastAsia="Calibri" w:cs="Calibri"/>
          <w:color w:val="000000" w:themeColor="text1"/>
        </w:rPr>
        <w:t>Workforce</w:t>
      </w:r>
      <w:r w:rsidR="00A00A3A" w:rsidRPr="43D3543F">
        <w:rPr>
          <w:rFonts w:eastAsia="Calibri" w:cs="Calibri"/>
          <w:color w:val="000000" w:themeColor="text1"/>
        </w:rPr>
        <w:t xml:space="preserve"> </w:t>
      </w:r>
      <w:r w:rsidRPr="43D3543F">
        <w:rPr>
          <w:rFonts w:eastAsia="Calibri" w:cs="Calibri"/>
          <w:color w:val="000000" w:themeColor="text1"/>
        </w:rPr>
        <w:t xml:space="preserve">Demonstration Project in partnership with an intermediary </w:t>
      </w:r>
      <w:r w:rsidR="00903A78">
        <w:rPr>
          <w:rFonts w:eastAsia="Calibri" w:cs="Calibri"/>
          <w:color w:val="000000" w:themeColor="text1"/>
        </w:rPr>
        <w:t xml:space="preserve">that will be </w:t>
      </w:r>
      <w:r w:rsidRPr="43D3543F">
        <w:rPr>
          <w:rFonts w:eastAsia="Calibri" w:cs="Calibri"/>
          <w:color w:val="000000" w:themeColor="text1"/>
        </w:rPr>
        <w:t xml:space="preserve">responsible for distributing funds and collecting data. The identified intermediary </w:t>
      </w:r>
      <w:r w:rsidR="006D68B2">
        <w:rPr>
          <w:rFonts w:eastAsia="Calibri" w:cs="Calibri"/>
          <w:color w:val="000000" w:themeColor="text1"/>
        </w:rPr>
        <w:t>is expected to</w:t>
      </w:r>
      <w:r w:rsidR="006D68B2" w:rsidRPr="43D3543F">
        <w:rPr>
          <w:rFonts w:eastAsia="Calibri" w:cs="Calibri"/>
          <w:color w:val="000000" w:themeColor="text1"/>
        </w:rPr>
        <w:t xml:space="preserve"> </w:t>
      </w:r>
      <w:r w:rsidRPr="43D3543F">
        <w:rPr>
          <w:rFonts w:eastAsia="Calibri" w:cs="Calibri"/>
          <w:color w:val="000000" w:themeColor="text1"/>
        </w:rPr>
        <w:t xml:space="preserve">begin the project in </w:t>
      </w:r>
      <w:r w:rsidR="2CA8FC4E" w:rsidRPr="43D3543F">
        <w:rPr>
          <w:rFonts w:eastAsia="Calibri" w:cs="Calibri"/>
          <w:color w:val="000000" w:themeColor="text1"/>
        </w:rPr>
        <w:t xml:space="preserve">the second half of </w:t>
      </w:r>
      <w:r w:rsidR="44D4E9AE" w:rsidRPr="43D3543F">
        <w:rPr>
          <w:rFonts w:eastAsia="Calibri" w:cs="Calibri"/>
          <w:color w:val="000000" w:themeColor="text1"/>
        </w:rPr>
        <w:t>2022</w:t>
      </w:r>
      <w:r w:rsidRPr="43D3543F">
        <w:rPr>
          <w:rFonts w:eastAsia="Calibri" w:cs="Calibri"/>
          <w:color w:val="000000" w:themeColor="text1"/>
        </w:rPr>
        <w:t xml:space="preserve"> and continue </w:t>
      </w:r>
      <w:r w:rsidR="00310A9F">
        <w:rPr>
          <w:rFonts w:eastAsia="Calibri" w:cs="Calibri"/>
          <w:color w:val="000000" w:themeColor="text1"/>
        </w:rPr>
        <w:t xml:space="preserve">it </w:t>
      </w:r>
      <w:r w:rsidRPr="43D3543F">
        <w:rPr>
          <w:rFonts w:eastAsia="Calibri" w:cs="Calibri"/>
          <w:color w:val="000000" w:themeColor="text1"/>
        </w:rPr>
        <w:t xml:space="preserve">through 2027. </w:t>
      </w:r>
    </w:p>
    <w:p w14:paraId="5FF1859B" w14:textId="268ACC5B" w:rsidR="006749D6" w:rsidRPr="006749D6" w:rsidRDefault="006749D6" w:rsidP="006749D6"/>
    <w:p w14:paraId="4A3956BD" w14:textId="51018F4A" w:rsidR="00EE75F8" w:rsidRDefault="0048431B" w:rsidP="00025030">
      <w:pPr>
        <w:pStyle w:val="Heading2"/>
        <w:numPr>
          <w:ilvl w:val="0"/>
          <w:numId w:val="26"/>
        </w:numPr>
        <w:spacing w:before="0"/>
        <w:contextualSpacing/>
      </w:pPr>
      <w:bookmarkStart w:id="47" w:name="_Investing_Early_(Prenatal"/>
      <w:bookmarkStart w:id="48" w:name="_Toc85188546"/>
      <w:bookmarkEnd w:id="47"/>
      <w:r>
        <w:lastRenderedPageBreak/>
        <w:t>Investing Early</w:t>
      </w:r>
      <w:r w:rsidR="00584663">
        <w:t xml:space="preserve"> (</w:t>
      </w:r>
      <w:r w:rsidR="00C14779">
        <w:t>P</w:t>
      </w:r>
      <w:r w:rsidR="00584663">
        <w:t xml:space="preserve">renatal to </w:t>
      </w:r>
      <w:r w:rsidR="008D1AF8">
        <w:t>Five</w:t>
      </w:r>
      <w:r w:rsidR="007B1EB7">
        <w:t>)</w:t>
      </w:r>
      <w:bookmarkEnd w:id="48"/>
    </w:p>
    <w:p w14:paraId="0EB2959F" w14:textId="77777777" w:rsidR="00416C38" w:rsidRDefault="00416C38" w:rsidP="00F80BBC"/>
    <w:p w14:paraId="5E607C14" w14:textId="3198B8F6" w:rsidR="001D2695" w:rsidRPr="00F80BBC" w:rsidRDefault="00740AB1" w:rsidP="00F80BBC">
      <w:r w:rsidRPr="001B41C8">
        <w:rPr>
          <w:rFonts w:cs="Calibri"/>
          <w:i/>
        </w:rPr>
        <w:t>Best Starts</w:t>
      </w:r>
      <w:r w:rsidRPr="00740AB1">
        <w:rPr>
          <w:rFonts w:cs="Calibri"/>
        </w:rPr>
        <w:t xml:space="preserve"> invests early to support pregnant and parenting families, infants, very young children, and caregivers during the critical first five years of life with a robust system of support services and resources that meet families </w:t>
      </w:r>
      <w:r w:rsidR="002F0E30">
        <w:rPr>
          <w:rFonts w:cs="Calibri"/>
        </w:rPr>
        <w:t xml:space="preserve">either </w:t>
      </w:r>
      <w:r w:rsidRPr="00740AB1">
        <w:rPr>
          <w:rFonts w:cs="Calibri"/>
        </w:rPr>
        <w:t xml:space="preserve">at home, in the community, </w:t>
      </w:r>
      <w:r w:rsidR="002F0E30">
        <w:rPr>
          <w:rFonts w:cs="Calibri"/>
        </w:rPr>
        <w:t>or</w:t>
      </w:r>
      <w:r w:rsidRPr="00740AB1">
        <w:rPr>
          <w:rFonts w:cs="Calibri"/>
        </w:rPr>
        <w:t xml:space="preserve"> wherever children are cared for</w:t>
      </w:r>
      <w:r w:rsidR="00285EB1">
        <w:rPr>
          <w:rFonts w:cs="Calibri"/>
        </w:rPr>
        <w:t xml:space="preserve">. </w:t>
      </w:r>
      <w:r w:rsidRPr="00740AB1">
        <w:rPr>
          <w:rFonts w:cs="Calibri"/>
        </w:rPr>
        <w:t>These investments support King County families in meeting their basic needs, connect families to services, and care for the well-being of young children and their families. </w:t>
      </w:r>
      <w:r w:rsidR="00135FF8">
        <w:rPr>
          <w:rFonts w:cs="Calibri"/>
        </w:rPr>
        <w:t>Investing Early</w:t>
      </w:r>
      <w:r w:rsidR="006C1CCC" w:rsidRPr="00653F29">
        <w:rPr>
          <w:rFonts w:cs="Calibri"/>
        </w:rPr>
        <w:t xml:space="preserve"> is </w:t>
      </w:r>
      <w:r w:rsidR="006C1CCC" w:rsidRPr="00354EFE">
        <w:rPr>
          <w:rFonts w:cs="Calibri"/>
          <w:i/>
        </w:rPr>
        <w:t>Best Starts</w:t>
      </w:r>
      <w:r w:rsidR="006C1CCC" w:rsidRPr="00653F29">
        <w:rPr>
          <w:rFonts w:cs="Calibri"/>
        </w:rPr>
        <w:t>’ largest investment area. Research shows the earlier investments are made, the greater the return for children and families.</w:t>
      </w:r>
      <w:r w:rsidR="00C94A5E">
        <w:rPr>
          <w:rStyle w:val="FootnoteReference"/>
          <w:rFonts w:cs="Calibri"/>
        </w:rPr>
        <w:footnoteReference w:id="126"/>
      </w:r>
      <w:r w:rsidR="006C1CCC" w:rsidRPr="00653F29">
        <w:rPr>
          <w:rFonts w:cs="Calibri"/>
        </w:rPr>
        <w:t xml:space="preserve"> </w:t>
      </w:r>
      <w:r w:rsidR="00274E08">
        <w:rPr>
          <w:rFonts w:cs="Calibri"/>
        </w:rPr>
        <w:t xml:space="preserve">All descriptions of strategies include an estimated scope that is </w:t>
      </w:r>
      <w:r w:rsidR="00274E08">
        <w:t>subject to refinement in partnership with community and providers.</w:t>
      </w:r>
      <w:r w:rsidR="00BD08FA">
        <w:t xml:space="preserve"> Table 1</w:t>
      </w:r>
      <w:r w:rsidR="008A48DA">
        <w:t>0</w:t>
      </w:r>
      <w:r w:rsidR="00BD08FA">
        <w:t xml:space="preserve"> outlines the funding estimates for the 2022-2027 levy by strategy. </w:t>
      </w:r>
    </w:p>
    <w:tbl>
      <w:tblPr>
        <w:tblW w:w="9326" w:type="dxa"/>
        <w:tblLook w:val="04A0" w:firstRow="1" w:lastRow="0" w:firstColumn="1" w:lastColumn="0" w:noHBand="0" w:noVBand="1"/>
      </w:tblPr>
      <w:tblGrid>
        <w:gridCol w:w="9326"/>
      </w:tblGrid>
      <w:tr w:rsidR="00DE32AA" w:rsidRPr="00620443" w14:paraId="0DEC6EA1" w14:textId="77777777" w:rsidTr="00082EBF">
        <w:trPr>
          <w:trHeight w:val="310"/>
        </w:trPr>
        <w:tc>
          <w:tcPr>
            <w:tcW w:w="9326" w:type="dxa"/>
            <w:tcBorders>
              <w:top w:val="nil"/>
              <w:left w:val="nil"/>
              <w:bottom w:val="nil"/>
              <w:right w:val="nil"/>
            </w:tcBorders>
            <w:shd w:val="clear" w:color="auto" w:fill="auto"/>
            <w:noWrap/>
            <w:vAlign w:val="bottom"/>
          </w:tcPr>
          <w:p w14:paraId="19958ABA" w14:textId="5E3819D1" w:rsidR="0006795B" w:rsidRDefault="0006795B" w:rsidP="0006795B">
            <w:pPr>
              <w:pStyle w:val="Caption"/>
              <w:keepNext/>
            </w:pPr>
          </w:p>
          <w:p w14:paraId="3F5609C0" w14:textId="1500906F" w:rsidR="008A48DA" w:rsidRDefault="008A48DA" w:rsidP="008A48DA">
            <w:pPr>
              <w:pStyle w:val="Caption"/>
              <w:keepNext/>
            </w:pPr>
            <w:r>
              <w:t xml:space="preserve">Table </w:t>
            </w:r>
            <w:fldSimple w:instr=" SEQ Table \* ARABIC ">
              <w:r w:rsidR="00B8538C">
                <w:rPr>
                  <w:noProof/>
                </w:rPr>
                <w:t>10</w:t>
              </w:r>
            </w:fldSimple>
            <w:r>
              <w:t xml:space="preserve">: </w:t>
            </w:r>
            <w:r w:rsidRPr="00757584">
              <w:t>Funding Estimates for Investing Early strategies</w:t>
            </w:r>
          </w:p>
          <w:tbl>
            <w:tblPr>
              <w:tblW w:w="9080" w:type="dxa"/>
              <w:tblLook w:val="04A0" w:firstRow="1" w:lastRow="0" w:firstColumn="1" w:lastColumn="0" w:noHBand="0" w:noVBand="1"/>
            </w:tblPr>
            <w:tblGrid>
              <w:gridCol w:w="5995"/>
              <w:gridCol w:w="3085"/>
            </w:tblGrid>
            <w:tr w:rsidR="00EF61F1" w:rsidRPr="00EF61F1" w14:paraId="3995B61F" w14:textId="77777777" w:rsidTr="00EF61F1">
              <w:trPr>
                <w:trHeight w:val="510"/>
              </w:trPr>
              <w:tc>
                <w:tcPr>
                  <w:tcW w:w="5995"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32C61D8B" w14:textId="77777777" w:rsidR="00EF61F1" w:rsidRPr="00EF61F1" w:rsidRDefault="00EF61F1" w:rsidP="00EF61F1">
                  <w:pPr>
                    <w:spacing w:line="240" w:lineRule="auto"/>
                    <w:rPr>
                      <w:rFonts w:eastAsia="Times New Roman" w:cs="Calibri"/>
                      <w:b/>
                      <w:bCs/>
                      <w:i/>
                      <w:iCs/>
                      <w:sz w:val="24"/>
                      <w:szCs w:val="24"/>
                    </w:rPr>
                  </w:pPr>
                  <w:bookmarkStart w:id="49" w:name="_Hlk74685431"/>
                  <w:r w:rsidRPr="00EF61F1">
                    <w:rPr>
                      <w:rFonts w:eastAsia="Times New Roman" w:cs="Calibri"/>
                      <w:b/>
                      <w:bCs/>
                      <w:i/>
                      <w:iCs/>
                      <w:sz w:val="24"/>
                      <w:szCs w:val="24"/>
                    </w:rPr>
                    <w:t>Strategy</w:t>
                  </w:r>
                </w:p>
              </w:tc>
              <w:tc>
                <w:tcPr>
                  <w:tcW w:w="3085" w:type="dxa"/>
                  <w:tcBorders>
                    <w:top w:val="single" w:sz="12" w:space="0" w:color="FFD966"/>
                    <w:left w:val="nil"/>
                    <w:bottom w:val="single" w:sz="8" w:space="0" w:color="FFD966"/>
                    <w:right w:val="single" w:sz="12" w:space="0" w:color="FFD966"/>
                  </w:tcBorders>
                  <w:shd w:val="clear" w:color="000000" w:fill="D9E1F2"/>
                  <w:noWrap/>
                  <w:vAlign w:val="center"/>
                  <w:hideMark/>
                </w:tcPr>
                <w:p w14:paraId="756833BC" w14:textId="77777777" w:rsidR="00EF61F1" w:rsidRPr="00EF61F1" w:rsidRDefault="00EF61F1" w:rsidP="00EF61F1">
                  <w:pPr>
                    <w:spacing w:line="240" w:lineRule="auto"/>
                    <w:jc w:val="right"/>
                    <w:rPr>
                      <w:rFonts w:eastAsia="Times New Roman" w:cs="Calibri"/>
                      <w:b/>
                      <w:bCs/>
                      <w:i/>
                      <w:iCs/>
                      <w:sz w:val="24"/>
                      <w:szCs w:val="24"/>
                    </w:rPr>
                  </w:pPr>
                  <w:r w:rsidRPr="003420B4">
                    <w:rPr>
                      <w:rFonts w:eastAsia="Times New Roman" w:cs="Calibri"/>
                      <w:b/>
                      <w:i/>
                      <w:iCs/>
                      <w:sz w:val="24"/>
                      <w:szCs w:val="24"/>
                    </w:rPr>
                    <w:t>2022-2027</w:t>
                  </w:r>
                  <w:r w:rsidRPr="00EF61F1">
                    <w:rPr>
                      <w:rFonts w:eastAsia="Times New Roman" w:cs="Calibri"/>
                      <w:b/>
                      <w:bCs/>
                      <w:i/>
                      <w:iCs/>
                      <w:sz w:val="24"/>
                      <w:szCs w:val="24"/>
                    </w:rPr>
                    <w:t xml:space="preserve"> Funding Estimate</w:t>
                  </w:r>
                </w:p>
              </w:tc>
            </w:tr>
            <w:tr w:rsidR="00EF61F1" w:rsidRPr="00EF61F1" w14:paraId="2CD187FB"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3F78A2CC"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Maternal and Child Health Services</w:t>
                  </w:r>
                </w:p>
              </w:tc>
              <w:tc>
                <w:tcPr>
                  <w:tcW w:w="3085" w:type="dxa"/>
                  <w:tcBorders>
                    <w:top w:val="nil"/>
                    <w:left w:val="nil"/>
                    <w:bottom w:val="single" w:sz="8" w:space="0" w:color="FFD966"/>
                    <w:right w:val="single" w:sz="12" w:space="0" w:color="FFD966"/>
                  </w:tcBorders>
                  <w:shd w:val="clear" w:color="auto" w:fill="auto"/>
                  <w:noWrap/>
                  <w:vAlign w:val="center"/>
                  <w:hideMark/>
                </w:tcPr>
                <w:p w14:paraId="120A364B"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$89,024,000 </w:t>
                  </w:r>
                </w:p>
              </w:tc>
            </w:tr>
            <w:tr w:rsidR="00EF61F1" w:rsidRPr="00EF61F1" w14:paraId="136C5B0B"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7D5A6C84"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Home-Based Services</w:t>
                  </w:r>
                </w:p>
              </w:tc>
              <w:tc>
                <w:tcPr>
                  <w:tcW w:w="3085" w:type="dxa"/>
                  <w:tcBorders>
                    <w:top w:val="nil"/>
                    <w:left w:val="nil"/>
                    <w:bottom w:val="single" w:sz="8" w:space="0" w:color="FFD966"/>
                    <w:right w:val="single" w:sz="12" w:space="0" w:color="FFD966"/>
                  </w:tcBorders>
                  <w:shd w:val="clear" w:color="auto" w:fill="auto"/>
                  <w:noWrap/>
                  <w:vAlign w:val="center"/>
                  <w:hideMark/>
                </w:tcPr>
                <w:p w14:paraId="1101F6F9"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$63,398,000 </w:t>
                  </w:r>
                </w:p>
              </w:tc>
            </w:tr>
            <w:tr w:rsidR="00EF61F1" w:rsidRPr="00EF61F1" w14:paraId="205E0A9E"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3EED6B65"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Community-Based Parenting Supports</w:t>
                  </w:r>
                </w:p>
              </w:tc>
              <w:tc>
                <w:tcPr>
                  <w:tcW w:w="3085" w:type="dxa"/>
                  <w:tcBorders>
                    <w:top w:val="nil"/>
                    <w:left w:val="nil"/>
                    <w:bottom w:val="single" w:sz="8" w:space="0" w:color="FFD966"/>
                    <w:right w:val="single" w:sz="12" w:space="0" w:color="FFD966"/>
                  </w:tcBorders>
                  <w:shd w:val="clear" w:color="auto" w:fill="auto"/>
                  <w:noWrap/>
                  <w:vAlign w:val="center"/>
                  <w:hideMark/>
                </w:tcPr>
                <w:p w14:paraId="353DD696"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$24,091,000 </w:t>
                  </w:r>
                </w:p>
              </w:tc>
            </w:tr>
            <w:tr w:rsidR="00EF61F1" w:rsidRPr="00EF61F1" w14:paraId="3AB0BA60"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52CA05DF"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Early Support for Infants and Toddlers</w:t>
                  </w:r>
                </w:p>
              </w:tc>
              <w:tc>
                <w:tcPr>
                  <w:tcW w:w="3085" w:type="dxa"/>
                  <w:tcBorders>
                    <w:top w:val="nil"/>
                    <w:left w:val="nil"/>
                    <w:bottom w:val="single" w:sz="8" w:space="0" w:color="FFD966"/>
                    <w:right w:val="single" w:sz="12" w:space="0" w:color="FFD966"/>
                  </w:tcBorders>
                  <w:shd w:val="clear" w:color="auto" w:fill="auto"/>
                  <w:noWrap/>
                  <w:vAlign w:val="center"/>
                  <w:hideMark/>
                </w:tcPr>
                <w:p w14:paraId="2B5017E0"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$28,529,000 </w:t>
                  </w:r>
                </w:p>
              </w:tc>
            </w:tr>
            <w:tr w:rsidR="00EF61F1" w:rsidRPr="00EF61F1" w14:paraId="00B792A4"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28EAD216"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Universal Developmental Screening</w:t>
                  </w:r>
                </w:p>
              </w:tc>
              <w:tc>
                <w:tcPr>
                  <w:tcW w:w="3085" w:type="dxa"/>
                  <w:tcBorders>
                    <w:top w:val="nil"/>
                    <w:left w:val="nil"/>
                    <w:bottom w:val="single" w:sz="8" w:space="0" w:color="FFD966"/>
                    <w:right w:val="single" w:sz="12" w:space="0" w:color="FFD966"/>
                  </w:tcBorders>
                  <w:shd w:val="clear" w:color="auto" w:fill="auto"/>
                  <w:noWrap/>
                  <w:vAlign w:val="center"/>
                  <w:hideMark/>
                </w:tcPr>
                <w:p w14:paraId="538A6E55"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$19,020,000 </w:t>
                  </w:r>
                </w:p>
              </w:tc>
            </w:tr>
            <w:tr w:rsidR="00EF61F1" w:rsidRPr="00EF61F1" w14:paraId="5FE786B6"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1D81564D"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Child Care Health Consultation (CCHC)</w:t>
                  </w:r>
                </w:p>
              </w:tc>
              <w:tc>
                <w:tcPr>
                  <w:tcW w:w="3085" w:type="dxa"/>
                  <w:tcBorders>
                    <w:top w:val="nil"/>
                    <w:left w:val="nil"/>
                    <w:bottom w:val="single" w:sz="8" w:space="0" w:color="FFD966"/>
                    <w:right w:val="single" w:sz="12" w:space="0" w:color="FFD966"/>
                  </w:tcBorders>
                  <w:shd w:val="clear" w:color="auto" w:fill="auto"/>
                  <w:noWrap/>
                  <w:vAlign w:val="center"/>
                  <w:hideMark/>
                </w:tcPr>
                <w:p w14:paraId="05D88EB6"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$21,555,000 </w:t>
                  </w:r>
                </w:p>
              </w:tc>
            </w:tr>
            <w:tr w:rsidR="00EF61F1" w:rsidRPr="00EF61F1" w14:paraId="5155399B"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5027EB37"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Systems Building for Infant and Early Childhood Mental Health</w:t>
                  </w:r>
                </w:p>
              </w:tc>
              <w:tc>
                <w:tcPr>
                  <w:tcW w:w="3085" w:type="dxa"/>
                  <w:tcBorders>
                    <w:top w:val="nil"/>
                    <w:left w:val="nil"/>
                    <w:bottom w:val="single" w:sz="8" w:space="0" w:color="FFD966"/>
                    <w:right w:val="single" w:sz="12" w:space="0" w:color="FFD966"/>
                  </w:tcBorders>
                  <w:shd w:val="clear" w:color="auto" w:fill="auto"/>
                  <w:noWrap/>
                  <w:vAlign w:val="center"/>
                  <w:hideMark/>
                </w:tcPr>
                <w:p w14:paraId="26777F23" w14:textId="6CAFFD56"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$9,510,000 </w:t>
                  </w:r>
                </w:p>
              </w:tc>
            </w:tr>
            <w:tr w:rsidR="00EF61F1" w:rsidRPr="00EF61F1" w14:paraId="6BA83019"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4D8FCB9F"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Workforce Development</w:t>
                  </w:r>
                </w:p>
              </w:tc>
              <w:tc>
                <w:tcPr>
                  <w:tcW w:w="3085" w:type="dxa"/>
                  <w:tcBorders>
                    <w:top w:val="nil"/>
                    <w:left w:val="nil"/>
                    <w:bottom w:val="single" w:sz="8" w:space="0" w:color="FFD966"/>
                    <w:right w:val="single" w:sz="12" w:space="0" w:color="FFD966"/>
                  </w:tcBorders>
                  <w:shd w:val="clear" w:color="auto" w:fill="auto"/>
                  <w:noWrap/>
                  <w:vAlign w:val="center"/>
                  <w:hideMark/>
                </w:tcPr>
                <w:p w14:paraId="20836436"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$8,305,000 </w:t>
                  </w:r>
                </w:p>
              </w:tc>
            </w:tr>
            <w:tr w:rsidR="00EF61F1" w:rsidRPr="00EF61F1" w14:paraId="763694F7"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2E4A3009"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Innovation Supports</w:t>
                  </w:r>
                </w:p>
              </w:tc>
              <w:tc>
                <w:tcPr>
                  <w:tcW w:w="3085" w:type="dxa"/>
                  <w:tcBorders>
                    <w:top w:val="nil"/>
                    <w:left w:val="nil"/>
                    <w:bottom w:val="single" w:sz="8" w:space="0" w:color="FFD966"/>
                    <w:right w:val="single" w:sz="12" w:space="0" w:color="FFD966"/>
                  </w:tcBorders>
                  <w:shd w:val="clear" w:color="auto" w:fill="auto"/>
                  <w:noWrap/>
                  <w:vAlign w:val="center"/>
                  <w:hideMark/>
                </w:tcPr>
                <w:p w14:paraId="6F2193F8"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$6,340,000 </w:t>
                  </w:r>
                </w:p>
              </w:tc>
            </w:tr>
            <w:tr w:rsidR="00EF61F1" w:rsidRPr="00EF61F1" w14:paraId="3A03ABE4"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26FDBBF2"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Help Me Grow</w:t>
                  </w:r>
                </w:p>
              </w:tc>
              <w:tc>
                <w:tcPr>
                  <w:tcW w:w="3085" w:type="dxa"/>
                  <w:tcBorders>
                    <w:top w:val="nil"/>
                    <w:left w:val="nil"/>
                    <w:bottom w:val="single" w:sz="8" w:space="0" w:color="FFD966"/>
                    <w:right w:val="single" w:sz="12" w:space="0" w:color="FFD966"/>
                  </w:tcBorders>
                  <w:shd w:val="clear" w:color="auto" w:fill="auto"/>
                  <w:noWrap/>
                  <w:vAlign w:val="center"/>
                  <w:hideMark/>
                </w:tcPr>
                <w:p w14:paraId="6F200243"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$16,484,000 </w:t>
                  </w:r>
                </w:p>
              </w:tc>
            </w:tr>
            <w:tr w:rsidR="00EF61F1" w:rsidRPr="00EF61F1" w14:paraId="0BD76B64" w14:textId="77777777" w:rsidTr="00EF61F1">
              <w:trPr>
                <w:trHeight w:val="480"/>
              </w:trPr>
              <w:tc>
                <w:tcPr>
                  <w:tcW w:w="5995" w:type="dxa"/>
                  <w:tcBorders>
                    <w:top w:val="nil"/>
                    <w:left w:val="single" w:sz="12" w:space="0" w:color="FFD966"/>
                    <w:bottom w:val="single" w:sz="12" w:space="0" w:color="FFD966"/>
                    <w:right w:val="single" w:sz="8" w:space="0" w:color="FFD966"/>
                  </w:tcBorders>
                  <w:shd w:val="clear" w:color="auto" w:fill="auto"/>
                  <w:vAlign w:val="center"/>
                  <w:hideMark/>
                </w:tcPr>
                <w:p w14:paraId="39E624DE"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Environmental Supports: Lead and Toxics</w:t>
                  </w:r>
                </w:p>
              </w:tc>
              <w:tc>
                <w:tcPr>
                  <w:tcW w:w="3085" w:type="dxa"/>
                  <w:tcBorders>
                    <w:top w:val="nil"/>
                    <w:left w:val="nil"/>
                    <w:bottom w:val="single" w:sz="12" w:space="0" w:color="FFD966"/>
                    <w:right w:val="single" w:sz="12" w:space="0" w:color="FFD966"/>
                  </w:tcBorders>
                  <w:shd w:val="clear" w:color="auto" w:fill="auto"/>
                  <w:noWrap/>
                  <w:vAlign w:val="center"/>
                  <w:hideMark/>
                </w:tcPr>
                <w:p w14:paraId="4D2126B9"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$4,755,000 </w:t>
                  </w:r>
                </w:p>
              </w:tc>
            </w:tr>
            <w:bookmarkEnd w:id="49"/>
          </w:tbl>
          <w:p w14:paraId="532C54E5" w14:textId="6A24188D" w:rsidR="00C513A6" w:rsidRDefault="00C513A6" w:rsidP="00C513A6">
            <w:pPr>
              <w:contextualSpacing/>
            </w:pPr>
          </w:p>
          <w:p w14:paraId="602F340B" w14:textId="77777777" w:rsidR="00DE32AA" w:rsidRPr="00620443" w:rsidRDefault="00DE32AA" w:rsidP="00DE32AA">
            <w:pPr>
              <w:spacing w:line="240" w:lineRule="auto"/>
              <w:jc w:val="right"/>
              <w:rPr>
                <w:rFonts w:eastAsia="Times New Roman" w:cs="Calibri"/>
                <w:b/>
                <w:bCs/>
                <w:color w:val="000000"/>
                <w:sz w:val="24"/>
                <w:szCs w:val="24"/>
              </w:rPr>
            </w:pPr>
          </w:p>
        </w:tc>
      </w:tr>
    </w:tbl>
    <w:p w14:paraId="57D23E75" w14:textId="77777777" w:rsidR="00082EBF" w:rsidRDefault="00082EBF">
      <w:r>
        <w:br w:type="page"/>
      </w:r>
    </w:p>
    <w:tbl>
      <w:tblPr>
        <w:tblStyle w:val="TableGrid"/>
        <w:tblW w:w="9990" w:type="dxa"/>
        <w:tblInd w:w="-270" w:type="dxa"/>
        <w:tblLook w:val="04A0" w:firstRow="1" w:lastRow="0" w:firstColumn="1" w:lastColumn="0" w:noHBand="0" w:noVBand="1"/>
      </w:tblPr>
      <w:tblGrid>
        <w:gridCol w:w="270"/>
        <w:gridCol w:w="9720"/>
      </w:tblGrid>
      <w:tr w:rsidR="000D3F14" w14:paraId="3BB53294" w14:textId="77777777" w:rsidTr="005E6FD3">
        <w:trPr>
          <w:trHeight w:val="408"/>
        </w:trPr>
        <w:tc>
          <w:tcPr>
            <w:tcW w:w="270" w:type="dxa"/>
            <w:tcBorders>
              <w:top w:val="nil"/>
              <w:left w:val="nil"/>
              <w:bottom w:val="nil"/>
              <w:right w:val="single" w:sz="24" w:space="0" w:color="FFC000" w:themeColor="accent4"/>
            </w:tcBorders>
          </w:tcPr>
          <w:p w14:paraId="17F60855" w14:textId="05639185" w:rsidR="00DF4FB5" w:rsidRPr="00D03F1F" w:rsidRDefault="00DF4FB5" w:rsidP="006A49F7">
            <w:pPr>
              <w:contextualSpacing/>
              <w:rPr>
                <w:rFonts w:cs="Calibri"/>
              </w:rPr>
            </w:pPr>
          </w:p>
        </w:tc>
        <w:tc>
          <w:tcPr>
            <w:tcW w:w="97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26F26263" w14:textId="1C3F840C" w:rsidR="006E4593" w:rsidRPr="00EE121B" w:rsidRDefault="008872BB" w:rsidP="006A49F7">
            <w:pPr>
              <w:contextualSpacing/>
              <w:rPr>
                <w:rFonts w:eastAsiaTheme="majorEastAsia" w:cs="Calibri"/>
                <w:b/>
                <w:sz w:val="28"/>
                <w:szCs w:val="28"/>
              </w:rPr>
            </w:pPr>
            <w:bookmarkStart w:id="50" w:name="Maternal_Child_Health_Services"/>
            <w:r w:rsidRPr="00EE121B">
              <w:rPr>
                <w:rFonts w:eastAsiaTheme="majorEastAsia" w:cs="Calibri"/>
                <w:b/>
                <w:sz w:val="28"/>
                <w:szCs w:val="28"/>
              </w:rPr>
              <w:t xml:space="preserve">Maternal and Child Health Services </w:t>
            </w:r>
            <w:bookmarkEnd w:id="50"/>
          </w:p>
        </w:tc>
      </w:tr>
    </w:tbl>
    <w:p w14:paraId="1C165B83" w14:textId="4900969C" w:rsidR="00B81E08" w:rsidRPr="003B726B" w:rsidRDefault="00B81E08" w:rsidP="00944257">
      <w:pPr>
        <w:spacing w:line="240" w:lineRule="auto"/>
        <w:textAlignment w:val="baseline"/>
        <w:rPr>
          <w:rFonts w:eastAsia="Times New Roman" w:cs="Calibri"/>
          <w:b/>
          <w:bCs/>
          <w:sz w:val="2"/>
          <w:szCs w:val="2"/>
        </w:rPr>
      </w:pPr>
    </w:p>
    <w:tbl>
      <w:tblPr>
        <w:tblW w:w="9750" w:type="dxa"/>
        <w:tblLook w:val="04A0" w:firstRow="1" w:lastRow="0" w:firstColumn="1" w:lastColumn="0" w:noHBand="0" w:noVBand="1"/>
      </w:tblPr>
      <w:tblGrid>
        <w:gridCol w:w="951"/>
        <w:gridCol w:w="1229"/>
        <w:gridCol w:w="1229"/>
        <w:gridCol w:w="1229"/>
        <w:gridCol w:w="1229"/>
        <w:gridCol w:w="1229"/>
        <w:gridCol w:w="1229"/>
        <w:gridCol w:w="1425"/>
      </w:tblGrid>
      <w:tr w:rsidR="002F7D86" w:rsidRPr="00D56C03" w14:paraId="4D6591FA" w14:textId="77777777" w:rsidTr="45E712FA">
        <w:trPr>
          <w:trHeight w:val="325"/>
        </w:trPr>
        <w:tc>
          <w:tcPr>
            <w:tcW w:w="9750" w:type="dxa"/>
            <w:gridSpan w:val="8"/>
            <w:tcBorders>
              <w:top w:val="nil"/>
              <w:left w:val="nil"/>
              <w:bottom w:val="single" w:sz="12" w:space="0" w:color="FFD966" w:themeColor="accent4" w:themeTint="99"/>
              <w:right w:val="nil"/>
            </w:tcBorders>
            <w:shd w:val="clear" w:color="auto" w:fill="auto"/>
            <w:noWrap/>
            <w:vAlign w:val="bottom"/>
            <w:hideMark/>
          </w:tcPr>
          <w:p w14:paraId="445D612B" w14:textId="77777777" w:rsidR="002F7D86" w:rsidRPr="00D56C03" w:rsidRDefault="002F7D86" w:rsidP="00B240AF">
            <w:pPr>
              <w:spacing w:line="240" w:lineRule="auto"/>
              <w:rPr>
                <w:rFonts w:eastAsia="Times New Roman" w:cs="Calibri"/>
                <w:b/>
                <w:bCs/>
                <w:i/>
                <w:iCs/>
                <w:color w:val="000000"/>
              </w:rPr>
            </w:pPr>
            <w:r w:rsidRPr="00D56C03">
              <w:rPr>
                <w:rFonts w:eastAsia="Times New Roman" w:cs="Calibri"/>
                <w:b/>
                <w:bCs/>
                <w:i/>
                <w:iCs/>
                <w:color w:val="000000"/>
              </w:rPr>
              <w:t>Funding Estimate:</w:t>
            </w:r>
          </w:p>
        </w:tc>
      </w:tr>
      <w:tr w:rsidR="00DE69FC" w:rsidRPr="00D56C03" w14:paraId="075476AD" w14:textId="77777777" w:rsidTr="45E712FA">
        <w:trPr>
          <w:trHeight w:val="433"/>
        </w:trPr>
        <w:tc>
          <w:tcPr>
            <w:tcW w:w="951"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D9E1F2"/>
            <w:noWrap/>
            <w:vAlign w:val="center"/>
            <w:hideMark/>
          </w:tcPr>
          <w:p w14:paraId="4C9DF81D" w14:textId="77777777" w:rsidR="002F7D86" w:rsidRPr="00D56C03" w:rsidRDefault="002F7D86" w:rsidP="00B240AF">
            <w:pPr>
              <w:spacing w:line="240" w:lineRule="auto"/>
              <w:rPr>
                <w:rFonts w:eastAsia="Times New Roman" w:cs="Calibri"/>
                <w:b/>
                <w:bCs/>
                <w:i/>
                <w:iCs/>
              </w:rPr>
            </w:pPr>
            <w:r w:rsidRPr="00D56C03">
              <w:rPr>
                <w:rFonts w:eastAsia="Times New Roman" w:cs="Calibri"/>
                <w:b/>
                <w:bCs/>
                <w:i/>
                <w:iCs/>
              </w:rPr>
              <w:t>Year</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634457A2" w14:textId="77777777" w:rsidR="002F7D86" w:rsidRPr="00D56C03" w:rsidRDefault="002F7D86" w:rsidP="00B240AF">
            <w:pPr>
              <w:spacing w:line="240" w:lineRule="auto"/>
              <w:jc w:val="right"/>
              <w:rPr>
                <w:rFonts w:eastAsia="Times New Roman" w:cs="Calibri"/>
              </w:rPr>
            </w:pPr>
            <w:r w:rsidRPr="00D56C03">
              <w:rPr>
                <w:rFonts w:eastAsia="Times New Roman" w:cs="Calibri"/>
              </w:rPr>
              <w:t>2022</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4FE2DFA8" w14:textId="77777777" w:rsidR="002F7D86" w:rsidRPr="00D56C03" w:rsidRDefault="002F7D86" w:rsidP="00B240AF">
            <w:pPr>
              <w:spacing w:line="240" w:lineRule="auto"/>
              <w:jc w:val="right"/>
              <w:rPr>
                <w:rFonts w:eastAsia="Times New Roman" w:cs="Calibri"/>
              </w:rPr>
            </w:pPr>
            <w:r w:rsidRPr="00D56C03">
              <w:rPr>
                <w:rFonts w:eastAsia="Times New Roman" w:cs="Calibri"/>
              </w:rPr>
              <w:t>2023</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4DAB08E5" w14:textId="77777777" w:rsidR="002F7D86" w:rsidRPr="00D56C03" w:rsidRDefault="002F7D86" w:rsidP="00B240AF">
            <w:pPr>
              <w:spacing w:line="240" w:lineRule="auto"/>
              <w:jc w:val="right"/>
              <w:rPr>
                <w:rFonts w:eastAsia="Times New Roman" w:cs="Calibri"/>
              </w:rPr>
            </w:pPr>
            <w:r w:rsidRPr="00D56C03">
              <w:rPr>
                <w:rFonts w:eastAsia="Times New Roman" w:cs="Calibri"/>
              </w:rPr>
              <w:t>2024</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581235E" w14:textId="77777777" w:rsidR="002F7D86" w:rsidRPr="00D56C03" w:rsidRDefault="002F7D86" w:rsidP="00B240AF">
            <w:pPr>
              <w:spacing w:line="240" w:lineRule="auto"/>
              <w:jc w:val="right"/>
              <w:rPr>
                <w:rFonts w:eastAsia="Times New Roman" w:cs="Calibri"/>
              </w:rPr>
            </w:pPr>
            <w:r w:rsidRPr="00D56C03">
              <w:rPr>
                <w:rFonts w:eastAsia="Times New Roman" w:cs="Calibri"/>
              </w:rPr>
              <w:t>2025</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6368F63" w14:textId="77777777" w:rsidR="002F7D86" w:rsidRPr="00D56C03" w:rsidRDefault="002F7D86" w:rsidP="00B240AF">
            <w:pPr>
              <w:spacing w:line="240" w:lineRule="auto"/>
              <w:jc w:val="right"/>
              <w:rPr>
                <w:rFonts w:eastAsia="Times New Roman" w:cs="Calibri"/>
              </w:rPr>
            </w:pPr>
            <w:r w:rsidRPr="00D56C03">
              <w:rPr>
                <w:rFonts w:eastAsia="Times New Roman" w:cs="Calibri"/>
              </w:rPr>
              <w:t>2026</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66279251" w14:textId="77777777" w:rsidR="002F7D86" w:rsidRPr="00D56C03" w:rsidRDefault="002F7D86" w:rsidP="00B240AF">
            <w:pPr>
              <w:spacing w:line="240" w:lineRule="auto"/>
              <w:jc w:val="right"/>
              <w:rPr>
                <w:rFonts w:eastAsia="Times New Roman" w:cs="Calibri"/>
              </w:rPr>
            </w:pPr>
            <w:r w:rsidRPr="00D56C03">
              <w:rPr>
                <w:rFonts w:eastAsia="Times New Roman" w:cs="Calibri"/>
              </w:rPr>
              <w:t>2027</w:t>
            </w:r>
          </w:p>
        </w:tc>
        <w:tc>
          <w:tcPr>
            <w:tcW w:w="1425" w:type="dxa"/>
            <w:tcBorders>
              <w:top w:val="nil"/>
              <w:left w:val="nil"/>
              <w:bottom w:val="single" w:sz="8" w:space="0" w:color="FFD966" w:themeColor="accent4" w:themeTint="99"/>
              <w:right w:val="single" w:sz="12" w:space="0" w:color="FFD966" w:themeColor="accent4" w:themeTint="99"/>
            </w:tcBorders>
            <w:shd w:val="clear" w:color="auto" w:fill="D9E1F2"/>
            <w:noWrap/>
            <w:vAlign w:val="center"/>
            <w:hideMark/>
          </w:tcPr>
          <w:p w14:paraId="172526F6" w14:textId="77777777" w:rsidR="002F7D86" w:rsidRPr="00D56C03" w:rsidRDefault="002F7D86" w:rsidP="00B240AF">
            <w:pPr>
              <w:spacing w:line="240" w:lineRule="auto"/>
              <w:jc w:val="right"/>
              <w:rPr>
                <w:rFonts w:eastAsia="Times New Roman" w:cs="Calibri"/>
                <w:b/>
                <w:bCs/>
                <w:i/>
                <w:iCs/>
              </w:rPr>
            </w:pPr>
            <w:r w:rsidRPr="00D56C03">
              <w:rPr>
                <w:rFonts w:eastAsia="Times New Roman" w:cs="Calibri"/>
                <w:b/>
                <w:bCs/>
                <w:i/>
                <w:iCs/>
              </w:rPr>
              <w:t>Total</w:t>
            </w:r>
          </w:p>
        </w:tc>
      </w:tr>
      <w:tr w:rsidR="002F7D86" w:rsidRPr="00D56C03" w14:paraId="32F0E354" w14:textId="77777777" w:rsidTr="45E712FA">
        <w:trPr>
          <w:trHeight w:val="433"/>
        </w:trPr>
        <w:tc>
          <w:tcPr>
            <w:tcW w:w="951"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noWrap/>
            <w:vAlign w:val="center"/>
            <w:hideMark/>
          </w:tcPr>
          <w:p w14:paraId="4E596D04" w14:textId="77777777" w:rsidR="002F7D86" w:rsidRPr="00D56C03" w:rsidRDefault="002F7D86" w:rsidP="00B240AF">
            <w:pPr>
              <w:spacing w:line="240" w:lineRule="auto"/>
              <w:rPr>
                <w:rFonts w:eastAsia="Times New Roman" w:cs="Calibri"/>
                <w:b/>
                <w:bCs/>
                <w:i/>
                <w:iCs/>
                <w:color w:val="000000"/>
              </w:rPr>
            </w:pPr>
            <w:r w:rsidRPr="00D56C03">
              <w:rPr>
                <w:rFonts w:eastAsia="Times New Roman" w:cs="Calibri"/>
                <w:b/>
                <w:bCs/>
                <w:i/>
                <w:iCs/>
                <w:color w:val="000000"/>
              </w:rPr>
              <w:t>Amount</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57B805B3"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$14,190,000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9BF764C"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$14,296,000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512A2C62"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$14,624,000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59F57F38"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$14,959,000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A1E7C75"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$15,302,000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E996AAC"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$15,653,000 </w:t>
            </w:r>
          </w:p>
        </w:tc>
        <w:tc>
          <w:tcPr>
            <w:tcW w:w="1425"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1E9E1DFB" w14:textId="77777777" w:rsidR="002F7D86" w:rsidRPr="00D56C03" w:rsidRDefault="002F7D86" w:rsidP="00B240AF">
            <w:pPr>
              <w:spacing w:line="240" w:lineRule="auto"/>
              <w:jc w:val="right"/>
              <w:rPr>
                <w:rFonts w:eastAsia="Times New Roman" w:cs="Calibri"/>
                <w:b/>
                <w:bCs/>
                <w:color w:val="000000"/>
              </w:rPr>
            </w:pPr>
            <w:r w:rsidRPr="00D56C03">
              <w:rPr>
                <w:rFonts w:eastAsia="Times New Roman" w:cs="Calibri"/>
                <w:b/>
                <w:bCs/>
                <w:color w:val="000000"/>
              </w:rPr>
              <w:t xml:space="preserve">$89,024,000 </w:t>
            </w:r>
          </w:p>
        </w:tc>
      </w:tr>
    </w:tbl>
    <w:p w14:paraId="241B8C61" w14:textId="77777777" w:rsidR="00B81E08" w:rsidRDefault="00B81E08" w:rsidP="00944257">
      <w:pPr>
        <w:spacing w:line="240" w:lineRule="auto"/>
        <w:textAlignment w:val="baseline"/>
        <w:rPr>
          <w:rFonts w:eastAsia="Times New Roman" w:cs="Calibri"/>
          <w:b/>
          <w:bCs/>
        </w:rPr>
      </w:pPr>
    </w:p>
    <w:p w14:paraId="0522718F" w14:textId="4E0E4C82" w:rsidR="00944257" w:rsidRPr="00C4644D" w:rsidRDefault="00944257" w:rsidP="003420B4">
      <w:pPr>
        <w:textAlignment w:val="baseline"/>
        <w:rPr>
          <w:rFonts w:eastAsia="Times New Roman" w:cs="Calibri"/>
        </w:rPr>
      </w:pPr>
      <w:r w:rsidRPr="0A33E2CB">
        <w:rPr>
          <w:rFonts w:eastAsia="Times New Roman" w:cs="Calibri"/>
          <w:b/>
          <w:bCs/>
        </w:rPr>
        <w:t xml:space="preserve">Description: </w:t>
      </w:r>
    </w:p>
    <w:p w14:paraId="156B3146" w14:textId="046526AD" w:rsidR="00944257" w:rsidRDefault="00944257" w:rsidP="003420B4">
      <w:pPr>
        <w:textAlignment w:val="baseline"/>
        <w:rPr>
          <w:rFonts w:eastAsia="Times New Roman" w:cs="Calibri"/>
        </w:rPr>
      </w:pPr>
      <w:r w:rsidRPr="00C4644D">
        <w:rPr>
          <w:rFonts w:eastAsia="Times New Roman" w:cs="Calibri"/>
        </w:rPr>
        <w:t>Public Health—Seattle &amp; King County</w:t>
      </w:r>
      <w:r>
        <w:rPr>
          <w:rFonts w:eastAsia="Times New Roman" w:cs="Calibri"/>
        </w:rPr>
        <w:t xml:space="preserve">’s (PHSKC) </w:t>
      </w:r>
      <w:r w:rsidRPr="00C4644D">
        <w:rPr>
          <w:rFonts w:eastAsia="Times New Roman" w:cs="Calibri"/>
        </w:rPr>
        <w:t>Maternal/Child Health (MCH) services provide a range of vital supports at home, clinic, and community settings to pregnant individuals and parenting families</w:t>
      </w:r>
      <w:r w:rsidR="00143A4B">
        <w:rPr>
          <w:rFonts w:eastAsia="Times New Roman" w:cs="Calibri"/>
        </w:rPr>
        <w:t>.</w:t>
      </w:r>
      <w:r w:rsidR="007137EC">
        <w:rPr>
          <w:rFonts w:eastAsia="Times New Roman" w:cs="Calibri"/>
        </w:rPr>
        <w:t xml:space="preserve"> </w:t>
      </w:r>
      <w:r w:rsidR="00795CD8">
        <w:rPr>
          <w:rFonts w:eastAsia="Times New Roman" w:cs="Calibri"/>
        </w:rPr>
        <w:t xml:space="preserve">The services </w:t>
      </w:r>
      <w:r w:rsidR="00962DAF">
        <w:rPr>
          <w:rFonts w:eastAsia="Times New Roman" w:cs="Calibri"/>
        </w:rPr>
        <w:t>address gaps in</w:t>
      </w:r>
      <w:r w:rsidRPr="00C4644D">
        <w:rPr>
          <w:rFonts w:eastAsia="Times New Roman" w:cs="Calibri"/>
        </w:rPr>
        <w:t xml:space="preserve"> basic needs</w:t>
      </w:r>
      <w:r>
        <w:rPr>
          <w:rFonts w:eastAsia="Times New Roman" w:cs="Calibri"/>
        </w:rPr>
        <w:t xml:space="preserve"> and</w:t>
      </w:r>
      <w:r w:rsidRPr="00C4644D">
        <w:rPr>
          <w:rFonts w:eastAsia="Times New Roman" w:cs="Calibri"/>
        </w:rPr>
        <w:t xml:space="preserve"> improve health outcomes</w:t>
      </w:r>
      <w:r>
        <w:rPr>
          <w:rFonts w:eastAsia="Times New Roman" w:cs="Calibri"/>
        </w:rPr>
        <w:t xml:space="preserve"> </w:t>
      </w:r>
      <w:r w:rsidRPr="00C4644D">
        <w:rPr>
          <w:rFonts w:eastAsia="Times New Roman" w:cs="Calibri"/>
        </w:rPr>
        <w:t>for newborns and families</w:t>
      </w:r>
      <w:r>
        <w:rPr>
          <w:rFonts w:eastAsia="Times New Roman" w:cs="Calibri"/>
        </w:rPr>
        <w:t xml:space="preserve"> </w:t>
      </w:r>
      <w:r w:rsidRPr="00C4644D">
        <w:rPr>
          <w:rFonts w:eastAsia="Times New Roman" w:cs="Calibri"/>
        </w:rPr>
        <w:t>with a focus on addressing racial disparities</w:t>
      </w:r>
      <w:r w:rsidR="0037665A">
        <w:rPr>
          <w:rFonts w:eastAsia="Times New Roman" w:cs="Calibri"/>
        </w:rPr>
        <w:t>,</w:t>
      </w:r>
      <w:r w:rsidRPr="00C4644D">
        <w:rPr>
          <w:rFonts w:eastAsia="Times New Roman" w:cs="Calibri"/>
        </w:rPr>
        <w:t xml:space="preserve"> and in increasing access to health services. </w:t>
      </w:r>
      <w:r w:rsidR="006B71CF">
        <w:rPr>
          <w:rFonts w:eastAsia="Times New Roman" w:cs="Calibri"/>
        </w:rPr>
        <w:t xml:space="preserve">This programming </w:t>
      </w:r>
      <w:r w:rsidR="00005200">
        <w:rPr>
          <w:rFonts w:eastAsia="Times New Roman" w:cs="Calibri"/>
        </w:rPr>
        <w:t xml:space="preserve">increases optimal child development and </w:t>
      </w:r>
      <w:r w:rsidR="00540D71">
        <w:rPr>
          <w:rFonts w:eastAsia="Times New Roman" w:cs="Calibri"/>
        </w:rPr>
        <w:t>thriving families.</w:t>
      </w:r>
      <w:r w:rsidR="0046229C">
        <w:rPr>
          <w:rFonts w:eastAsia="Times New Roman" w:cs="Calibri"/>
        </w:rPr>
        <w:t xml:space="preserve"> </w:t>
      </w:r>
      <w:r>
        <w:rPr>
          <w:rFonts w:eastAsia="Times New Roman" w:cs="Calibri"/>
        </w:rPr>
        <w:t>Programming includes:</w:t>
      </w:r>
    </w:p>
    <w:p w14:paraId="4C4E185B" w14:textId="70A8B8B6" w:rsidR="00944257" w:rsidRPr="00DD4315"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C4644D">
        <w:rPr>
          <w:rFonts w:eastAsia="Times New Roman" w:cs="Calibri"/>
          <w:b/>
          <w:bCs/>
        </w:rPr>
        <w:t>Nurse-Family Partnership (NFP): </w:t>
      </w:r>
      <w:r w:rsidRPr="00C4644D">
        <w:rPr>
          <w:rFonts w:eastAsia="Times New Roman" w:cs="Calibri"/>
        </w:rPr>
        <w:t>Nurse</w:t>
      </w:r>
      <w:r>
        <w:rPr>
          <w:rFonts w:eastAsia="Times New Roman" w:cs="Calibri"/>
        </w:rPr>
        <w:t xml:space="preserve"> home visitors</w:t>
      </w:r>
      <w:r w:rsidRPr="00C4644D">
        <w:rPr>
          <w:rFonts w:eastAsia="Times New Roman" w:cs="Calibri"/>
        </w:rPr>
        <w:t xml:space="preserve"> provide first-time </w:t>
      </w:r>
      <w:r>
        <w:rPr>
          <w:rFonts w:eastAsia="Times New Roman" w:cs="Calibri"/>
        </w:rPr>
        <w:t>parents</w:t>
      </w:r>
      <w:r w:rsidRPr="00C4644D">
        <w:rPr>
          <w:rFonts w:eastAsia="Times New Roman" w:cs="Calibri"/>
        </w:rPr>
        <w:t xml:space="preserve"> with education and support starting in early pregnancy through the child’s second birthday</w:t>
      </w:r>
      <w:r w:rsidRPr="00CA1A70">
        <w:rPr>
          <w:rFonts w:eastAsia="Times New Roman" w:cs="Calibri"/>
        </w:rPr>
        <w:t>.</w:t>
      </w:r>
      <w:r w:rsidR="00374B77">
        <w:rPr>
          <w:rStyle w:val="FootnoteReference"/>
          <w:rFonts w:eastAsia="Times New Roman" w:cs="Calibri"/>
        </w:rPr>
        <w:footnoteReference w:id="127"/>
      </w:r>
    </w:p>
    <w:p w14:paraId="611C77E8" w14:textId="798094CE" w:rsidR="0018164D" w:rsidRPr="0018164D"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DD4315">
        <w:rPr>
          <w:rFonts w:eastAsia="Times New Roman" w:cs="Calibri"/>
          <w:b/>
          <w:bCs/>
        </w:rPr>
        <w:t>Parent-Child Health Programs (PCH):</w:t>
      </w:r>
      <w:r w:rsidRPr="00F54599">
        <w:rPr>
          <w:rStyle w:val="FootnoteReference"/>
          <w:rFonts w:eastAsia="Times New Roman" w:cs="Calibri"/>
          <w:b/>
          <w:bCs/>
        </w:rPr>
        <w:t xml:space="preserve"> </w:t>
      </w:r>
      <w:r w:rsidR="00F54599" w:rsidRPr="007459AC">
        <w:rPr>
          <w:rStyle w:val="FootnoteReference"/>
          <w:rFonts w:eastAsia="Times New Roman" w:cs="Calibri"/>
        </w:rPr>
        <w:footnoteReference w:id="128"/>
      </w:r>
      <w:r w:rsidRPr="00F54599">
        <w:rPr>
          <w:rFonts w:ascii="Times New Roman" w:eastAsia="Times New Roman" w:hAnsi="Times New Roman" w:cs="Times New Roman"/>
        </w:rPr>
        <w:t xml:space="preserve"> </w:t>
      </w:r>
      <w:r w:rsidRPr="002D2962">
        <w:rPr>
          <w:rFonts w:eastAsia="Calibri" w:cs="Calibri"/>
        </w:rPr>
        <w:t>PCH programs provide access to nutritious foods, nutrition education, breastfeeding support, health assessments, preventative health services, education, and referrals</w:t>
      </w:r>
      <w:r>
        <w:rPr>
          <w:rFonts w:eastAsia="Times New Roman" w:cs="Calibri"/>
        </w:rPr>
        <w:t xml:space="preserve"> for pregnant </w:t>
      </w:r>
      <w:r w:rsidR="008A3A11">
        <w:rPr>
          <w:rFonts w:eastAsia="Times New Roman" w:cs="Calibri"/>
        </w:rPr>
        <w:t>and parenting individuals, infants and children,</w:t>
      </w:r>
      <w:r>
        <w:rPr>
          <w:rFonts w:eastAsia="Times New Roman" w:cs="Calibri"/>
        </w:rPr>
        <w:t xml:space="preserve"> and their families</w:t>
      </w:r>
      <w:r w:rsidRPr="00DD4315">
        <w:rPr>
          <w:rFonts w:eastAsia="Times New Roman" w:cs="Calibri"/>
        </w:rPr>
        <w:t>. </w:t>
      </w:r>
    </w:p>
    <w:p w14:paraId="5AB5336F" w14:textId="4C5E674A"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Perinatal Hepatitis B Prevention Program (PHBPP):</w:t>
      </w:r>
      <w:r w:rsidRPr="00086D59">
        <w:rPr>
          <w:rFonts w:ascii="Times New Roman" w:eastAsia="Times New Roman" w:hAnsi="Times New Roman" w:cs="Times New Roman"/>
        </w:rPr>
        <w:t> </w:t>
      </w:r>
      <w:r w:rsidRPr="002D2962">
        <w:rPr>
          <w:rFonts w:eastAsia="Calibri" w:cs="Calibri"/>
        </w:rPr>
        <w:t>PHBPP provides case management, outreach, and education to reduce hepatitis B in infants born to pregnant persons living with hepatitis B.</w:t>
      </w:r>
    </w:p>
    <w:p w14:paraId="748308DB" w14:textId="77777777"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Family Planning and Community-based Health Educators (FPCBHE):</w:t>
      </w:r>
      <w:r w:rsidRPr="00086D59">
        <w:rPr>
          <w:rFonts w:eastAsia="Times New Roman" w:cs="Calibri"/>
        </w:rPr>
        <w:t> FPCBHE</w:t>
      </w:r>
      <w:r w:rsidRPr="00086D59">
        <w:rPr>
          <w:rFonts w:eastAsia="Times New Roman" w:cs="Calibri"/>
          <w:sz w:val="18"/>
          <w:szCs w:val="18"/>
        </w:rPr>
        <w:t> </w:t>
      </w:r>
      <w:r w:rsidRPr="00086D59">
        <w:rPr>
          <w:rFonts w:eastAsia="Times New Roman" w:cs="Calibri"/>
        </w:rPr>
        <w:t>Family Planning Clinical Services delivers affordable, confidential, low-barrier access to high quality</w:t>
      </w:r>
      <w:r>
        <w:rPr>
          <w:rFonts w:eastAsia="Times New Roman" w:cs="Calibri"/>
        </w:rPr>
        <w:t xml:space="preserve"> and </w:t>
      </w:r>
      <w:r w:rsidRPr="00086D59">
        <w:rPr>
          <w:rFonts w:eastAsia="Times New Roman" w:cs="Calibri"/>
        </w:rPr>
        <w:t>culturally responsive reproductive health clinical services. </w:t>
      </w:r>
    </w:p>
    <w:p w14:paraId="61F7AA19" w14:textId="79DDC456"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Kids Plus (KP):</w:t>
      </w:r>
      <w:r w:rsidRPr="00086D59">
        <w:rPr>
          <w:rFonts w:eastAsia="Times New Roman" w:cs="Calibri"/>
        </w:rPr>
        <w:t> </w:t>
      </w:r>
      <w:r>
        <w:rPr>
          <w:rFonts w:eastAsia="Times New Roman" w:cs="Calibri"/>
        </w:rPr>
        <w:t>A m</w:t>
      </w:r>
      <w:r w:rsidRPr="00086D59">
        <w:rPr>
          <w:rFonts w:eastAsia="Times New Roman" w:cs="Calibri"/>
        </w:rPr>
        <w:t xml:space="preserve">ultidisciplinary team of nurses and social workers </w:t>
      </w:r>
      <w:r>
        <w:rPr>
          <w:rFonts w:eastAsia="Times New Roman" w:cs="Calibri"/>
        </w:rPr>
        <w:t xml:space="preserve">provide case management </w:t>
      </w:r>
      <w:r w:rsidR="00FE1D2D">
        <w:rPr>
          <w:rFonts w:eastAsia="Times New Roman" w:cs="Calibri"/>
        </w:rPr>
        <w:t xml:space="preserve">for medical and behavioral health issues </w:t>
      </w:r>
      <w:r>
        <w:rPr>
          <w:rFonts w:eastAsia="Times New Roman" w:cs="Calibri"/>
        </w:rPr>
        <w:t>to support</w:t>
      </w:r>
      <w:r w:rsidRPr="00086D59">
        <w:rPr>
          <w:rFonts w:eastAsia="Times New Roman" w:cs="Calibri"/>
        </w:rPr>
        <w:t xml:space="preserve"> the health and </w:t>
      </w:r>
      <w:r>
        <w:rPr>
          <w:rFonts w:eastAsia="Times New Roman" w:cs="Calibri"/>
        </w:rPr>
        <w:t>wellbeing</w:t>
      </w:r>
      <w:r w:rsidRPr="00086D59">
        <w:rPr>
          <w:rFonts w:eastAsia="Times New Roman" w:cs="Calibri"/>
        </w:rPr>
        <w:t xml:space="preserve"> of children and families experiencing homelessness. </w:t>
      </w:r>
    </w:p>
    <w:p w14:paraId="75457AB0" w14:textId="77777777"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Family Ways</w:t>
      </w:r>
      <w:r w:rsidRPr="00086D59">
        <w:rPr>
          <w:rFonts w:eastAsia="Times New Roman" w:cs="Calibri"/>
        </w:rPr>
        <w:t xml:space="preserve">: </w:t>
      </w:r>
      <w:r>
        <w:rPr>
          <w:rFonts w:eastAsia="Calibri" w:cs="Calibri"/>
        </w:rPr>
        <w:t>Family Ways p</w:t>
      </w:r>
      <w:r w:rsidRPr="002D2962">
        <w:rPr>
          <w:rFonts w:eastAsia="Calibri" w:cs="Calibri"/>
        </w:rPr>
        <w:t>rovides culturally relevant pregnancy and parenting services, health education, and peer support for families with children up to age five, serving communities most impacted by rac</w:t>
      </w:r>
      <w:r>
        <w:rPr>
          <w:rFonts w:eastAsia="Calibri" w:cs="Calibri"/>
        </w:rPr>
        <w:t>ial</w:t>
      </w:r>
      <w:r w:rsidRPr="002D2962">
        <w:rPr>
          <w:rFonts w:eastAsia="Calibri" w:cs="Calibri"/>
        </w:rPr>
        <w:t xml:space="preserve"> inequities.</w:t>
      </w:r>
    </w:p>
    <w:p w14:paraId="0580AA93" w14:textId="2CC6673B"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Infant Mortality Prevention Network (IMPN)</w:t>
      </w:r>
      <w:r w:rsidRPr="00086D59">
        <w:rPr>
          <w:rFonts w:eastAsia="Times New Roman" w:cs="Calibri"/>
        </w:rPr>
        <w:t xml:space="preserve">: </w:t>
      </w:r>
      <w:r w:rsidRPr="002D2962">
        <w:rPr>
          <w:rFonts w:eastAsia="Calibri" w:cs="Calibri"/>
        </w:rPr>
        <w:t xml:space="preserve">IMPN provides direct client services </w:t>
      </w:r>
      <w:r w:rsidR="00CA2AAB">
        <w:rPr>
          <w:rFonts w:eastAsia="Calibri" w:cs="Calibri"/>
        </w:rPr>
        <w:t xml:space="preserve">such as teen parenting programming </w:t>
      </w:r>
      <w:r w:rsidR="00373B5F">
        <w:rPr>
          <w:rFonts w:eastAsia="Calibri" w:cs="Calibri"/>
        </w:rPr>
        <w:t>depending on id</w:t>
      </w:r>
      <w:r w:rsidR="00D7495D">
        <w:rPr>
          <w:rFonts w:eastAsia="Calibri" w:cs="Calibri"/>
        </w:rPr>
        <w:t xml:space="preserve">entified need by community </w:t>
      </w:r>
      <w:r w:rsidRPr="002D2962">
        <w:rPr>
          <w:rFonts w:eastAsia="Calibri" w:cs="Calibri"/>
        </w:rPr>
        <w:t>and disseminates educational materials to reduce infant mortality levels. IMPN prioritizes African American, Indigenous American, and Native Hawaiian/Pacific Islander communities who have the highest risk of infant mortality.</w:t>
      </w:r>
    </w:p>
    <w:p w14:paraId="341C8DF6" w14:textId="12484852" w:rsidR="00944257" w:rsidRPr="00C4644D" w:rsidRDefault="00944257" w:rsidP="003420B4">
      <w:pPr>
        <w:textAlignment w:val="baseline"/>
        <w:rPr>
          <w:rFonts w:ascii="Segoe UI" w:eastAsia="Times New Roman" w:hAnsi="Segoe UI" w:cs="Segoe UI"/>
          <w:sz w:val="18"/>
          <w:szCs w:val="18"/>
        </w:rPr>
      </w:pPr>
    </w:p>
    <w:p w14:paraId="467EF7EC" w14:textId="1944A2A5" w:rsidR="00944257" w:rsidRPr="00C4644D" w:rsidRDefault="00E7729E" w:rsidP="003420B4">
      <w:pPr>
        <w:textAlignment w:val="baseline"/>
        <w:rPr>
          <w:rFonts w:ascii="Segoe UI" w:eastAsia="Times New Roman" w:hAnsi="Segoe UI" w:cs="Segoe UI"/>
          <w:sz w:val="18"/>
          <w:szCs w:val="18"/>
        </w:rPr>
      </w:pPr>
      <w:r>
        <w:rPr>
          <w:rFonts w:eastAsia="Times New Roman" w:cs="Calibri"/>
          <w:b/>
          <w:bCs/>
        </w:rPr>
        <w:lastRenderedPageBreak/>
        <w:t xml:space="preserve">Approximate </w:t>
      </w:r>
      <w:r w:rsidR="00967312">
        <w:rPr>
          <w:rFonts w:eastAsia="Times New Roman" w:cs="Calibri"/>
          <w:b/>
          <w:bCs/>
        </w:rPr>
        <w:t>Scope</w:t>
      </w:r>
      <w:r>
        <w:rPr>
          <w:rFonts w:eastAsia="Times New Roman" w:cs="Calibri"/>
          <w:b/>
          <w:bCs/>
        </w:rPr>
        <w:t xml:space="preserve">: </w:t>
      </w:r>
      <w:r w:rsidR="00D61473">
        <w:rPr>
          <w:rFonts w:eastAsia="Times New Roman" w:cs="Calibri"/>
        </w:rPr>
        <w:t xml:space="preserve">PHSKC anticipates </w:t>
      </w:r>
      <w:r w:rsidR="009A4E69">
        <w:t xml:space="preserve">that MCH </w:t>
      </w:r>
      <w:r w:rsidR="00407288">
        <w:t xml:space="preserve">programs </w:t>
      </w:r>
      <w:r w:rsidR="009A4E69">
        <w:t xml:space="preserve">will reach </w:t>
      </w:r>
      <w:r w:rsidR="00801153">
        <w:t xml:space="preserve">approximately 58,000 </w:t>
      </w:r>
      <w:r w:rsidR="00005E79">
        <w:t xml:space="preserve">pregnant </w:t>
      </w:r>
      <w:r w:rsidR="00EF517C">
        <w:t xml:space="preserve">individuals, and parenting families </w:t>
      </w:r>
      <w:r w:rsidR="00801153">
        <w:t xml:space="preserve">on an annual basis. </w:t>
      </w:r>
    </w:p>
    <w:p w14:paraId="0FFA059C" w14:textId="17FE2DC7" w:rsidR="00944257" w:rsidRPr="00C4644D" w:rsidRDefault="00944257" w:rsidP="003420B4">
      <w:pPr>
        <w:textAlignment w:val="baseline"/>
        <w:rPr>
          <w:rFonts w:ascii="Segoe UI" w:eastAsia="Times New Roman" w:hAnsi="Segoe UI" w:cs="Segoe UI"/>
          <w:sz w:val="18"/>
          <w:szCs w:val="18"/>
        </w:rPr>
      </w:pPr>
    </w:p>
    <w:p w14:paraId="05B5E23B" w14:textId="46B4BDB6" w:rsidR="00944257" w:rsidRPr="00474A92" w:rsidRDefault="00944257" w:rsidP="003420B4">
      <w:pPr>
        <w:textAlignment w:val="baseline"/>
        <w:rPr>
          <w:rFonts w:ascii="Segoe UI" w:eastAsia="Times New Roman" w:hAnsi="Segoe UI" w:cs="Segoe UI"/>
          <w:sz w:val="18"/>
          <w:szCs w:val="18"/>
        </w:rPr>
      </w:pPr>
      <w:r>
        <w:rPr>
          <w:rFonts w:eastAsia="Times New Roman" w:cs="Calibri"/>
          <w:b/>
          <w:bCs/>
        </w:rPr>
        <w:t>Planned</w:t>
      </w:r>
      <w:r w:rsidRPr="00C4644D">
        <w:rPr>
          <w:rFonts w:eastAsia="Times New Roman" w:cs="Calibri"/>
          <w:b/>
          <w:bCs/>
        </w:rPr>
        <w:t> Refinements</w:t>
      </w:r>
      <w:r>
        <w:rPr>
          <w:rFonts w:eastAsia="Times New Roman" w:cs="Calibri"/>
          <w:b/>
          <w:bCs/>
        </w:rPr>
        <w:t xml:space="preserve"> in </w:t>
      </w:r>
      <w:bookmarkStart w:id="51" w:name="_Hlk75184218"/>
      <w:r w:rsidR="004537DA">
        <w:rPr>
          <w:rFonts w:eastAsia="Times New Roman" w:cs="Calibri"/>
          <w:b/>
          <w:bCs/>
          <w:i/>
          <w:iCs/>
        </w:rPr>
        <w:t xml:space="preserve">Best Starts for Kids </w:t>
      </w:r>
      <w:r w:rsidR="004537DA" w:rsidRPr="00474A92">
        <w:rPr>
          <w:rFonts w:eastAsia="Times New Roman" w:cs="Calibri"/>
          <w:b/>
          <w:bCs/>
        </w:rPr>
        <w:t>2022-2027</w:t>
      </w:r>
      <w:bookmarkEnd w:id="51"/>
      <w:r w:rsidR="00474A92" w:rsidRPr="00474A92">
        <w:rPr>
          <w:rFonts w:eastAsia="Times New Roman" w:cs="Calibri"/>
          <w:b/>
          <w:bCs/>
        </w:rPr>
        <w:t>:</w:t>
      </w:r>
    </w:p>
    <w:p w14:paraId="2DB49986" w14:textId="69B231A1" w:rsidR="00944257" w:rsidRPr="00F701AD" w:rsidRDefault="00944257" w:rsidP="00025030">
      <w:pPr>
        <w:pStyle w:val="ListParagraph"/>
        <w:numPr>
          <w:ilvl w:val="0"/>
          <w:numId w:val="28"/>
        </w:numPr>
        <w:contextualSpacing w:val="0"/>
      </w:pPr>
      <w:r w:rsidRPr="004B4372">
        <w:rPr>
          <w:rFonts w:eastAsia="Calibri" w:cs="Calibri"/>
        </w:rPr>
        <w:t xml:space="preserve">The new </w:t>
      </w:r>
      <w:r w:rsidRPr="004B4372">
        <w:rPr>
          <w:rFonts w:eastAsia="Calibri" w:cs="Calibri"/>
          <w:i/>
          <w:iCs/>
        </w:rPr>
        <w:t>Family Ways</w:t>
      </w:r>
      <w:r w:rsidRPr="004B4372">
        <w:rPr>
          <w:rFonts w:eastAsia="Calibri" w:cs="Calibri"/>
        </w:rPr>
        <w:t xml:space="preserve"> program will</w:t>
      </w:r>
      <w:r w:rsidR="00641F2C">
        <w:rPr>
          <w:rFonts w:eastAsia="Calibri" w:cs="Calibri"/>
        </w:rPr>
        <w:t xml:space="preserve"> move from planning to implementation and</w:t>
      </w:r>
      <w:r w:rsidRPr="004B4372">
        <w:rPr>
          <w:rFonts w:eastAsia="Calibri" w:cs="Calibri"/>
        </w:rPr>
        <w:t xml:space="preserve"> </w:t>
      </w:r>
      <w:r>
        <w:rPr>
          <w:rFonts w:eastAsia="Calibri" w:cs="Calibri"/>
        </w:rPr>
        <w:t xml:space="preserve">provide peer support, resource navigation, and pregnancy-related education and services grounded in anti-racist principles and cultural fluency. The model was co-created with community partners and will be </w:t>
      </w:r>
      <w:r w:rsidRPr="004B4372">
        <w:rPr>
          <w:rFonts w:eastAsia="Calibri" w:cs="Calibri"/>
        </w:rPr>
        <w:t>delivered in partnership with CBOs</w:t>
      </w:r>
      <w:r>
        <w:rPr>
          <w:rFonts w:eastAsia="Calibri" w:cs="Calibri"/>
        </w:rPr>
        <w:t xml:space="preserve"> and community leaders</w:t>
      </w:r>
      <w:r w:rsidR="009D0039">
        <w:rPr>
          <w:rFonts w:eastAsia="Calibri" w:cs="Calibri"/>
        </w:rPr>
        <w:t xml:space="preserve"> </w:t>
      </w:r>
      <w:r w:rsidR="00684566">
        <w:rPr>
          <w:rFonts w:eastAsia="Calibri" w:cs="Calibri"/>
        </w:rPr>
        <w:t xml:space="preserve">beginning </w:t>
      </w:r>
      <w:r w:rsidR="009D0039">
        <w:rPr>
          <w:rFonts w:eastAsia="Calibri" w:cs="Calibri"/>
        </w:rPr>
        <w:t>in 2022</w:t>
      </w:r>
      <w:r w:rsidRPr="004B4372">
        <w:rPr>
          <w:rFonts w:eastAsia="Calibri" w:cs="Calibri"/>
        </w:rPr>
        <w:t xml:space="preserve">. </w:t>
      </w:r>
    </w:p>
    <w:p w14:paraId="047263FA" w14:textId="36DFE5D6" w:rsidR="00944257" w:rsidRPr="004B4372" w:rsidRDefault="00944257" w:rsidP="00025030">
      <w:pPr>
        <w:pStyle w:val="ListParagraph"/>
        <w:numPr>
          <w:ilvl w:val="0"/>
          <w:numId w:val="28"/>
        </w:numPr>
        <w:contextualSpacing w:val="0"/>
        <w:rPr>
          <w:rFonts w:asciiTheme="minorHAnsi" w:hAnsiTheme="minorHAnsi"/>
        </w:rPr>
      </w:pPr>
      <w:r w:rsidRPr="004B4372">
        <w:rPr>
          <w:rFonts w:eastAsia="Calibri" w:cs="Calibri"/>
          <w:i/>
          <w:iCs/>
        </w:rPr>
        <w:t>Parent/Child Health</w:t>
      </w:r>
      <w:r w:rsidRPr="004B4372">
        <w:rPr>
          <w:rFonts w:eastAsia="Calibri" w:cs="Calibri"/>
        </w:rPr>
        <w:t xml:space="preserve"> services underwent a</w:t>
      </w:r>
      <w:r>
        <w:rPr>
          <w:rFonts w:eastAsia="Calibri" w:cs="Calibri"/>
        </w:rPr>
        <w:t xml:space="preserve"> </w:t>
      </w:r>
      <w:r w:rsidRPr="004B4372">
        <w:rPr>
          <w:rFonts w:eastAsia="Calibri" w:cs="Calibri"/>
        </w:rPr>
        <w:t>redesign in 2020 to improve service delivery</w:t>
      </w:r>
      <w:r>
        <w:rPr>
          <w:rFonts w:eastAsia="Calibri" w:cs="Calibri"/>
        </w:rPr>
        <w:t xml:space="preserve"> and better respond to community need</w:t>
      </w:r>
      <w:r w:rsidRPr="004B4372">
        <w:rPr>
          <w:rFonts w:eastAsia="Calibri" w:cs="Calibri"/>
        </w:rPr>
        <w:t xml:space="preserve">. </w:t>
      </w:r>
      <w:r>
        <w:rPr>
          <w:rFonts w:eastAsia="Calibri" w:cs="Calibri"/>
        </w:rPr>
        <w:t>The program will increase mobile</w:t>
      </w:r>
      <w:r w:rsidRPr="004B4372">
        <w:rPr>
          <w:rFonts w:eastAsia="Calibri" w:cs="Calibri"/>
        </w:rPr>
        <w:t xml:space="preserve"> service</w:t>
      </w:r>
      <w:r>
        <w:rPr>
          <w:rFonts w:eastAsia="Calibri" w:cs="Calibri"/>
        </w:rPr>
        <w:t xml:space="preserve">s and embed teams </w:t>
      </w:r>
      <w:r w:rsidRPr="004B4372">
        <w:rPr>
          <w:rFonts w:eastAsia="Calibri" w:cs="Calibri"/>
        </w:rPr>
        <w:t>within community partner organizations</w:t>
      </w:r>
      <w:r w:rsidR="00791013">
        <w:rPr>
          <w:rFonts w:eastAsia="Calibri" w:cs="Calibri"/>
        </w:rPr>
        <w:t>.</w:t>
      </w:r>
    </w:p>
    <w:p w14:paraId="322B6B00" w14:textId="77777777" w:rsidR="00474A92" w:rsidRDefault="00474A92" w:rsidP="3860D343">
      <w:pPr>
        <w:rPr>
          <w:rFonts w:eastAsia="Calibri" w:cs="Calibri"/>
          <w:b/>
          <w:bCs/>
        </w:rPr>
      </w:pPr>
    </w:p>
    <w:p w14:paraId="33722D6F" w14:textId="4A1C13AB" w:rsidR="00944257" w:rsidRDefault="00944257" w:rsidP="3860D343">
      <w:pPr>
        <w:rPr>
          <w:rFonts w:eastAsia="Calibri" w:cs="Calibri"/>
        </w:rPr>
      </w:pPr>
      <w:r w:rsidRPr="004B4372">
        <w:rPr>
          <w:rFonts w:eastAsia="Calibri" w:cs="Calibri"/>
          <w:b/>
          <w:bCs/>
        </w:rPr>
        <w:t xml:space="preserve">Anticipated </w:t>
      </w:r>
      <w:r w:rsidRPr="004B4372">
        <w:rPr>
          <w:rFonts w:eastAsia="Calibri" w:cs="Calibri"/>
          <w:b/>
        </w:rPr>
        <w:t xml:space="preserve">Timeline: </w:t>
      </w:r>
      <w:r w:rsidR="009D0039">
        <w:rPr>
          <w:rFonts w:eastAsia="Calibri" w:cs="Calibri"/>
        </w:rPr>
        <w:t>Matern</w:t>
      </w:r>
      <w:r w:rsidR="00052861">
        <w:rPr>
          <w:rFonts w:eastAsia="Calibri" w:cs="Calibri"/>
        </w:rPr>
        <w:t xml:space="preserve">al and </w:t>
      </w:r>
      <w:r w:rsidR="009D0039">
        <w:rPr>
          <w:rFonts w:eastAsia="Calibri" w:cs="Calibri"/>
        </w:rPr>
        <w:t>health services</w:t>
      </w:r>
      <w:r w:rsidR="00052861">
        <w:rPr>
          <w:rFonts w:eastAsia="Calibri" w:cs="Calibri"/>
        </w:rPr>
        <w:t xml:space="preserve"> are primarily </w:t>
      </w:r>
      <w:r w:rsidR="00B358A5">
        <w:rPr>
          <w:rFonts w:eastAsia="Calibri" w:cs="Calibri"/>
        </w:rPr>
        <w:t>delivered by staff at PHSKC</w:t>
      </w:r>
      <w:r w:rsidR="00407288">
        <w:rPr>
          <w:rFonts w:eastAsia="Calibri" w:cs="Calibri"/>
        </w:rPr>
        <w:t>. This</w:t>
      </w:r>
      <w:r w:rsidR="00B358A5">
        <w:rPr>
          <w:rFonts w:eastAsia="Calibri" w:cs="Calibri"/>
        </w:rPr>
        <w:t xml:space="preserve"> will </w:t>
      </w:r>
      <w:r w:rsidR="004F258B">
        <w:rPr>
          <w:rFonts w:eastAsia="Calibri" w:cs="Calibri"/>
        </w:rPr>
        <w:t xml:space="preserve">continue </w:t>
      </w:r>
      <w:r w:rsidR="009D74F2">
        <w:rPr>
          <w:rFonts w:eastAsia="Calibri" w:cs="Calibri"/>
        </w:rPr>
        <w:t xml:space="preserve">unchanged, except that </w:t>
      </w:r>
      <w:r w:rsidR="00407288">
        <w:rPr>
          <w:rFonts w:eastAsia="Calibri" w:cs="Calibri"/>
        </w:rPr>
        <w:t xml:space="preserve">PHSKC will release </w:t>
      </w:r>
      <w:r w:rsidR="00EE3E7D">
        <w:rPr>
          <w:rFonts w:eastAsia="Calibri" w:cs="Calibri"/>
        </w:rPr>
        <w:t xml:space="preserve">an RFP in </w:t>
      </w:r>
      <w:r w:rsidR="005236A6">
        <w:rPr>
          <w:rFonts w:eastAsia="Calibri" w:cs="Calibri"/>
        </w:rPr>
        <w:t>Q</w:t>
      </w:r>
      <w:r w:rsidR="00EE3E7D">
        <w:rPr>
          <w:rFonts w:eastAsia="Calibri" w:cs="Calibri"/>
        </w:rPr>
        <w:t>1 2022 for the Infant Mortality Prevention Network</w:t>
      </w:r>
      <w:r w:rsidR="00081616">
        <w:rPr>
          <w:rFonts w:eastAsia="Calibri" w:cs="Calibri"/>
        </w:rPr>
        <w:t>.</w:t>
      </w:r>
    </w:p>
    <w:p w14:paraId="30A17D68" w14:textId="68701660" w:rsidR="00DF4FB5" w:rsidRPr="00F701AD" w:rsidRDefault="00DF4FB5" w:rsidP="00DF4FB5">
      <w:pPr>
        <w:spacing w:line="257" w:lineRule="auto"/>
        <w:contextualSpacing/>
      </w:pPr>
    </w:p>
    <w:tbl>
      <w:tblPr>
        <w:tblStyle w:val="TableGrid"/>
        <w:tblW w:w="10080" w:type="dxa"/>
        <w:tblInd w:w="-180" w:type="dxa"/>
        <w:tblLook w:val="04A0" w:firstRow="1" w:lastRow="0" w:firstColumn="1" w:lastColumn="0" w:noHBand="0" w:noVBand="1"/>
      </w:tblPr>
      <w:tblGrid>
        <w:gridCol w:w="261"/>
        <w:gridCol w:w="9819"/>
      </w:tblGrid>
      <w:tr w:rsidR="000D3F14" w14:paraId="5BA63B6D" w14:textId="77777777" w:rsidTr="005E6FD3">
        <w:trPr>
          <w:trHeight w:val="318"/>
        </w:trPr>
        <w:tc>
          <w:tcPr>
            <w:tcW w:w="261" w:type="dxa"/>
            <w:tcBorders>
              <w:top w:val="nil"/>
              <w:left w:val="nil"/>
              <w:bottom w:val="nil"/>
              <w:right w:val="single" w:sz="24" w:space="0" w:color="FFC000" w:themeColor="accent4"/>
            </w:tcBorders>
          </w:tcPr>
          <w:p w14:paraId="533AE0A3" w14:textId="6FFBD361" w:rsidR="00DF4FB5" w:rsidRPr="00D03F1F" w:rsidRDefault="00DF4FB5" w:rsidP="006A49F7">
            <w:pPr>
              <w:contextualSpacing/>
              <w:rPr>
                <w:rFonts w:cs="Calibri"/>
              </w:rPr>
            </w:pPr>
          </w:p>
        </w:tc>
        <w:tc>
          <w:tcPr>
            <w:tcW w:w="9819"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0111D84" w14:textId="419DEF96" w:rsidR="000267E7" w:rsidRPr="000267E7" w:rsidRDefault="00DF4FB5" w:rsidP="006A49F7">
            <w:pPr>
              <w:contextualSpacing/>
              <w:rPr>
                <w:rFonts w:eastAsiaTheme="majorEastAsia" w:cs="Calibri"/>
                <w:b/>
              </w:rPr>
            </w:pPr>
            <w:bookmarkStart w:id="52" w:name="Home_based_Services"/>
            <w:r w:rsidRPr="00EE121B">
              <w:rPr>
                <w:rFonts w:eastAsiaTheme="majorEastAsia" w:cs="Calibri"/>
                <w:b/>
                <w:sz w:val="28"/>
                <w:szCs w:val="28"/>
              </w:rPr>
              <w:t>Home</w:t>
            </w:r>
            <w:r w:rsidR="00EC6312" w:rsidRPr="00EE121B">
              <w:rPr>
                <w:rFonts w:eastAsiaTheme="majorEastAsia" w:cs="Calibri"/>
                <w:b/>
                <w:sz w:val="28"/>
                <w:szCs w:val="28"/>
              </w:rPr>
              <w:t>-B</w:t>
            </w:r>
            <w:r w:rsidRPr="00EE121B">
              <w:rPr>
                <w:rFonts w:eastAsiaTheme="majorEastAsia" w:cs="Calibri"/>
                <w:b/>
                <w:sz w:val="28"/>
                <w:szCs w:val="28"/>
              </w:rPr>
              <w:t>ased Services</w:t>
            </w:r>
            <w:bookmarkEnd w:id="52"/>
          </w:p>
        </w:tc>
      </w:tr>
    </w:tbl>
    <w:tbl>
      <w:tblPr>
        <w:tblW w:w="9693" w:type="dxa"/>
        <w:tblInd w:w="90" w:type="dxa"/>
        <w:tblLook w:val="04A0" w:firstRow="1" w:lastRow="0" w:firstColumn="1" w:lastColumn="0" w:noHBand="0" w:noVBand="1"/>
      </w:tblPr>
      <w:tblGrid>
        <w:gridCol w:w="1065"/>
        <w:gridCol w:w="1229"/>
        <w:gridCol w:w="1229"/>
        <w:gridCol w:w="1229"/>
        <w:gridCol w:w="1229"/>
        <w:gridCol w:w="1229"/>
        <w:gridCol w:w="1229"/>
        <w:gridCol w:w="1368"/>
      </w:tblGrid>
      <w:tr w:rsidR="00752E38" w:rsidRPr="00752E38" w14:paraId="2E91AB58" w14:textId="77777777" w:rsidTr="23E043BD">
        <w:trPr>
          <w:trHeight w:val="264"/>
        </w:trPr>
        <w:tc>
          <w:tcPr>
            <w:tcW w:w="9693" w:type="dxa"/>
            <w:gridSpan w:val="8"/>
            <w:tcBorders>
              <w:top w:val="nil"/>
              <w:left w:val="nil"/>
              <w:bottom w:val="single" w:sz="12" w:space="0" w:color="FFD966" w:themeColor="accent4" w:themeTint="99"/>
              <w:right w:val="nil"/>
            </w:tcBorders>
            <w:shd w:val="clear" w:color="auto" w:fill="auto"/>
            <w:noWrap/>
            <w:vAlign w:val="bottom"/>
            <w:hideMark/>
          </w:tcPr>
          <w:p w14:paraId="5507FD6A" w14:textId="77777777" w:rsidR="00752E38" w:rsidRPr="00752E38" w:rsidRDefault="00752E38" w:rsidP="00752E38">
            <w:pPr>
              <w:spacing w:line="240" w:lineRule="auto"/>
              <w:rPr>
                <w:rFonts w:eastAsia="Times New Roman" w:cs="Calibri"/>
                <w:b/>
                <w:bCs/>
                <w:i/>
                <w:iCs/>
                <w:color w:val="000000"/>
              </w:rPr>
            </w:pPr>
            <w:r w:rsidRPr="00752E38">
              <w:rPr>
                <w:rFonts w:eastAsia="Times New Roman" w:cs="Calibri"/>
                <w:b/>
                <w:bCs/>
                <w:i/>
                <w:iCs/>
                <w:color w:val="000000"/>
              </w:rPr>
              <w:t>Funding Estimate:</w:t>
            </w:r>
          </w:p>
        </w:tc>
      </w:tr>
      <w:tr w:rsidR="00752E38" w:rsidRPr="00752E38" w14:paraId="27E2DD73" w14:textId="77777777" w:rsidTr="23E043BD">
        <w:trPr>
          <w:trHeight w:val="352"/>
        </w:trPr>
        <w:tc>
          <w:tcPr>
            <w:tcW w:w="106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D9E1F2"/>
            <w:noWrap/>
            <w:vAlign w:val="center"/>
            <w:hideMark/>
          </w:tcPr>
          <w:p w14:paraId="25670EA9" w14:textId="77777777" w:rsidR="00752E38" w:rsidRPr="00752E38" w:rsidRDefault="00752E38" w:rsidP="00752E38">
            <w:pPr>
              <w:spacing w:line="240" w:lineRule="auto"/>
              <w:rPr>
                <w:rFonts w:eastAsia="Times New Roman" w:cs="Calibri"/>
                <w:b/>
                <w:bCs/>
                <w:i/>
                <w:iCs/>
              </w:rPr>
            </w:pPr>
            <w:r w:rsidRPr="00752E38">
              <w:rPr>
                <w:rFonts w:eastAsia="Times New Roman" w:cs="Calibri"/>
                <w:b/>
                <w:bCs/>
                <w:i/>
                <w:iCs/>
              </w:rPr>
              <w:t>Year</w:t>
            </w:r>
          </w:p>
        </w:tc>
        <w:tc>
          <w:tcPr>
            <w:tcW w:w="1115"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7DAA2C01" w14:textId="77777777" w:rsidR="00752E38" w:rsidRPr="00752E38" w:rsidRDefault="00752E38" w:rsidP="00752E38">
            <w:pPr>
              <w:spacing w:line="240" w:lineRule="auto"/>
              <w:jc w:val="right"/>
              <w:rPr>
                <w:rFonts w:eastAsia="Times New Roman" w:cs="Calibri"/>
              </w:rPr>
            </w:pPr>
            <w:r w:rsidRPr="00752E38">
              <w:rPr>
                <w:rFonts w:eastAsia="Times New Roman" w:cs="Calibri"/>
              </w:rPr>
              <w:t>2022</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4670E90" w14:textId="77777777" w:rsidR="00752E38" w:rsidRPr="00752E38" w:rsidRDefault="00752E38" w:rsidP="00752E38">
            <w:pPr>
              <w:spacing w:line="240" w:lineRule="auto"/>
              <w:jc w:val="right"/>
              <w:rPr>
                <w:rFonts w:eastAsia="Times New Roman" w:cs="Calibri"/>
              </w:rPr>
            </w:pPr>
            <w:r w:rsidRPr="00752E38">
              <w:rPr>
                <w:rFonts w:eastAsia="Times New Roman" w:cs="Calibri"/>
              </w:rPr>
              <w:t>2023</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0A668E2" w14:textId="77777777" w:rsidR="00752E38" w:rsidRPr="00752E38" w:rsidRDefault="00752E38" w:rsidP="00752E38">
            <w:pPr>
              <w:spacing w:line="240" w:lineRule="auto"/>
              <w:jc w:val="right"/>
              <w:rPr>
                <w:rFonts w:eastAsia="Times New Roman" w:cs="Calibri"/>
              </w:rPr>
            </w:pPr>
            <w:r w:rsidRPr="00752E38">
              <w:rPr>
                <w:rFonts w:eastAsia="Times New Roman" w:cs="Calibri"/>
              </w:rPr>
              <w:t>2024</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B124CEB" w14:textId="77777777" w:rsidR="00752E38" w:rsidRPr="00752E38" w:rsidRDefault="00752E38" w:rsidP="00752E38">
            <w:pPr>
              <w:spacing w:line="240" w:lineRule="auto"/>
              <w:jc w:val="right"/>
              <w:rPr>
                <w:rFonts w:eastAsia="Times New Roman" w:cs="Calibri"/>
              </w:rPr>
            </w:pPr>
            <w:r w:rsidRPr="00752E38">
              <w:rPr>
                <w:rFonts w:eastAsia="Times New Roman" w:cs="Calibri"/>
              </w:rPr>
              <w:t>2025</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581D8A4B" w14:textId="77777777" w:rsidR="00752E38" w:rsidRPr="00752E38" w:rsidRDefault="00752E38" w:rsidP="00752E38">
            <w:pPr>
              <w:spacing w:line="240" w:lineRule="auto"/>
              <w:jc w:val="right"/>
              <w:rPr>
                <w:rFonts w:eastAsia="Times New Roman" w:cs="Calibri"/>
              </w:rPr>
            </w:pPr>
            <w:r w:rsidRPr="00752E38">
              <w:rPr>
                <w:rFonts w:eastAsia="Times New Roman" w:cs="Calibri"/>
              </w:rPr>
              <w:t>2026</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04F4A10" w14:textId="77777777" w:rsidR="00752E38" w:rsidRPr="00752E38" w:rsidRDefault="00752E38" w:rsidP="00752E38">
            <w:pPr>
              <w:spacing w:line="240" w:lineRule="auto"/>
              <w:jc w:val="right"/>
              <w:rPr>
                <w:rFonts w:eastAsia="Times New Roman" w:cs="Calibri"/>
              </w:rPr>
            </w:pPr>
            <w:r w:rsidRPr="00752E38">
              <w:rPr>
                <w:rFonts w:eastAsia="Times New Roman" w:cs="Calibri"/>
              </w:rPr>
              <w:t>2027</w:t>
            </w:r>
          </w:p>
        </w:tc>
        <w:tc>
          <w:tcPr>
            <w:tcW w:w="1368" w:type="dxa"/>
            <w:tcBorders>
              <w:top w:val="nil"/>
              <w:left w:val="nil"/>
              <w:bottom w:val="single" w:sz="8" w:space="0" w:color="FFD966" w:themeColor="accent4" w:themeTint="99"/>
              <w:right w:val="single" w:sz="12" w:space="0" w:color="FFD966" w:themeColor="accent4" w:themeTint="99"/>
            </w:tcBorders>
            <w:shd w:val="clear" w:color="auto" w:fill="D9E1F2"/>
            <w:noWrap/>
            <w:vAlign w:val="center"/>
            <w:hideMark/>
          </w:tcPr>
          <w:p w14:paraId="7CD8E555" w14:textId="77777777" w:rsidR="00752E38" w:rsidRPr="00752E38" w:rsidRDefault="00752E38" w:rsidP="00752E38">
            <w:pPr>
              <w:spacing w:line="240" w:lineRule="auto"/>
              <w:jc w:val="right"/>
              <w:rPr>
                <w:rFonts w:eastAsia="Times New Roman" w:cs="Calibri"/>
                <w:b/>
                <w:bCs/>
                <w:i/>
                <w:iCs/>
              </w:rPr>
            </w:pPr>
            <w:r w:rsidRPr="00752E38">
              <w:rPr>
                <w:rFonts w:eastAsia="Times New Roman" w:cs="Calibri"/>
                <w:b/>
                <w:bCs/>
                <w:i/>
                <w:iCs/>
              </w:rPr>
              <w:t>Total</w:t>
            </w:r>
          </w:p>
        </w:tc>
      </w:tr>
      <w:tr w:rsidR="00752E38" w:rsidRPr="00752E38" w14:paraId="0A7343A5" w14:textId="77777777" w:rsidTr="23E043BD">
        <w:trPr>
          <w:trHeight w:val="352"/>
        </w:trPr>
        <w:tc>
          <w:tcPr>
            <w:tcW w:w="1065"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noWrap/>
            <w:vAlign w:val="center"/>
            <w:hideMark/>
          </w:tcPr>
          <w:p w14:paraId="45565879" w14:textId="77777777" w:rsidR="00752E38" w:rsidRPr="00752E38" w:rsidRDefault="00752E38" w:rsidP="00752E38">
            <w:pPr>
              <w:spacing w:line="240" w:lineRule="auto"/>
              <w:rPr>
                <w:rFonts w:eastAsia="Times New Roman" w:cs="Calibri"/>
                <w:b/>
                <w:bCs/>
                <w:i/>
                <w:iCs/>
                <w:color w:val="000000"/>
              </w:rPr>
            </w:pPr>
            <w:r w:rsidRPr="00752E38">
              <w:rPr>
                <w:rFonts w:eastAsia="Times New Roman" w:cs="Calibri"/>
                <w:b/>
                <w:bCs/>
                <w:i/>
                <w:iCs/>
                <w:color w:val="000000"/>
              </w:rPr>
              <w:t>Amount</w:t>
            </w:r>
          </w:p>
        </w:tc>
        <w:tc>
          <w:tcPr>
            <w:tcW w:w="1115"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1C8CEFAD"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$10,000,000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65D391E4"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$10,220,000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0090D410"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$10,445,000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F24236F"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$10,675,000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87026F4"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$10,909,000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1932479"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$11,149,000 </w:t>
            </w:r>
          </w:p>
        </w:tc>
        <w:tc>
          <w:tcPr>
            <w:tcW w:w="1368"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44EB1AE3" w14:textId="77777777" w:rsidR="00752E38" w:rsidRPr="00752E38" w:rsidRDefault="00752E38" w:rsidP="00966F8D">
            <w:pPr>
              <w:spacing w:line="240" w:lineRule="auto"/>
              <w:rPr>
                <w:rFonts w:eastAsia="Times New Roman" w:cs="Calibri"/>
                <w:b/>
                <w:bCs/>
                <w:color w:val="000000"/>
              </w:rPr>
            </w:pPr>
            <w:r w:rsidRPr="00752E38">
              <w:rPr>
                <w:rFonts w:eastAsia="Times New Roman" w:cs="Calibri"/>
                <w:b/>
                <w:bCs/>
                <w:color w:val="000000"/>
              </w:rPr>
              <w:t xml:space="preserve">$63,398,000 </w:t>
            </w:r>
          </w:p>
        </w:tc>
      </w:tr>
    </w:tbl>
    <w:p w14:paraId="059FA079" w14:textId="0BA9C056" w:rsidR="00DF4FB5" w:rsidRPr="00F701AD" w:rsidRDefault="00DF4FB5" w:rsidP="00DF4FB5">
      <w:pPr>
        <w:contextualSpacing/>
      </w:pPr>
    </w:p>
    <w:p w14:paraId="57C5CF09" w14:textId="6B7AF3B9" w:rsidR="00AB7B07" w:rsidRPr="00D03F1F" w:rsidRDefault="00AB7B07" w:rsidP="00AB7B07">
      <w:pPr>
        <w:contextualSpacing/>
        <w:rPr>
          <w:rFonts w:eastAsia="Calibri" w:cs="Calibri"/>
        </w:rPr>
      </w:pPr>
      <w:r w:rsidRPr="00D03F1F">
        <w:rPr>
          <w:rFonts w:eastAsia="Calibri" w:cs="Calibri"/>
          <w:b/>
        </w:rPr>
        <w:t>Description:</w:t>
      </w:r>
      <w:r>
        <w:br/>
      </w:r>
      <w:r w:rsidRPr="00D03F1F">
        <w:rPr>
          <w:rFonts w:eastAsia="Calibri" w:cs="Calibri"/>
        </w:rPr>
        <w:t>Home-</w:t>
      </w:r>
      <w:r>
        <w:rPr>
          <w:rFonts w:eastAsia="Calibri" w:cs="Calibri"/>
        </w:rPr>
        <w:t>B</w:t>
      </w:r>
      <w:r w:rsidRPr="00D03F1F">
        <w:rPr>
          <w:rFonts w:eastAsia="Calibri" w:cs="Calibri"/>
        </w:rPr>
        <w:t xml:space="preserve">ased Services (HBS) provides relationship-based support to </w:t>
      </w:r>
      <w:r>
        <w:rPr>
          <w:rFonts w:eastAsia="Calibri" w:cs="Calibri"/>
        </w:rPr>
        <w:t>expecting parents</w:t>
      </w:r>
      <w:r w:rsidRPr="00D03F1F">
        <w:rPr>
          <w:rFonts w:eastAsia="Calibri" w:cs="Calibri"/>
        </w:rPr>
        <w:t xml:space="preserve"> and parents of children</w:t>
      </w:r>
      <w:r>
        <w:rPr>
          <w:rFonts w:eastAsia="Calibri" w:cs="Calibri"/>
        </w:rPr>
        <w:t xml:space="preserve"> aged </w:t>
      </w:r>
      <w:r w:rsidRPr="00D03F1F">
        <w:rPr>
          <w:rFonts w:eastAsia="Calibri" w:cs="Calibri"/>
        </w:rPr>
        <w:t xml:space="preserve">birth to five in the places they live. </w:t>
      </w:r>
      <w:r>
        <w:rPr>
          <w:rFonts w:eastAsia="Calibri" w:cs="Calibri"/>
        </w:rPr>
        <w:t>Home</w:t>
      </w:r>
      <w:r w:rsidRPr="00D03F1F">
        <w:rPr>
          <w:rFonts w:eastAsia="Calibri" w:cs="Calibri"/>
        </w:rPr>
        <w:t xml:space="preserve"> visitors deliver information, resources, and social connection to support healthy births, positive parenting, </w:t>
      </w:r>
      <w:r>
        <w:rPr>
          <w:rFonts w:eastAsia="Calibri" w:cs="Calibri"/>
        </w:rPr>
        <w:t xml:space="preserve">health education, </w:t>
      </w:r>
      <w:r w:rsidRPr="00D03F1F">
        <w:rPr>
          <w:rFonts w:eastAsia="Calibri" w:cs="Calibri"/>
        </w:rPr>
        <w:t xml:space="preserve">child development, safe home environments, </w:t>
      </w:r>
      <w:r>
        <w:rPr>
          <w:rFonts w:eastAsia="Calibri" w:cs="Calibri"/>
        </w:rPr>
        <w:t xml:space="preserve">and </w:t>
      </w:r>
      <w:r w:rsidRPr="00D03F1F">
        <w:rPr>
          <w:rFonts w:eastAsia="Calibri" w:cs="Calibri"/>
        </w:rPr>
        <w:t>school readiness.</w:t>
      </w:r>
      <w:r>
        <w:rPr>
          <w:rStyle w:val="FootnoteReference"/>
          <w:rFonts w:eastAsia="Calibri" w:cs="Calibri"/>
        </w:rPr>
        <w:footnoteReference w:id="129"/>
      </w:r>
      <w:r w:rsidRPr="00D03F1F">
        <w:rPr>
          <w:rFonts w:eastAsia="Calibri" w:cs="Calibri"/>
        </w:rPr>
        <w:t xml:space="preserve"> </w:t>
      </w:r>
      <w:r>
        <w:rPr>
          <w:rFonts w:eastAsia="Calibri" w:cs="Calibri"/>
        </w:rPr>
        <w:t>HBS programming</w:t>
      </w:r>
      <w:r w:rsidRPr="00D03F1F">
        <w:rPr>
          <w:rFonts w:eastAsia="Calibri" w:cs="Calibri"/>
        </w:rPr>
        <w:t xml:space="preserve"> includes:</w:t>
      </w:r>
    </w:p>
    <w:p w14:paraId="5AA468BB" w14:textId="200A68BD" w:rsidR="00AB7B07" w:rsidRPr="002D2962" w:rsidRDefault="00AB7B07" w:rsidP="00025030">
      <w:pPr>
        <w:pStyle w:val="paragraph"/>
        <w:numPr>
          <w:ilvl w:val="0"/>
          <w:numId w:val="30"/>
        </w:numPr>
        <w:spacing w:beforeAutospacing="0" w:after="0" w:afterAutospacing="0"/>
        <w:rPr>
          <w:rStyle w:val="normaltextrun"/>
          <w:rFonts w:eastAsia="Calibri" w:cs="Arial"/>
        </w:rPr>
      </w:pPr>
      <w:r w:rsidRPr="002D2962">
        <w:rPr>
          <w:rFonts w:eastAsia="Calibri" w:cs="Calibri"/>
          <w:b/>
          <w:bCs/>
        </w:rPr>
        <w:t>Partnership with Community-Based Providers Delivering a Continuum of Services to Meet Diverse Needs</w:t>
      </w:r>
      <w:r>
        <w:rPr>
          <w:rFonts w:eastAsia="Calibri" w:cs="Calibri"/>
          <w:b/>
          <w:bCs/>
        </w:rPr>
        <w:t xml:space="preserve">: </w:t>
      </w:r>
      <w:r w:rsidRPr="002D2962">
        <w:rPr>
          <w:rFonts w:eastAsia="Calibri" w:cs="Calibri"/>
          <w:i/>
          <w:iCs/>
          <w:color w:val="000000" w:themeColor="text1"/>
        </w:rPr>
        <w:t xml:space="preserve">Best Starts </w:t>
      </w:r>
      <w:r>
        <w:rPr>
          <w:rFonts w:eastAsia="Calibri" w:cs="Calibri"/>
          <w:color w:val="000000" w:themeColor="text1"/>
        </w:rPr>
        <w:t>funds</w:t>
      </w:r>
      <w:r w:rsidRPr="002D2962">
        <w:rPr>
          <w:rFonts w:cs="Calibri"/>
        </w:rPr>
        <w:t xml:space="preserve"> community-based partners </w:t>
      </w:r>
      <w:r>
        <w:rPr>
          <w:rFonts w:cs="Calibri"/>
        </w:rPr>
        <w:t>to</w:t>
      </w:r>
      <w:r w:rsidRPr="002D2962">
        <w:rPr>
          <w:rFonts w:cs="Calibri"/>
        </w:rPr>
        <w:t xml:space="preserve"> deliver</w:t>
      </w:r>
      <w:r>
        <w:rPr>
          <w:rFonts w:cs="Calibri"/>
        </w:rPr>
        <w:t xml:space="preserve"> age- and community-specific services, including </w:t>
      </w:r>
      <w:r w:rsidRPr="002D2962">
        <w:rPr>
          <w:rFonts w:eastAsia="Calibri" w:cs="Arial"/>
        </w:rPr>
        <w:t>prenatal information, birthing support, parenting and early learning, referral and connection to services, and family therapeutic treatment.</w:t>
      </w:r>
      <w:r w:rsidRPr="41FE5443">
        <w:rPr>
          <w:rStyle w:val="FootnoteReference"/>
          <w:rFonts w:eastAsia="Calibri" w:cs="Arial"/>
        </w:rPr>
        <w:footnoteReference w:id="130"/>
      </w:r>
      <w:r w:rsidRPr="002D2962">
        <w:rPr>
          <w:rFonts w:eastAsia="Calibri" w:cs="Arial"/>
        </w:rPr>
        <w:t xml:space="preserve"> </w:t>
      </w:r>
      <w:r w:rsidRPr="228BDBC7">
        <w:rPr>
          <w:rStyle w:val="normaltextrun"/>
          <w:rFonts w:cs="Calibri"/>
          <w:i/>
          <w:color w:val="000000"/>
          <w:shd w:val="clear" w:color="auto" w:fill="FFFFFF"/>
        </w:rPr>
        <w:t>Best Starts</w:t>
      </w:r>
      <w:r w:rsidRPr="228BDBC7">
        <w:rPr>
          <w:rStyle w:val="normaltextrun"/>
          <w:rFonts w:cs="Calibri"/>
          <w:color w:val="000000"/>
          <w:shd w:val="clear" w:color="auto" w:fill="FFFFFF"/>
        </w:rPr>
        <w:t xml:space="preserve"> will continue to partner with United Way of King County </w:t>
      </w:r>
      <w:r w:rsidR="00BF0401" w:rsidRPr="7C3F6C9A">
        <w:rPr>
          <w:rStyle w:val="normaltextrun"/>
          <w:rFonts w:cs="Calibri"/>
          <w:color w:val="000000" w:themeColor="text1"/>
        </w:rPr>
        <w:t xml:space="preserve">(UWKC) </w:t>
      </w:r>
      <w:r w:rsidRPr="228BDBC7">
        <w:rPr>
          <w:rStyle w:val="normaltextrun"/>
          <w:rFonts w:cs="Calibri"/>
          <w:color w:val="000000"/>
          <w:shd w:val="clear" w:color="auto" w:fill="FFFFFF"/>
        </w:rPr>
        <w:t xml:space="preserve">to implement </w:t>
      </w:r>
      <w:r>
        <w:rPr>
          <w:rStyle w:val="normaltextrun"/>
          <w:rFonts w:cs="Calibri"/>
          <w:color w:val="000000"/>
          <w:shd w:val="clear" w:color="auto" w:fill="FFFFFF"/>
        </w:rPr>
        <w:t xml:space="preserve">ParentChild+ </w:t>
      </w:r>
      <w:r w:rsidRPr="002D2962">
        <w:rPr>
          <w:rStyle w:val="normaltextrun"/>
          <w:rFonts w:cs="Calibri"/>
          <w:color w:val="000000"/>
          <w:shd w:val="clear" w:color="auto" w:fill="FFFFFF"/>
        </w:rPr>
        <w:t>programs</w:t>
      </w:r>
      <w:r w:rsidRPr="228BDBC7">
        <w:rPr>
          <w:rStyle w:val="normaltextrun"/>
          <w:rFonts w:cs="Calibri"/>
          <w:color w:val="000000"/>
          <w:shd w:val="clear" w:color="auto" w:fill="FFFFFF"/>
        </w:rPr>
        <w:t>.</w:t>
      </w:r>
      <w:r w:rsidRPr="228BDBC7">
        <w:rPr>
          <w:rStyle w:val="FootnoteReference"/>
          <w:rFonts w:cs="Calibri"/>
          <w:color w:val="000000"/>
          <w:shd w:val="clear" w:color="auto" w:fill="FFFFFF"/>
        </w:rPr>
        <w:footnoteReference w:id="131"/>
      </w:r>
      <w:r w:rsidRPr="228BDBC7">
        <w:rPr>
          <w:rStyle w:val="normaltextrun"/>
          <w:rFonts w:cs="Calibri"/>
          <w:color w:val="000000"/>
          <w:shd w:val="clear" w:color="auto" w:fill="FFFFFF"/>
        </w:rPr>
        <w:t> </w:t>
      </w:r>
    </w:p>
    <w:p w14:paraId="489586D3" w14:textId="10F365CE" w:rsidR="00125BC8" w:rsidRPr="00125BC8" w:rsidRDefault="00AB7B07" w:rsidP="00025030">
      <w:pPr>
        <w:pStyle w:val="paragraph"/>
        <w:numPr>
          <w:ilvl w:val="0"/>
          <w:numId w:val="30"/>
        </w:numPr>
        <w:spacing w:beforeAutospacing="0" w:after="0" w:afterAutospacing="0"/>
        <w:rPr>
          <w:rFonts w:asciiTheme="minorHAnsi" w:hAnsiTheme="minorHAnsi" w:cs="Calibri"/>
          <w:color w:val="000000"/>
          <w:shd w:val="clear" w:color="auto" w:fill="FFFFFF"/>
        </w:rPr>
      </w:pPr>
      <w:r w:rsidRPr="00D03F1F">
        <w:rPr>
          <w:rFonts w:eastAsia="Calibri" w:cs="Calibri"/>
          <w:b/>
        </w:rPr>
        <w:t xml:space="preserve">Capacity-Building </w:t>
      </w:r>
      <w:r w:rsidR="009B4322">
        <w:rPr>
          <w:rFonts w:eastAsia="Calibri" w:cs="Calibri"/>
          <w:b/>
        </w:rPr>
        <w:t>and</w:t>
      </w:r>
      <w:r w:rsidRPr="00D03F1F">
        <w:rPr>
          <w:rFonts w:eastAsia="Calibri" w:cs="Calibri"/>
          <w:b/>
        </w:rPr>
        <w:t xml:space="preserve"> Technical Assistance to Support Program Equity and Quality</w:t>
      </w:r>
      <w:r>
        <w:rPr>
          <w:rFonts w:eastAsia="Calibri" w:cs="Calibri"/>
          <w:b/>
        </w:rPr>
        <w:t xml:space="preserve">: </w:t>
      </w:r>
      <w:r>
        <w:rPr>
          <w:rFonts w:eastAsia="Calibri" w:cs="Calibri"/>
          <w:bCs/>
          <w:i/>
          <w:iCs/>
        </w:rPr>
        <w:t xml:space="preserve">Best Starts </w:t>
      </w:r>
      <w:r>
        <w:rPr>
          <w:rFonts w:eastAsia="Calibri" w:cs="Calibri"/>
        </w:rPr>
        <w:t>provides</w:t>
      </w:r>
      <w:r w:rsidRPr="00D03F1F">
        <w:rPr>
          <w:rFonts w:eastAsia="Calibri" w:cs="Calibri"/>
        </w:rPr>
        <w:t xml:space="preserve"> capacity-building and program development supports for any new</w:t>
      </w:r>
      <w:r>
        <w:rPr>
          <w:rFonts w:eastAsia="Calibri" w:cs="Calibri"/>
        </w:rPr>
        <w:t>ly-funded</w:t>
      </w:r>
      <w:r w:rsidRPr="00D03F1F">
        <w:rPr>
          <w:rFonts w:eastAsia="Calibri" w:cs="Calibri"/>
        </w:rPr>
        <w:t xml:space="preserve"> </w:t>
      </w:r>
      <w:r>
        <w:rPr>
          <w:rFonts w:eastAsia="Calibri" w:cs="Calibri"/>
        </w:rPr>
        <w:t xml:space="preserve">HBS </w:t>
      </w:r>
      <w:r w:rsidRPr="00D03F1F">
        <w:rPr>
          <w:rFonts w:eastAsia="Calibri" w:cs="Calibri"/>
        </w:rPr>
        <w:lastRenderedPageBreak/>
        <w:t>programs</w:t>
      </w:r>
      <w:r>
        <w:rPr>
          <w:rFonts w:eastAsia="Calibri" w:cs="Calibri"/>
        </w:rPr>
        <w:t xml:space="preserve"> in order to reach effective and equitable outcomes</w:t>
      </w:r>
      <w:r w:rsidRPr="00D03F1F">
        <w:rPr>
          <w:rFonts w:eastAsia="Calibri" w:cs="Calibri"/>
        </w:rPr>
        <w:t>.</w:t>
      </w:r>
      <w:r>
        <w:rPr>
          <w:rStyle w:val="FootnoteReference"/>
          <w:rFonts w:eastAsia="Calibri" w:cs="Calibri"/>
        </w:rPr>
        <w:footnoteReference w:id="132"/>
      </w:r>
      <w:r w:rsidRPr="00F701AD">
        <w:t xml:space="preserve"> </w:t>
      </w:r>
      <w:r w:rsidR="00265F14" w:rsidRPr="00A46289">
        <w:rPr>
          <w:i/>
          <w:iCs/>
        </w:rPr>
        <w:t>Best Starts</w:t>
      </w:r>
      <w:r w:rsidR="00265F14" w:rsidRPr="00A46289">
        <w:t xml:space="preserve"> also invests in model-specific technical assistance for evidence-based and evidence-informed home visiting programs to support building readiness and improving program fidelity and quality over time</w:t>
      </w:r>
      <w:r w:rsidR="00B33330">
        <w:t>.</w:t>
      </w:r>
      <w:r w:rsidR="00265F14" w:rsidRPr="00A46289">
        <w:rPr>
          <w:rStyle w:val="FootnoteReference"/>
        </w:rPr>
        <w:footnoteReference w:id="133"/>
      </w:r>
    </w:p>
    <w:p w14:paraId="2ECFDF08" w14:textId="1932AFF8" w:rsidR="00AB7B07" w:rsidRDefault="00AB7B07" w:rsidP="00025030">
      <w:pPr>
        <w:pStyle w:val="paragraph"/>
        <w:numPr>
          <w:ilvl w:val="0"/>
          <w:numId w:val="30"/>
        </w:numPr>
        <w:spacing w:beforeAutospacing="0" w:after="0" w:afterAutospacing="0"/>
        <w:rPr>
          <w:rStyle w:val="normaltextrun"/>
          <w:rFonts w:cs="Calibri"/>
          <w:color w:val="000000"/>
          <w:shd w:val="clear" w:color="auto" w:fill="FFFFFF"/>
        </w:rPr>
      </w:pPr>
      <w:r w:rsidRPr="00810254">
        <w:rPr>
          <w:b/>
        </w:rPr>
        <w:t>Workforce Supports</w:t>
      </w:r>
      <w:r>
        <w:rPr>
          <w:b/>
        </w:rPr>
        <w:t xml:space="preserve">: </w:t>
      </w:r>
      <w:r>
        <w:rPr>
          <w:rStyle w:val="normaltextrun"/>
          <w:rFonts w:cs="Calibri"/>
          <w:i/>
          <w:iCs/>
          <w:color w:val="000000"/>
          <w:shd w:val="clear" w:color="auto" w:fill="FFFFFF"/>
        </w:rPr>
        <w:t>Best Starts</w:t>
      </w:r>
      <w:r w:rsidRPr="191A2704">
        <w:rPr>
          <w:rStyle w:val="normaltextrun"/>
          <w:rFonts w:cs="Calibri"/>
          <w:color w:val="000000"/>
          <w:shd w:val="clear" w:color="auto" w:fill="FFFFFF"/>
        </w:rPr>
        <w:t xml:space="preserve"> invests in training, mental health support, </w:t>
      </w:r>
      <w:r w:rsidR="00E16689">
        <w:rPr>
          <w:rStyle w:val="normaltextrun"/>
          <w:rFonts w:cs="Calibri"/>
          <w:color w:val="000000"/>
          <w:shd w:val="clear" w:color="auto" w:fill="FFFFFF"/>
        </w:rPr>
        <w:t>other system changes</w:t>
      </w:r>
      <w:r w:rsidR="00125BC8">
        <w:rPr>
          <w:rStyle w:val="normaltextrun"/>
          <w:rFonts w:cs="Calibri"/>
          <w:color w:val="000000"/>
          <w:shd w:val="clear" w:color="auto" w:fill="FFFFFF"/>
        </w:rPr>
        <w:t xml:space="preserve">, </w:t>
      </w:r>
      <w:r w:rsidRPr="191A2704">
        <w:rPr>
          <w:rStyle w:val="normaltextrun"/>
          <w:rFonts w:cs="Calibri"/>
          <w:color w:val="000000"/>
          <w:shd w:val="clear" w:color="auto" w:fill="FFFFFF"/>
        </w:rPr>
        <w:t xml:space="preserve">and a community of practice to support home visitors and supervisor </w:t>
      </w:r>
      <w:r w:rsidRPr="191A2704" w:rsidDel="00B22E85">
        <w:rPr>
          <w:rStyle w:val="normaltextrun"/>
          <w:rFonts w:cs="Calibri"/>
          <w:color w:val="000000"/>
          <w:shd w:val="clear" w:color="auto" w:fill="FFFFFF"/>
        </w:rPr>
        <w:t>well</w:t>
      </w:r>
      <w:r w:rsidRPr="191A2704">
        <w:rPr>
          <w:rStyle w:val="normaltextrun"/>
          <w:rFonts w:cs="Calibri"/>
          <w:color w:val="000000"/>
          <w:shd w:val="clear" w:color="auto" w:fill="FFFFFF"/>
        </w:rPr>
        <w:t xml:space="preserve">-being and retention. </w:t>
      </w:r>
    </w:p>
    <w:p w14:paraId="77AC113E" w14:textId="77777777" w:rsidR="00AB7B07" w:rsidRPr="00321800" w:rsidRDefault="00AB7B07" w:rsidP="00AB7B07">
      <w:pPr>
        <w:pStyle w:val="paragraph"/>
        <w:spacing w:beforeAutospacing="0" w:after="0" w:afterAutospacing="0"/>
      </w:pPr>
    </w:p>
    <w:p w14:paraId="1F1E6179" w14:textId="199E5870" w:rsidR="00AB7B07" w:rsidRPr="002D2962" w:rsidRDefault="00AB7B07" w:rsidP="00AB7B07">
      <w:pPr>
        <w:spacing w:line="257" w:lineRule="auto"/>
        <w:contextualSpacing/>
        <w:rPr>
          <w:rFonts w:eastAsia="Calibri" w:cs="Calibri"/>
          <w:bCs/>
          <w:color w:val="000000" w:themeColor="text1"/>
        </w:rPr>
      </w:pPr>
      <w:r w:rsidRPr="00125BC8">
        <w:rPr>
          <w:rFonts w:eastAsia="Calibri" w:cs="Calibri"/>
          <w:b/>
          <w:color w:val="000000" w:themeColor="text1"/>
        </w:rPr>
        <w:t xml:space="preserve">Approximate </w:t>
      </w:r>
      <w:r w:rsidR="00967312" w:rsidRPr="00125BC8">
        <w:rPr>
          <w:rFonts w:eastAsia="Calibri" w:cs="Calibri"/>
          <w:b/>
          <w:color w:val="000000" w:themeColor="text1"/>
        </w:rPr>
        <w:t>Scope</w:t>
      </w:r>
      <w:r w:rsidR="00E446A7">
        <w:rPr>
          <w:rFonts w:eastAsia="Calibri" w:cs="Calibri"/>
          <w:bCs/>
          <w:color w:val="000000" w:themeColor="text1"/>
        </w:rPr>
        <w:t>:</w:t>
      </w:r>
      <w:r w:rsidR="00517AD2">
        <w:rPr>
          <w:rFonts w:eastAsia="Calibri" w:cs="Calibri"/>
          <w:bCs/>
          <w:color w:val="000000" w:themeColor="text1"/>
        </w:rPr>
        <w:t xml:space="preserve"> </w:t>
      </w:r>
      <w:r w:rsidR="00517AD2" w:rsidRPr="00354EFE">
        <w:rPr>
          <w:rFonts w:eastAsia="Calibri" w:cs="Calibri"/>
          <w:i/>
          <w:color w:val="000000" w:themeColor="text1"/>
        </w:rPr>
        <w:t>Best Starts</w:t>
      </w:r>
      <w:r w:rsidR="00517AD2">
        <w:rPr>
          <w:rFonts w:eastAsia="Calibri" w:cs="Calibri"/>
          <w:bCs/>
          <w:color w:val="000000" w:themeColor="text1"/>
        </w:rPr>
        <w:t xml:space="preserve"> </w:t>
      </w:r>
      <w:r w:rsidR="00D870D6">
        <w:rPr>
          <w:rFonts w:eastAsia="Calibri" w:cs="Calibri"/>
          <w:bCs/>
          <w:color w:val="000000" w:themeColor="text1"/>
        </w:rPr>
        <w:t>estimates</w:t>
      </w:r>
      <w:r w:rsidR="00D70147">
        <w:rPr>
          <w:rFonts w:eastAsia="Calibri" w:cs="Calibri"/>
          <w:bCs/>
          <w:color w:val="000000" w:themeColor="text1"/>
        </w:rPr>
        <w:t xml:space="preserve"> </w:t>
      </w:r>
      <w:r w:rsidR="00B5071D">
        <w:rPr>
          <w:rFonts w:eastAsia="Calibri" w:cs="Calibri"/>
          <w:bCs/>
          <w:color w:val="000000" w:themeColor="text1"/>
        </w:rPr>
        <w:t>serving up to 1,</w:t>
      </w:r>
      <w:r w:rsidR="008103FE">
        <w:rPr>
          <w:rFonts w:eastAsia="Calibri" w:cs="Calibri"/>
          <w:bCs/>
          <w:color w:val="000000" w:themeColor="text1"/>
        </w:rPr>
        <w:t>650</w:t>
      </w:r>
      <w:r w:rsidR="00B5071D">
        <w:rPr>
          <w:rFonts w:eastAsia="Calibri" w:cs="Calibri"/>
          <w:bCs/>
          <w:color w:val="000000" w:themeColor="text1"/>
        </w:rPr>
        <w:t xml:space="preserve"> families, children and or caregivers </w:t>
      </w:r>
      <w:r w:rsidR="00854725">
        <w:rPr>
          <w:rFonts w:eastAsia="Calibri" w:cs="Calibri"/>
          <w:bCs/>
          <w:color w:val="000000" w:themeColor="text1"/>
        </w:rPr>
        <w:t xml:space="preserve">through HBS </w:t>
      </w:r>
      <w:r w:rsidR="00B33330">
        <w:rPr>
          <w:rFonts w:eastAsia="Calibri" w:cs="Calibri"/>
          <w:bCs/>
          <w:color w:val="000000" w:themeColor="text1"/>
        </w:rPr>
        <w:t>each</w:t>
      </w:r>
      <w:r w:rsidR="00B5071D">
        <w:rPr>
          <w:rFonts w:eastAsia="Calibri" w:cs="Calibri"/>
          <w:bCs/>
          <w:color w:val="000000" w:themeColor="text1"/>
        </w:rPr>
        <w:t xml:space="preserve"> year.</w:t>
      </w:r>
      <w:r w:rsidR="00897AB1">
        <w:rPr>
          <w:rStyle w:val="FootnoteReference"/>
          <w:rFonts w:eastAsia="Calibri" w:cs="Calibri"/>
          <w:bCs/>
          <w:color w:val="000000" w:themeColor="text1"/>
        </w:rPr>
        <w:footnoteReference w:id="134"/>
      </w:r>
      <w:r w:rsidR="00B5071D">
        <w:rPr>
          <w:rFonts w:eastAsia="Calibri" w:cs="Calibri"/>
          <w:bCs/>
          <w:color w:val="000000" w:themeColor="text1"/>
        </w:rPr>
        <w:t xml:space="preserve"> </w:t>
      </w:r>
    </w:p>
    <w:p w14:paraId="6B8E32CD" w14:textId="77777777" w:rsidR="00AB7B07" w:rsidRDefault="00AB7B07" w:rsidP="00AB7B07">
      <w:pPr>
        <w:spacing w:line="257" w:lineRule="auto"/>
        <w:contextualSpacing/>
        <w:rPr>
          <w:rFonts w:eastAsia="Calibri" w:cs="Calibri"/>
          <w:b/>
          <w:color w:val="000000" w:themeColor="text1"/>
        </w:rPr>
      </w:pPr>
    </w:p>
    <w:p w14:paraId="493FC621" w14:textId="2F7F2AEB" w:rsidR="00AB7B07" w:rsidRDefault="00AB7B07" w:rsidP="00AB7B07">
      <w:pPr>
        <w:spacing w:line="257" w:lineRule="auto"/>
        <w:contextualSpacing/>
        <w:rPr>
          <w:rFonts w:eastAsia="Calibri" w:cs="Calibri"/>
          <w:b/>
          <w:color w:val="000000" w:themeColor="text1"/>
        </w:rPr>
      </w:pPr>
      <w:r>
        <w:rPr>
          <w:rFonts w:eastAsia="Calibri" w:cs="Calibri"/>
          <w:b/>
          <w:color w:val="000000" w:themeColor="text1"/>
        </w:rPr>
        <w:t xml:space="preserve">Planned </w:t>
      </w:r>
      <w:r w:rsidRPr="00D03F1F">
        <w:rPr>
          <w:rFonts w:eastAsia="Calibri" w:cs="Calibri"/>
          <w:b/>
          <w:color w:val="000000" w:themeColor="text1"/>
        </w:rPr>
        <w:t>Refinements</w:t>
      </w:r>
      <w:r>
        <w:rPr>
          <w:rFonts w:eastAsia="Calibri" w:cs="Calibri"/>
          <w:b/>
          <w:color w:val="000000" w:themeColor="text1"/>
        </w:rPr>
        <w:t xml:space="preserve"> in </w:t>
      </w:r>
      <w:r w:rsidR="00356E24">
        <w:rPr>
          <w:rFonts w:eastAsia="Times New Roman" w:cs="Calibri"/>
          <w:b/>
          <w:bCs/>
          <w:i/>
          <w:iCs/>
        </w:rPr>
        <w:t xml:space="preserve">Best Starts for Kids </w:t>
      </w:r>
      <w:r w:rsidR="00356E24" w:rsidRPr="004F3B6F">
        <w:rPr>
          <w:rFonts w:eastAsia="Times New Roman" w:cs="Calibri"/>
          <w:b/>
          <w:bCs/>
        </w:rPr>
        <w:t>2022-2027</w:t>
      </w:r>
      <w:r w:rsidR="001C10F9" w:rsidRPr="004F3B6F">
        <w:rPr>
          <w:rFonts w:eastAsia="Times New Roman" w:cs="Calibri"/>
          <w:b/>
          <w:bCs/>
        </w:rPr>
        <w:t>:</w:t>
      </w:r>
      <w:r w:rsidR="00356E24" w:rsidRPr="00C4644D">
        <w:rPr>
          <w:rFonts w:eastAsia="Times New Roman" w:cs="Calibri"/>
          <w:b/>
          <w:bCs/>
        </w:rPr>
        <w:t>  </w:t>
      </w:r>
      <w:r w:rsidR="00356E24" w:rsidRPr="00C4644D">
        <w:rPr>
          <w:rFonts w:eastAsia="Times New Roman" w:cs="Calibri"/>
        </w:rPr>
        <w:t> </w:t>
      </w:r>
    </w:p>
    <w:p w14:paraId="2EA0A9F2" w14:textId="760A5C4F" w:rsidR="00AB7B07" w:rsidRPr="00E672FD" w:rsidRDefault="00AB7B07" w:rsidP="00025030">
      <w:pPr>
        <w:pStyle w:val="paragraph"/>
        <w:numPr>
          <w:ilvl w:val="0"/>
          <w:numId w:val="29"/>
        </w:numPr>
        <w:spacing w:beforeAutospacing="0" w:after="0" w:afterAutospacing="0"/>
      </w:pPr>
      <w:r w:rsidRPr="00E871B7">
        <w:rPr>
          <w:rStyle w:val="normaltextrun"/>
          <w:rFonts w:cs="Calibri"/>
          <w:color w:val="000000"/>
          <w:szCs w:val="22"/>
          <w:shd w:val="clear" w:color="auto" w:fill="FFFFFF"/>
        </w:rPr>
        <w:t>HBS will focus on funding supports for African American and LGBTQIA</w:t>
      </w:r>
      <w:r w:rsidR="00FB6D5E">
        <w:rPr>
          <w:rStyle w:val="normaltextrun"/>
          <w:rFonts w:cs="Calibri"/>
          <w:color w:val="000000"/>
          <w:szCs w:val="22"/>
          <w:shd w:val="clear" w:color="auto" w:fill="FFFFFF"/>
        </w:rPr>
        <w:t>+</w:t>
      </w:r>
      <w:r w:rsidRPr="00E871B7">
        <w:rPr>
          <w:rStyle w:val="normaltextrun"/>
          <w:rFonts w:cs="Calibri"/>
          <w:color w:val="000000"/>
          <w:szCs w:val="22"/>
          <w:shd w:val="clear" w:color="auto" w:fill="FFFFFF"/>
        </w:rPr>
        <w:t xml:space="preserve"> families</w:t>
      </w:r>
      <w:r>
        <w:rPr>
          <w:rStyle w:val="normaltextrun"/>
          <w:rFonts w:cs="Calibri"/>
          <w:color w:val="000000"/>
          <w:szCs w:val="22"/>
          <w:shd w:val="clear" w:color="auto" w:fill="FFFFFF"/>
        </w:rPr>
        <w:t xml:space="preserve"> for which there are currently gaps in services.</w:t>
      </w:r>
    </w:p>
    <w:p w14:paraId="64A4671A" w14:textId="5A44C4F6" w:rsidR="00AB7B07" w:rsidRPr="00321800" w:rsidRDefault="00AB7B07" w:rsidP="00025030">
      <w:pPr>
        <w:pStyle w:val="paragraph"/>
        <w:numPr>
          <w:ilvl w:val="0"/>
          <w:numId w:val="29"/>
        </w:numPr>
        <w:spacing w:beforeAutospacing="0" w:after="0" w:afterAutospacing="0"/>
      </w:pPr>
      <w:r>
        <w:rPr>
          <w:rStyle w:val="normaltextrun"/>
          <w:rFonts w:cs="Calibri"/>
          <w:color w:val="000000"/>
          <w:szCs w:val="22"/>
          <w:shd w:val="clear" w:color="auto" w:fill="FFFFFF"/>
        </w:rPr>
        <w:t xml:space="preserve">HBS </w:t>
      </w:r>
      <w:r w:rsidR="00506D11">
        <w:rPr>
          <w:rStyle w:val="normaltextrun"/>
          <w:rFonts w:cs="Calibri"/>
          <w:color w:val="000000"/>
          <w:szCs w:val="22"/>
          <w:shd w:val="clear" w:color="auto" w:fill="FFFFFF"/>
        </w:rPr>
        <w:t>will</w:t>
      </w:r>
      <w:r>
        <w:rPr>
          <w:rStyle w:val="normaltextrun"/>
          <w:rFonts w:cs="Calibri"/>
          <w:color w:val="000000"/>
          <w:szCs w:val="22"/>
          <w:shd w:val="clear" w:color="auto" w:fill="FFFFFF"/>
        </w:rPr>
        <w:t xml:space="preserve"> enhance the current funding approach by adding emergency funds </w:t>
      </w:r>
      <w:r w:rsidR="00B541A5">
        <w:rPr>
          <w:rStyle w:val="normaltextrun"/>
          <w:rFonts w:cs="Calibri"/>
          <w:color w:val="000000"/>
          <w:szCs w:val="22"/>
          <w:shd w:val="clear" w:color="auto" w:fill="FFFFFF"/>
        </w:rPr>
        <w:t>for basic needs or items such as utility payments</w:t>
      </w:r>
      <w:r>
        <w:rPr>
          <w:rStyle w:val="normaltextrun"/>
          <w:rFonts w:cs="Calibri"/>
          <w:color w:val="000000"/>
          <w:szCs w:val="22"/>
          <w:shd w:val="clear" w:color="auto" w:fill="FFFFFF"/>
        </w:rPr>
        <w:t xml:space="preserve"> into program budgets </w:t>
      </w:r>
      <w:r w:rsidR="00D2405D">
        <w:rPr>
          <w:rStyle w:val="normaltextrun"/>
          <w:rFonts w:cs="Calibri"/>
          <w:color w:val="000000"/>
          <w:szCs w:val="22"/>
          <w:shd w:val="clear" w:color="auto" w:fill="FFFFFF"/>
        </w:rPr>
        <w:t>for</w:t>
      </w:r>
      <w:r w:rsidR="00661207">
        <w:rPr>
          <w:rStyle w:val="normaltextrun"/>
          <w:rFonts w:cs="Calibri"/>
          <w:color w:val="000000"/>
          <w:szCs w:val="22"/>
          <w:shd w:val="clear" w:color="auto" w:fill="FFFFFF"/>
        </w:rPr>
        <w:t xml:space="preserve"> providers </w:t>
      </w:r>
      <w:r w:rsidR="001D0F6D">
        <w:rPr>
          <w:rStyle w:val="normaltextrun"/>
          <w:rFonts w:cs="Calibri"/>
          <w:color w:val="000000"/>
          <w:szCs w:val="22"/>
          <w:shd w:val="clear" w:color="auto" w:fill="FFFFFF"/>
        </w:rPr>
        <w:t xml:space="preserve">to </w:t>
      </w:r>
      <w:r w:rsidR="00661207">
        <w:rPr>
          <w:rStyle w:val="normaltextrun"/>
          <w:rFonts w:cs="Calibri"/>
          <w:color w:val="000000"/>
          <w:szCs w:val="22"/>
          <w:shd w:val="clear" w:color="auto" w:fill="FFFFFF"/>
        </w:rPr>
        <w:t xml:space="preserve">access </w:t>
      </w:r>
      <w:r w:rsidR="00B541A5">
        <w:rPr>
          <w:rStyle w:val="normaltextrun"/>
          <w:rFonts w:cs="Calibri"/>
          <w:color w:val="000000"/>
          <w:szCs w:val="22"/>
          <w:shd w:val="clear" w:color="auto" w:fill="FFFFFF"/>
        </w:rPr>
        <w:t>for families</w:t>
      </w:r>
      <w:r w:rsidR="00D2405D">
        <w:rPr>
          <w:rStyle w:val="normaltextrun"/>
          <w:rFonts w:cs="Calibri"/>
          <w:color w:val="000000"/>
          <w:szCs w:val="22"/>
          <w:shd w:val="clear" w:color="auto" w:fill="FFFFFF"/>
        </w:rPr>
        <w:t xml:space="preserve"> </w:t>
      </w:r>
      <w:r>
        <w:rPr>
          <w:rStyle w:val="normaltextrun"/>
          <w:rFonts w:cs="Calibri"/>
          <w:color w:val="000000"/>
          <w:szCs w:val="22"/>
          <w:shd w:val="clear" w:color="auto" w:fill="FFFFFF"/>
        </w:rPr>
        <w:t>and piloting enhanced case management supports in a subset of grantees</w:t>
      </w:r>
      <w:r w:rsidR="00081616">
        <w:rPr>
          <w:rStyle w:val="normaltextrun"/>
          <w:rFonts w:cs="Calibri"/>
          <w:color w:val="000000"/>
          <w:szCs w:val="22"/>
          <w:shd w:val="clear" w:color="auto" w:fill="FFFFFF"/>
        </w:rPr>
        <w:t>.</w:t>
      </w:r>
    </w:p>
    <w:p w14:paraId="12144782" w14:textId="77777777" w:rsidR="00AB7B07" w:rsidRDefault="00AB7B07" w:rsidP="00AB7B07">
      <w:pPr>
        <w:spacing w:line="257" w:lineRule="auto"/>
        <w:contextualSpacing/>
        <w:rPr>
          <w:rFonts w:eastAsia="Calibri" w:cs="Calibri"/>
          <w:b/>
          <w:bCs/>
          <w:color w:val="000000" w:themeColor="text1"/>
        </w:rPr>
      </w:pPr>
    </w:p>
    <w:p w14:paraId="6925BBF6" w14:textId="2A4081A0" w:rsidR="00DF4FB5" w:rsidRPr="00806FF0" w:rsidRDefault="00AB7B07" w:rsidP="00806FF0">
      <w:pPr>
        <w:rPr>
          <w:color w:val="FF0000"/>
        </w:rPr>
      </w:pPr>
      <w:r>
        <w:rPr>
          <w:rFonts w:eastAsia="Calibri" w:cs="Calibri"/>
          <w:b/>
          <w:bCs/>
          <w:color w:val="000000" w:themeColor="text1"/>
        </w:rPr>
        <w:t xml:space="preserve">Anticipated timeline: </w:t>
      </w:r>
      <w:r>
        <w:rPr>
          <w:rFonts w:eastAsia="Calibri" w:cs="Calibri"/>
          <w:color w:val="000000" w:themeColor="text1"/>
        </w:rPr>
        <w:t xml:space="preserve">HBS intends to </w:t>
      </w:r>
      <w:r w:rsidR="004352F9">
        <w:rPr>
          <w:rFonts w:eastAsia="Calibri" w:cs="Calibri"/>
          <w:color w:val="000000" w:themeColor="text1"/>
        </w:rPr>
        <w:t xml:space="preserve">release RFPs in 2022 and start new contracts in </w:t>
      </w:r>
      <w:r w:rsidR="005236A6">
        <w:rPr>
          <w:rFonts w:eastAsia="Calibri" w:cs="Calibri"/>
          <w:color w:val="000000" w:themeColor="text1"/>
        </w:rPr>
        <w:t>Q3</w:t>
      </w:r>
      <w:r w:rsidR="004352F9">
        <w:rPr>
          <w:rFonts w:eastAsia="Calibri" w:cs="Calibri"/>
          <w:color w:val="000000" w:themeColor="text1"/>
        </w:rPr>
        <w:t xml:space="preserve"> 2022. </w:t>
      </w:r>
    </w:p>
    <w:tbl>
      <w:tblPr>
        <w:tblStyle w:val="TableGrid"/>
        <w:tblpPr w:leftFromText="180" w:rightFromText="180" w:vertAnchor="text" w:horzAnchor="margin" w:tblpX="-300" w:tblpY="596"/>
        <w:tblW w:w="9690" w:type="dxa"/>
        <w:tblLook w:val="04A0" w:firstRow="1" w:lastRow="0" w:firstColumn="1" w:lastColumn="0" w:noHBand="0" w:noVBand="1"/>
      </w:tblPr>
      <w:tblGrid>
        <w:gridCol w:w="9690"/>
      </w:tblGrid>
      <w:tr w:rsidR="00DF4FB5" w:rsidRPr="00D03F1F" w14:paraId="61BB37EA" w14:textId="77777777" w:rsidTr="005E6FD3">
        <w:trPr>
          <w:trHeight w:val="393"/>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4DFF99C7" w14:textId="2DAD666F" w:rsidR="000267E7" w:rsidRPr="00EE121B" w:rsidRDefault="00DF4FB5" w:rsidP="00E72825">
            <w:pPr>
              <w:contextualSpacing/>
              <w:rPr>
                <w:sz w:val="28"/>
                <w:szCs w:val="28"/>
              </w:rPr>
            </w:pPr>
            <w:bookmarkStart w:id="53" w:name="Community_Based_Parenting_Supports"/>
            <w:r w:rsidRPr="00EE121B">
              <w:rPr>
                <w:rFonts w:eastAsia="Calibri" w:cs="Calibri"/>
                <w:b/>
                <w:sz w:val="28"/>
                <w:szCs w:val="28"/>
              </w:rPr>
              <w:t>Community-Based Parenting Supports</w:t>
            </w:r>
            <w:r w:rsidRPr="00EE121B">
              <w:rPr>
                <w:sz w:val="28"/>
                <w:szCs w:val="28"/>
              </w:rPr>
              <w:t xml:space="preserve"> </w:t>
            </w:r>
            <w:bookmarkEnd w:id="53"/>
          </w:p>
        </w:tc>
      </w:tr>
    </w:tbl>
    <w:tbl>
      <w:tblPr>
        <w:tblW w:w="9720" w:type="dxa"/>
        <w:tblInd w:w="-270" w:type="dxa"/>
        <w:tblLook w:val="04A0" w:firstRow="1" w:lastRow="0" w:firstColumn="1" w:lastColumn="0" w:noHBand="0" w:noVBand="1"/>
      </w:tblPr>
      <w:tblGrid>
        <w:gridCol w:w="1225"/>
        <w:gridCol w:w="1191"/>
        <w:gridCol w:w="1192"/>
        <w:gridCol w:w="1192"/>
        <w:gridCol w:w="1192"/>
        <w:gridCol w:w="1192"/>
        <w:gridCol w:w="1192"/>
        <w:gridCol w:w="1344"/>
      </w:tblGrid>
      <w:tr w:rsidR="00EE6CBE" w:rsidRPr="007F24F2" w14:paraId="785B24EB" w14:textId="77777777" w:rsidTr="000A3D63">
        <w:trPr>
          <w:trHeight w:val="304"/>
        </w:trPr>
        <w:tc>
          <w:tcPr>
            <w:tcW w:w="9720" w:type="dxa"/>
            <w:gridSpan w:val="8"/>
            <w:tcBorders>
              <w:top w:val="nil"/>
              <w:left w:val="nil"/>
              <w:bottom w:val="single" w:sz="12" w:space="0" w:color="FFD966"/>
              <w:right w:val="nil"/>
            </w:tcBorders>
            <w:shd w:val="clear" w:color="auto" w:fill="auto"/>
            <w:noWrap/>
            <w:vAlign w:val="bottom"/>
            <w:hideMark/>
          </w:tcPr>
          <w:p w14:paraId="0D7C65D4" w14:textId="77777777" w:rsidR="007F24F2" w:rsidRPr="007F24F2" w:rsidRDefault="007F24F2" w:rsidP="007F24F2">
            <w:pPr>
              <w:spacing w:line="240" w:lineRule="auto"/>
              <w:rPr>
                <w:rFonts w:eastAsia="Times New Roman" w:cs="Calibri"/>
                <w:b/>
                <w:bCs/>
                <w:i/>
                <w:iCs/>
                <w:color w:val="000000"/>
              </w:rPr>
            </w:pPr>
            <w:r w:rsidRPr="007F24F2">
              <w:rPr>
                <w:rFonts w:eastAsia="Times New Roman" w:cs="Calibri"/>
                <w:b/>
                <w:bCs/>
                <w:i/>
                <w:iCs/>
                <w:color w:val="000000"/>
              </w:rPr>
              <w:t>Funding Estimate:</w:t>
            </w:r>
          </w:p>
        </w:tc>
      </w:tr>
      <w:tr w:rsidR="000D3F14" w:rsidRPr="007F24F2" w14:paraId="47DE5B1F" w14:textId="77777777" w:rsidTr="000A3D63">
        <w:trPr>
          <w:trHeight w:val="406"/>
        </w:trPr>
        <w:tc>
          <w:tcPr>
            <w:tcW w:w="1225" w:type="dxa"/>
            <w:tcBorders>
              <w:top w:val="nil"/>
              <w:left w:val="single" w:sz="12" w:space="0" w:color="FFD966"/>
              <w:bottom w:val="single" w:sz="8" w:space="0" w:color="FFD966"/>
              <w:right w:val="single" w:sz="8" w:space="0" w:color="FFD966"/>
            </w:tcBorders>
            <w:shd w:val="clear" w:color="000000" w:fill="D9E1F2"/>
            <w:noWrap/>
            <w:vAlign w:val="center"/>
            <w:hideMark/>
          </w:tcPr>
          <w:p w14:paraId="5BA44055" w14:textId="77777777" w:rsidR="007F24F2" w:rsidRPr="007F24F2" w:rsidRDefault="007F24F2" w:rsidP="007F24F2">
            <w:pPr>
              <w:spacing w:line="240" w:lineRule="auto"/>
              <w:rPr>
                <w:rFonts w:eastAsia="Times New Roman" w:cs="Calibri"/>
                <w:b/>
                <w:bCs/>
                <w:i/>
                <w:iCs/>
              </w:rPr>
            </w:pPr>
            <w:r w:rsidRPr="007F24F2">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4744EB8C" w14:textId="77777777" w:rsidR="007F24F2" w:rsidRPr="007F24F2" w:rsidRDefault="007F24F2" w:rsidP="007F24F2">
            <w:pPr>
              <w:spacing w:line="240" w:lineRule="auto"/>
              <w:jc w:val="right"/>
              <w:rPr>
                <w:rFonts w:eastAsia="Times New Roman" w:cs="Calibri"/>
              </w:rPr>
            </w:pPr>
            <w:r w:rsidRPr="007F24F2">
              <w:rPr>
                <w:rFonts w:eastAsia="Times New Roman" w:cs="Calibri"/>
              </w:rPr>
              <w:t>2022</w:t>
            </w:r>
          </w:p>
        </w:tc>
        <w:tc>
          <w:tcPr>
            <w:tcW w:w="1192" w:type="dxa"/>
            <w:tcBorders>
              <w:top w:val="nil"/>
              <w:left w:val="nil"/>
              <w:bottom w:val="single" w:sz="8" w:space="0" w:color="FFD966"/>
              <w:right w:val="single" w:sz="8" w:space="0" w:color="FFD966"/>
            </w:tcBorders>
            <w:shd w:val="clear" w:color="000000" w:fill="D9E1F2"/>
            <w:noWrap/>
            <w:vAlign w:val="center"/>
            <w:hideMark/>
          </w:tcPr>
          <w:p w14:paraId="3A0D3E90" w14:textId="77777777" w:rsidR="007F24F2" w:rsidRPr="007F24F2" w:rsidRDefault="007F24F2" w:rsidP="007F24F2">
            <w:pPr>
              <w:spacing w:line="240" w:lineRule="auto"/>
              <w:jc w:val="right"/>
              <w:rPr>
                <w:rFonts w:eastAsia="Times New Roman" w:cs="Calibri"/>
              </w:rPr>
            </w:pPr>
            <w:r w:rsidRPr="007F24F2">
              <w:rPr>
                <w:rFonts w:eastAsia="Times New Roman" w:cs="Calibri"/>
              </w:rPr>
              <w:t>2023</w:t>
            </w:r>
          </w:p>
        </w:tc>
        <w:tc>
          <w:tcPr>
            <w:tcW w:w="1192" w:type="dxa"/>
            <w:tcBorders>
              <w:top w:val="nil"/>
              <w:left w:val="nil"/>
              <w:bottom w:val="single" w:sz="8" w:space="0" w:color="FFD966"/>
              <w:right w:val="single" w:sz="8" w:space="0" w:color="FFD966"/>
            </w:tcBorders>
            <w:shd w:val="clear" w:color="000000" w:fill="D9E1F2"/>
            <w:noWrap/>
            <w:vAlign w:val="center"/>
            <w:hideMark/>
          </w:tcPr>
          <w:p w14:paraId="2925F8F3" w14:textId="77777777" w:rsidR="007F24F2" w:rsidRPr="007F24F2" w:rsidRDefault="007F24F2" w:rsidP="007F24F2">
            <w:pPr>
              <w:spacing w:line="240" w:lineRule="auto"/>
              <w:jc w:val="right"/>
              <w:rPr>
                <w:rFonts w:eastAsia="Times New Roman" w:cs="Calibri"/>
              </w:rPr>
            </w:pPr>
            <w:r w:rsidRPr="007F24F2">
              <w:rPr>
                <w:rFonts w:eastAsia="Times New Roman" w:cs="Calibri"/>
              </w:rPr>
              <w:t>2024</w:t>
            </w:r>
          </w:p>
        </w:tc>
        <w:tc>
          <w:tcPr>
            <w:tcW w:w="1192" w:type="dxa"/>
            <w:tcBorders>
              <w:top w:val="nil"/>
              <w:left w:val="nil"/>
              <w:bottom w:val="single" w:sz="8" w:space="0" w:color="FFD966"/>
              <w:right w:val="single" w:sz="8" w:space="0" w:color="FFD966"/>
            </w:tcBorders>
            <w:shd w:val="clear" w:color="000000" w:fill="D9E1F2"/>
            <w:noWrap/>
            <w:vAlign w:val="center"/>
            <w:hideMark/>
          </w:tcPr>
          <w:p w14:paraId="30CC4590" w14:textId="77777777" w:rsidR="007F24F2" w:rsidRPr="007F24F2" w:rsidRDefault="007F24F2" w:rsidP="007F24F2">
            <w:pPr>
              <w:spacing w:line="240" w:lineRule="auto"/>
              <w:jc w:val="right"/>
              <w:rPr>
                <w:rFonts w:eastAsia="Times New Roman" w:cs="Calibri"/>
              </w:rPr>
            </w:pPr>
            <w:r w:rsidRPr="007F24F2">
              <w:rPr>
                <w:rFonts w:eastAsia="Times New Roman" w:cs="Calibri"/>
              </w:rPr>
              <w:t>2025</w:t>
            </w:r>
          </w:p>
        </w:tc>
        <w:tc>
          <w:tcPr>
            <w:tcW w:w="1192" w:type="dxa"/>
            <w:tcBorders>
              <w:top w:val="nil"/>
              <w:left w:val="nil"/>
              <w:bottom w:val="single" w:sz="8" w:space="0" w:color="FFD966"/>
              <w:right w:val="single" w:sz="8" w:space="0" w:color="FFD966"/>
            </w:tcBorders>
            <w:shd w:val="clear" w:color="000000" w:fill="D9E1F2"/>
            <w:noWrap/>
            <w:vAlign w:val="center"/>
            <w:hideMark/>
          </w:tcPr>
          <w:p w14:paraId="27958380" w14:textId="77777777" w:rsidR="007F24F2" w:rsidRPr="007F24F2" w:rsidRDefault="007F24F2" w:rsidP="007F24F2">
            <w:pPr>
              <w:spacing w:line="240" w:lineRule="auto"/>
              <w:jc w:val="right"/>
              <w:rPr>
                <w:rFonts w:eastAsia="Times New Roman" w:cs="Calibri"/>
              </w:rPr>
            </w:pPr>
            <w:r w:rsidRPr="007F24F2">
              <w:rPr>
                <w:rFonts w:eastAsia="Times New Roman" w:cs="Calibri"/>
              </w:rPr>
              <w:t>2026</w:t>
            </w:r>
          </w:p>
        </w:tc>
        <w:tc>
          <w:tcPr>
            <w:tcW w:w="1192" w:type="dxa"/>
            <w:tcBorders>
              <w:top w:val="nil"/>
              <w:left w:val="nil"/>
              <w:bottom w:val="single" w:sz="8" w:space="0" w:color="FFD966"/>
              <w:right w:val="single" w:sz="8" w:space="0" w:color="FFD966"/>
            </w:tcBorders>
            <w:shd w:val="clear" w:color="000000" w:fill="D9E1F2"/>
            <w:noWrap/>
            <w:vAlign w:val="center"/>
            <w:hideMark/>
          </w:tcPr>
          <w:p w14:paraId="2DE28557" w14:textId="77777777" w:rsidR="007F24F2" w:rsidRPr="007F24F2" w:rsidRDefault="007F24F2" w:rsidP="007F24F2">
            <w:pPr>
              <w:spacing w:line="240" w:lineRule="auto"/>
              <w:jc w:val="right"/>
              <w:rPr>
                <w:rFonts w:eastAsia="Times New Roman" w:cs="Calibri"/>
              </w:rPr>
            </w:pPr>
            <w:r w:rsidRPr="007F24F2">
              <w:rPr>
                <w:rFonts w:eastAsia="Times New Roman" w:cs="Calibri"/>
              </w:rPr>
              <w:t>2027</w:t>
            </w:r>
          </w:p>
        </w:tc>
        <w:tc>
          <w:tcPr>
            <w:tcW w:w="1344" w:type="dxa"/>
            <w:tcBorders>
              <w:top w:val="nil"/>
              <w:left w:val="nil"/>
              <w:bottom w:val="single" w:sz="8" w:space="0" w:color="FFD966"/>
              <w:right w:val="single" w:sz="12" w:space="0" w:color="FFD966"/>
            </w:tcBorders>
            <w:shd w:val="clear" w:color="000000" w:fill="D9E1F2"/>
            <w:noWrap/>
            <w:vAlign w:val="center"/>
            <w:hideMark/>
          </w:tcPr>
          <w:p w14:paraId="66222B27" w14:textId="77777777" w:rsidR="007F24F2" w:rsidRPr="007F24F2" w:rsidRDefault="007F24F2" w:rsidP="007F24F2">
            <w:pPr>
              <w:spacing w:line="240" w:lineRule="auto"/>
              <w:jc w:val="right"/>
              <w:rPr>
                <w:rFonts w:eastAsia="Times New Roman" w:cs="Calibri"/>
                <w:b/>
                <w:bCs/>
                <w:i/>
                <w:iCs/>
              </w:rPr>
            </w:pPr>
            <w:r w:rsidRPr="007F24F2">
              <w:rPr>
                <w:rFonts w:eastAsia="Times New Roman" w:cs="Calibri"/>
                <w:b/>
                <w:bCs/>
                <w:i/>
                <w:iCs/>
              </w:rPr>
              <w:t>Total</w:t>
            </w:r>
          </w:p>
        </w:tc>
      </w:tr>
      <w:tr w:rsidR="00F559DB" w:rsidRPr="007F24F2" w14:paraId="5D43E6D5" w14:textId="77777777" w:rsidTr="000A3D63">
        <w:trPr>
          <w:trHeight w:val="406"/>
        </w:trPr>
        <w:tc>
          <w:tcPr>
            <w:tcW w:w="1225" w:type="dxa"/>
            <w:tcBorders>
              <w:top w:val="nil"/>
              <w:left w:val="single" w:sz="12" w:space="0" w:color="FFD966"/>
              <w:bottom w:val="single" w:sz="12" w:space="0" w:color="FFD966"/>
              <w:right w:val="single" w:sz="8" w:space="0" w:color="FFD966"/>
            </w:tcBorders>
            <w:shd w:val="clear" w:color="auto" w:fill="auto"/>
            <w:noWrap/>
            <w:vAlign w:val="center"/>
            <w:hideMark/>
          </w:tcPr>
          <w:p w14:paraId="385A99F1" w14:textId="77777777" w:rsidR="007F24F2" w:rsidRPr="007F24F2" w:rsidRDefault="007F24F2" w:rsidP="007F24F2">
            <w:pPr>
              <w:spacing w:line="240" w:lineRule="auto"/>
              <w:rPr>
                <w:rFonts w:eastAsia="Times New Roman" w:cs="Calibri"/>
                <w:b/>
                <w:bCs/>
                <w:i/>
                <w:iCs/>
                <w:color w:val="000000"/>
              </w:rPr>
            </w:pPr>
            <w:r w:rsidRPr="007F24F2">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06D078B0"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$3,800,000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06B2AC04"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$3,884,000 </w:t>
            </w:r>
          </w:p>
        </w:tc>
        <w:tc>
          <w:tcPr>
            <w:tcW w:w="1192" w:type="dxa"/>
            <w:tcBorders>
              <w:top w:val="nil"/>
              <w:left w:val="nil"/>
              <w:bottom w:val="single" w:sz="12" w:space="0" w:color="FFD966"/>
              <w:right w:val="single" w:sz="8" w:space="0" w:color="FFD966"/>
            </w:tcBorders>
            <w:shd w:val="clear" w:color="auto" w:fill="auto"/>
            <w:noWrap/>
            <w:vAlign w:val="center"/>
            <w:hideMark/>
          </w:tcPr>
          <w:p w14:paraId="0F7DD226"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$3,969,000 </w:t>
            </w:r>
          </w:p>
        </w:tc>
        <w:tc>
          <w:tcPr>
            <w:tcW w:w="1192" w:type="dxa"/>
            <w:tcBorders>
              <w:top w:val="nil"/>
              <w:left w:val="nil"/>
              <w:bottom w:val="single" w:sz="12" w:space="0" w:color="FFD966"/>
              <w:right w:val="single" w:sz="8" w:space="0" w:color="FFD966"/>
            </w:tcBorders>
            <w:shd w:val="clear" w:color="auto" w:fill="auto"/>
            <w:noWrap/>
            <w:vAlign w:val="center"/>
            <w:hideMark/>
          </w:tcPr>
          <w:p w14:paraId="68F3B439"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$4,056,000 </w:t>
            </w:r>
          </w:p>
        </w:tc>
        <w:tc>
          <w:tcPr>
            <w:tcW w:w="1192" w:type="dxa"/>
            <w:tcBorders>
              <w:top w:val="nil"/>
              <w:left w:val="nil"/>
              <w:bottom w:val="single" w:sz="12" w:space="0" w:color="FFD966"/>
              <w:right w:val="single" w:sz="8" w:space="0" w:color="FFD966"/>
            </w:tcBorders>
            <w:shd w:val="clear" w:color="auto" w:fill="auto"/>
            <w:noWrap/>
            <w:vAlign w:val="center"/>
            <w:hideMark/>
          </w:tcPr>
          <w:p w14:paraId="6855E64A"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$4,146,000 </w:t>
            </w:r>
          </w:p>
        </w:tc>
        <w:tc>
          <w:tcPr>
            <w:tcW w:w="1192" w:type="dxa"/>
            <w:tcBorders>
              <w:top w:val="nil"/>
              <w:left w:val="nil"/>
              <w:bottom w:val="single" w:sz="12" w:space="0" w:color="FFD966"/>
              <w:right w:val="single" w:sz="8" w:space="0" w:color="FFD966"/>
            </w:tcBorders>
            <w:shd w:val="clear" w:color="auto" w:fill="auto"/>
            <w:noWrap/>
            <w:vAlign w:val="center"/>
            <w:hideMark/>
          </w:tcPr>
          <w:p w14:paraId="4270A130"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$4,237,000 </w:t>
            </w:r>
          </w:p>
        </w:tc>
        <w:tc>
          <w:tcPr>
            <w:tcW w:w="1344" w:type="dxa"/>
            <w:tcBorders>
              <w:top w:val="nil"/>
              <w:left w:val="nil"/>
              <w:bottom w:val="single" w:sz="12" w:space="0" w:color="FFD966"/>
              <w:right w:val="single" w:sz="12" w:space="0" w:color="FFD966"/>
            </w:tcBorders>
            <w:shd w:val="clear" w:color="auto" w:fill="auto"/>
            <w:noWrap/>
            <w:vAlign w:val="center"/>
            <w:hideMark/>
          </w:tcPr>
          <w:p w14:paraId="75E49563" w14:textId="77777777" w:rsidR="007F24F2" w:rsidRPr="007F24F2" w:rsidRDefault="007F24F2" w:rsidP="007F24F2">
            <w:pPr>
              <w:spacing w:line="240" w:lineRule="auto"/>
              <w:jc w:val="right"/>
              <w:rPr>
                <w:rFonts w:eastAsia="Times New Roman" w:cs="Calibri"/>
                <w:b/>
                <w:bCs/>
                <w:color w:val="000000"/>
              </w:rPr>
            </w:pPr>
            <w:r w:rsidRPr="007F24F2">
              <w:rPr>
                <w:rFonts w:eastAsia="Times New Roman" w:cs="Calibri"/>
                <w:b/>
                <w:bCs/>
                <w:color w:val="000000"/>
              </w:rPr>
              <w:t xml:space="preserve">$24,091,000 </w:t>
            </w:r>
          </w:p>
        </w:tc>
      </w:tr>
    </w:tbl>
    <w:p w14:paraId="7761AF11" w14:textId="77777777" w:rsidR="00DF4FB5" w:rsidRDefault="00DF4FB5" w:rsidP="00DF4FB5">
      <w:pPr>
        <w:pStyle w:val="paragraph"/>
        <w:spacing w:beforeAutospacing="0" w:after="0" w:afterAutospacing="0"/>
      </w:pPr>
    </w:p>
    <w:p w14:paraId="627D4DDD" w14:textId="66E4F04C" w:rsidR="00A32811" w:rsidRPr="00CA3129" w:rsidRDefault="00DF4FB5" w:rsidP="00CA3129">
      <w:pPr>
        <w:contextualSpacing/>
      </w:pPr>
      <w:r w:rsidRPr="37176EC2">
        <w:rPr>
          <w:rFonts w:eastAsia="Calibri" w:cs="Calibri"/>
          <w:b/>
          <w:bCs/>
        </w:rPr>
        <w:t>Description:</w:t>
      </w:r>
    </w:p>
    <w:p w14:paraId="18339A43" w14:textId="34CD1A44" w:rsidR="00A32811" w:rsidRPr="00F701AD" w:rsidRDefault="00A32811" w:rsidP="00A75850">
      <w:pPr>
        <w:spacing w:line="257" w:lineRule="auto"/>
        <w:contextualSpacing/>
      </w:pPr>
      <w:r>
        <w:t>Community-Based Parenting Supports</w:t>
      </w:r>
      <w:r w:rsidR="00A655BF">
        <w:t xml:space="preserve"> </w:t>
      </w:r>
      <w:r w:rsidR="000C2077">
        <w:t>(CBPS) strategy provides</w:t>
      </w:r>
      <w:r>
        <w:t xml:space="preserve"> community-centered, peer-based services to pregnant individuals, parents, and caregivers of children aged birth to five</w:t>
      </w:r>
      <w:r w:rsidR="00D7078B">
        <w:t>.</w:t>
      </w:r>
      <w:r>
        <w:t xml:space="preserve"> </w:t>
      </w:r>
      <w:r w:rsidR="00D7078B">
        <w:t xml:space="preserve">CBPS provides </w:t>
      </w:r>
      <w:r>
        <w:t>concrete supports to strengthen protective factors, mitigate risk, and increase health, safety, and social/emotional well-being of families. Community-Based Parenting Supports services are offered by peer-based providers that share King County families' lived experiences, culture, and language</w:t>
      </w:r>
      <w:r w:rsidR="00EF111A">
        <w:t>.</w:t>
      </w:r>
    </w:p>
    <w:p w14:paraId="25A4BEFA" w14:textId="77777777" w:rsidR="00A75850" w:rsidRPr="00321800" w:rsidRDefault="00A75850" w:rsidP="00A75850">
      <w:pPr>
        <w:pStyle w:val="paragraph"/>
        <w:spacing w:beforeAutospacing="0" w:after="0" w:afterAutospacing="0"/>
      </w:pPr>
    </w:p>
    <w:p w14:paraId="3C3F311F" w14:textId="358C2533" w:rsidR="00A75850" w:rsidRDefault="00A75850" w:rsidP="00A75850">
      <w:pPr>
        <w:contextualSpacing/>
        <w:rPr>
          <w:rFonts w:eastAsia="Calibri" w:cs="Calibri"/>
        </w:rPr>
      </w:pPr>
      <w:r w:rsidRPr="00D03F1F">
        <w:rPr>
          <w:rFonts w:eastAsia="Calibri" w:cs="Calibri"/>
        </w:rPr>
        <w:lastRenderedPageBreak/>
        <w:t xml:space="preserve">Community-based partners implement programs in </w:t>
      </w:r>
      <w:r>
        <w:rPr>
          <w:rFonts w:eastAsia="Calibri" w:cs="Calibri"/>
        </w:rPr>
        <w:t xml:space="preserve">a variety of </w:t>
      </w:r>
      <w:r w:rsidRPr="00D03F1F">
        <w:rPr>
          <w:rFonts w:eastAsia="Calibri" w:cs="Calibri"/>
        </w:rPr>
        <w:t xml:space="preserve">community settings, including health care clinics, child care and early learning centers, religious institutions, </w:t>
      </w:r>
      <w:r w:rsidR="00C507C6">
        <w:rPr>
          <w:rFonts w:eastAsia="Calibri" w:cs="Calibri"/>
        </w:rPr>
        <w:t>and</w:t>
      </w:r>
      <w:r w:rsidRPr="00D03F1F">
        <w:rPr>
          <w:rFonts w:eastAsia="Calibri" w:cs="Calibri"/>
        </w:rPr>
        <w:t xml:space="preserve"> community centers. </w:t>
      </w:r>
      <w:r>
        <w:rPr>
          <w:rFonts w:eastAsia="Calibri" w:cs="Calibri"/>
          <w:i/>
          <w:iCs/>
        </w:rPr>
        <w:t>Best Starts</w:t>
      </w:r>
      <w:r w:rsidRPr="00D03F1F">
        <w:rPr>
          <w:rFonts w:eastAsia="Calibri" w:cs="Calibri"/>
        </w:rPr>
        <w:t xml:space="preserve"> prioritizes </w:t>
      </w:r>
      <w:r>
        <w:rPr>
          <w:rFonts w:eastAsia="Calibri" w:cs="Calibri"/>
        </w:rPr>
        <w:t xml:space="preserve">equity by funding </w:t>
      </w:r>
      <w:r w:rsidRPr="00D03F1F">
        <w:rPr>
          <w:rFonts w:eastAsia="Calibri" w:cs="Calibri"/>
        </w:rPr>
        <w:t xml:space="preserve">agencies </w:t>
      </w:r>
      <w:r>
        <w:rPr>
          <w:rFonts w:eastAsia="Calibri" w:cs="Calibri"/>
        </w:rPr>
        <w:t>serving</w:t>
      </w:r>
      <w:r w:rsidRPr="00D03F1F">
        <w:rPr>
          <w:rFonts w:eastAsia="Calibri" w:cs="Calibri"/>
        </w:rPr>
        <w:t xml:space="preserve"> low-income families, </w:t>
      </w:r>
      <w:r w:rsidR="00466B46">
        <w:rPr>
          <w:rFonts w:eastAsia="Calibri" w:cs="Calibri"/>
        </w:rPr>
        <w:t xml:space="preserve">BIPOC </w:t>
      </w:r>
      <w:r w:rsidRPr="00D03F1F">
        <w:rPr>
          <w:rFonts w:eastAsia="Calibri" w:cs="Calibri"/>
        </w:rPr>
        <w:t>families, immigrant and refugee families, LGBTQ</w:t>
      </w:r>
      <w:r w:rsidR="006104E1">
        <w:rPr>
          <w:rFonts w:eastAsia="Calibri" w:cs="Calibri"/>
        </w:rPr>
        <w:t>I</w:t>
      </w:r>
      <w:r w:rsidR="00924484">
        <w:rPr>
          <w:rFonts w:eastAsia="Calibri" w:cs="Calibri"/>
        </w:rPr>
        <w:t>A</w:t>
      </w:r>
      <w:r w:rsidR="002B1612">
        <w:rPr>
          <w:rFonts w:eastAsia="Calibri" w:cs="Calibri"/>
        </w:rPr>
        <w:t>+</w:t>
      </w:r>
      <w:r w:rsidRPr="00D03F1F">
        <w:rPr>
          <w:rFonts w:eastAsia="Calibri" w:cs="Calibri"/>
        </w:rPr>
        <w:t xml:space="preserve"> families, families with disabilities, families with foster children, and those geographically isolated</w:t>
      </w:r>
      <w:r>
        <w:rPr>
          <w:rFonts w:eastAsia="Calibri" w:cs="Calibri"/>
        </w:rPr>
        <w:t>. CBPS programming includes:</w:t>
      </w:r>
    </w:p>
    <w:p w14:paraId="5F4C43DB" w14:textId="75AFE033" w:rsidR="00A75850" w:rsidRPr="00FF3331" w:rsidRDefault="00A75850" w:rsidP="00025030">
      <w:pPr>
        <w:pStyle w:val="ListParagraph"/>
        <w:numPr>
          <w:ilvl w:val="0"/>
          <w:numId w:val="31"/>
        </w:numPr>
      </w:pPr>
      <w:r w:rsidRPr="00FF3331">
        <w:rPr>
          <w:rFonts w:eastAsia="Calibri" w:cs="Calibri"/>
          <w:b/>
        </w:rPr>
        <w:t>Basic Needs Resource Brokers (BNRB</w:t>
      </w:r>
      <w:r w:rsidRPr="00FF3331">
        <w:rPr>
          <w:rFonts w:eastAsia="Calibri" w:cs="Calibri"/>
        </w:rPr>
        <w:t>): Basic Needs Resource Brokers build on networks of community organizations to provide food, diapers, formula, and other basic needs</w:t>
      </w:r>
      <w:r>
        <w:rPr>
          <w:rFonts w:eastAsia="Calibri" w:cs="Calibri"/>
        </w:rPr>
        <w:t xml:space="preserve"> to families of young children</w:t>
      </w:r>
      <w:r w:rsidRPr="00FF3331">
        <w:rPr>
          <w:rFonts w:eastAsia="Calibri" w:cs="Calibri"/>
        </w:rPr>
        <w:t>.</w:t>
      </w:r>
    </w:p>
    <w:p w14:paraId="0BD42159" w14:textId="63471CC2" w:rsidR="00A75850" w:rsidRDefault="00A75850" w:rsidP="00025030">
      <w:pPr>
        <w:pStyle w:val="ListParagraph"/>
        <w:numPr>
          <w:ilvl w:val="0"/>
          <w:numId w:val="31"/>
        </w:numPr>
      </w:pPr>
      <w:r w:rsidRPr="00FF3331">
        <w:rPr>
          <w:rFonts w:eastAsia="Calibri" w:cs="Calibri"/>
          <w:b/>
          <w:bCs/>
          <w:color w:val="000000" w:themeColor="text1"/>
        </w:rPr>
        <w:t xml:space="preserve">Caregiver Peer Supports: </w:t>
      </w:r>
      <w:r w:rsidRPr="00FF3331">
        <w:rPr>
          <w:rFonts w:eastAsia="Calibri" w:cs="Calibri"/>
        </w:rPr>
        <w:t xml:space="preserve">Caregiver Peer Supports uses a community-centered </w:t>
      </w:r>
      <w:r>
        <w:rPr>
          <w:rFonts w:eastAsia="Calibri" w:cs="Calibri"/>
        </w:rPr>
        <w:t xml:space="preserve">and relationship-based </w:t>
      </w:r>
      <w:r w:rsidRPr="00FF3331">
        <w:rPr>
          <w:rFonts w:eastAsia="Calibri" w:cs="Calibri"/>
        </w:rPr>
        <w:t>approach to provide families with resources</w:t>
      </w:r>
      <w:r>
        <w:rPr>
          <w:rFonts w:eastAsia="Calibri" w:cs="Calibri"/>
        </w:rPr>
        <w:t xml:space="preserve"> and</w:t>
      </w:r>
      <w:r w:rsidRPr="00FF3331">
        <w:rPr>
          <w:rFonts w:eastAsia="Calibri" w:cs="Calibri"/>
        </w:rPr>
        <w:t xml:space="preserve"> information</w:t>
      </w:r>
      <w:r>
        <w:rPr>
          <w:rFonts w:eastAsia="Calibri" w:cs="Calibri"/>
        </w:rPr>
        <w:t xml:space="preserve"> </w:t>
      </w:r>
      <w:r w:rsidRPr="00FF3331">
        <w:rPr>
          <w:rFonts w:eastAsia="Calibri" w:cs="Calibri"/>
        </w:rPr>
        <w:t xml:space="preserve">to strengthen health, safety, brain development, and social-emotional well-being. Investments include </w:t>
      </w:r>
      <w:r w:rsidR="00714731">
        <w:rPr>
          <w:rFonts w:eastAsia="Calibri" w:cs="Calibri"/>
        </w:rPr>
        <w:t xml:space="preserve">programs such as </w:t>
      </w:r>
      <w:r w:rsidRPr="00FF3331">
        <w:rPr>
          <w:rFonts w:eastAsia="Calibri" w:cs="Calibri"/>
        </w:rPr>
        <w:t>Kaleidoscope Play and Learn (KPL)</w:t>
      </w:r>
      <w:r>
        <w:rPr>
          <w:rStyle w:val="FootnoteReference"/>
          <w:rFonts w:eastAsia="Calibri" w:cs="Calibri"/>
        </w:rPr>
        <w:footnoteReference w:id="135"/>
      </w:r>
      <w:r w:rsidRPr="00FF3331">
        <w:rPr>
          <w:rFonts w:eastAsia="Calibri" w:cs="Calibri"/>
        </w:rPr>
        <w:t xml:space="preserve"> and Parent-Caregiver Information and Supports (PCIS).</w:t>
      </w:r>
      <w:r>
        <w:rPr>
          <w:rStyle w:val="FootnoteReference"/>
          <w:rFonts w:eastAsia="Calibri" w:cs="Calibri"/>
        </w:rPr>
        <w:footnoteReference w:id="136"/>
      </w:r>
      <w:r w:rsidRPr="00F701AD">
        <w:t xml:space="preserve"> </w:t>
      </w:r>
    </w:p>
    <w:p w14:paraId="640FFF50" w14:textId="38261212" w:rsidR="00A75850" w:rsidRPr="00E070CB" w:rsidRDefault="00A75850" w:rsidP="00025030">
      <w:pPr>
        <w:pStyle w:val="ListParagraph"/>
        <w:numPr>
          <w:ilvl w:val="0"/>
          <w:numId w:val="31"/>
        </w:numPr>
      </w:pPr>
      <w:r w:rsidRPr="00FF3331">
        <w:rPr>
          <w:rFonts w:eastAsia="Calibri" w:cs="Calibri"/>
          <w:b/>
          <w:bCs/>
          <w:color w:val="000000" w:themeColor="text1"/>
        </w:rPr>
        <w:t xml:space="preserve">Perinatal and Lactation Support Services: </w:t>
      </w:r>
      <w:r>
        <w:rPr>
          <w:rFonts w:eastAsia="Calibri" w:cs="Calibri"/>
          <w:i/>
          <w:iCs/>
        </w:rPr>
        <w:t>Best Starts</w:t>
      </w:r>
      <w:r w:rsidRPr="00FF3331">
        <w:rPr>
          <w:rFonts w:eastAsia="Calibri" w:cs="Calibri"/>
        </w:rPr>
        <w:t xml:space="preserve"> partner</w:t>
      </w:r>
      <w:r w:rsidR="00600ADD">
        <w:rPr>
          <w:rFonts w:eastAsia="Calibri" w:cs="Calibri"/>
        </w:rPr>
        <w:t>s</w:t>
      </w:r>
      <w:r w:rsidRPr="00FF3331">
        <w:rPr>
          <w:rFonts w:eastAsia="Calibri" w:cs="Calibri"/>
        </w:rPr>
        <w:t xml:space="preserve"> with organizations across King County to provide culturally relevant </w:t>
      </w:r>
      <w:r>
        <w:rPr>
          <w:rFonts w:eastAsia="Calibri" w:cs="Calibri"/>
        </w:rPr>
        <w:t>perinatal and lactation</w:t>
      </w:r>
      <w:r w:rsidRPr="00FF3331">
        <w:rPr>
          <w:rFonts w:eastAsia="Calibri" w:cs="Calibri"/>
        </w:rPr>
        <w:t xml:space="preserve"> support services focusing on Indigenous, Black and African American, Asian </w:t>
      </w:r>
      <w:r w:rsidR="001C6A87">
        <w:rPr>
          <w:rFonts w:eastAsia="Calibri" w:cs="Calibri"/>
        </w:rPr>
        <w:t xml:space="preserve">American, Native Hawaiian, and </w:t>
      </w:r>
      <w:r w:rsidRPr="00FF3331">
        <w:rPr>
          <w:rFonts w:eastAsia="Calibri" w:cs="Calibri"/>
        </w:rPr>
        <w:t>Pacific Islander</w:t>
      </w:r>
      <w:r w:rsidR="003C048D">
        <w:rPr>
          <w:rFonts w:eastAsia="Calibri" w:cs="Calibri"/>
        </w:rPr>
        <w:t xml:space="preserve">, </w:t>
      </w:r>
      <w:r w:rsidRPr="00FF3331">
        <w:rPr>
          <w:rFonts w:eastAsia="Calibri" w:cs="Calibri"/>
        </w:rPr>
        <w:t>and Latinx communities</w:t>
      </w:r>
      <w:r>
        <w:rPr>
          <w:rFonts w:eastAsia="Calibri" w:cs="Calibri"/>
        </w:rPr>
        <w:t xml:space="preserve">. Partners will </w:t>
      </w:r>
      <w:r w:rsidRPr="00FF3331">
        <w:rPr>
          <w:rFonts w:eastAsia="Calibri" w:cs="Calibri"/>
        </w:rPr>
        <w:t>offer education and support in various formats</w:t>
      </w:r>
      <w:r>
        <w:rPr>
          <w:rFonts w:eastAsia="Calibri" w:cs="Calibri"/>
        </w:rPr>
        <w:t xml:space="preserve"> and</w:t>
      </w:r>
      <w:r w:rsidRPr="00FF3331">
        <w:rPr>
          <w:rFonts w:eastAsia="Calibri" w:cs="Calibri"/>
        </w:rPr>
        <w:t xml:space="preserve"> settings</w:t>
      </w:r>
      <w:r>
        <w:rPr>
          <w:rFonts w:eastAsia="Calibri" w:cs="Calibri"/>
        </w:rPr>
        <w:t>, including</w:t>
      </w:r>
      <w:r w:rsidRPr="00FF3331">
        <w:rPr>
          <w:rFonts w:eastAsia="Calibri" w:cs="Calibri"/>
        </w:rPr>
        <w:t xml:space="preserve"> health clinics, community centers. </w:t>
      </w:r>
    </w:p>
    <w:p w14:paraId="54C291CD" w14:textId="052BD978" w:rsidR="00A75850" w:rsidRPr="00F701AD" w:rsidRDefault="00A75850" w:rsidP="00025030">
      <w:pPr>
        <w:pStyle w:val="ListParagraph"/>
        <w:numPr>
          <w:ilvl w:val="0"/>
          <w:numId w:val="31"/>
        </w:numPr>
      </w:pPr>
      <w:r w:rsidRPr="00E070CB">
        <w:rPr>
          <w:rFonts w:eastAsia="Calibri" w:cs="Calibri"/>
          <w:b/>
        </w:rPr>
        <w:t>Capacity-</w:t>
      </w:r>
      <w:r>
        <w:rPr>
          <w:rFonts w:eastAsia="Calibri" w:cs="Calibri"/>
          <w:b/>
        </w:rPr>
        <w:t>B</w:t>
      </w:r>
      <w:r w:rsidRPr="00E070CB">
        <w:rPr>
          <w:rFonts w:eastAsia="Calibri" w:cs="Calibri"/>
          <w:b/>
        </w:rPr>
        <w:t>uilding Supports</w:t>
      </w:r>
      <w:r>
        <w:rPr>
          <w:rFonts w:eastAsia="Calibri" w:cs="Calibri"/>
          <w:b/>
        </w:rPr>
        <w:t xml:space="preserve"> and </w:t>
      </w:r>
      <w:r w:rsidRPr="2D71CCAF">
        <w:rPr>
          <w:rFonts w:eastAsia="Calibri" w:cs="Calibri"/>
          <w:b/>
          <w:bCs/>
        </w:rPr>
        <w:t>Model-Specific Technical Assistance</w:t>
      </w:r>
      <w:r w:rsidRPr="00E070CB">
        <w:rPr>
          <w:rFonts w:eastAsia="Calibri" w:cs="Calibri"/>
          <w:b/>
        </w:rPr>
        <w:t xml:space="preserve">: </w:t>
      </w:r>
      <w:r w:rsidRPr="00E070CB">
        <w:rPr>
          <w:rFonts w:eastAsia="Calibri" w:cs="Calibri"/>
          <w:bCs/>
          <w:i/>
          <w:iCs/>
        </w:rPr>
        <w:t xml:space="preserve">Best Starts </w:t>
      </w:r>
      <w:r>
        <w:rPr>
          <w:rFonts w:eastAsia="Calibri" w:cs="Calibri"/>
          <w:bCs/>
        </w:rPr>
        <w:t>pr</w:t>
      </w:r>
      <w:r w:rsidRPr="00E070CB">
        <w:rPr>
          <w:rFonts w:eastAsia="Calibri" w:cs="Calibri"/>
          <w:bCs/>
        </w:rPr>
        <w:t>ovides</w:t>
      </w:r>
      <w:r>
        <w:rPr>
          <w:rFonts w:eastAsia="Calibri" w:cs="Calibri"/>
          <w:bCs/>
        </w:rPr>
        <w:t xml:space="preserve"> capacity-building supports for funded CBPS programs to reach effective and equitable outcomes</w:t>
      </w:r>
      <w:r w:rsidRPr="00E070CB">
        <w:rPr>
          <w:rFonts w:eastAsia="Calibri" w:cs="Calibri"/>
        </w:rPr>
        <w:t>.</w:t>
      </w:r>
      <w:r>
        <w:rPr>
          <w:rFonts w:eastAsia="Calibri" w:cs="Calibri"/>
        </w:rPr>
        <w:t xml:space="preserve"> </w:t>
      </w:r>
      <w:r>
        <w:rPr>
          <w:rFonts w:eastAsia="Calibri" w:cs="Calibri"/>
          <w:i/>
          <w:iCs/>
        </w:rPr>
        <w:t xml:space="preserve">Best Starts </w:t>
      </w:r>
      <w:r>
        <w:rPr>
          <w:rFonts w:eastAsia="Calibri" w:cs="Calibri"/>
        </w:rPr>
        <w:t>also invests in model-specific technical assistance to</w:t>
      </w:r>
      <w:r w:rsidRPr="00E070CB">
        <w:rPr>
          <w:rFonts w:eastAsia="Calibri" w:cs="Calibri"/>
        </w:rPr>
        <w:t xml:space="preserve"> support new programs in building readiness to implement the model and in improving program fidelity and quality over time.</w:t>
      </w:r>
      <w:r>
        <w:rPr>
          <w:rStyle w:val="FootnoteReference"/>
          <w:rFonts w:eastAsia="Calibri" w:cs="Calibri"/>
        </w:rPr>
        <w:footnoteReference w:id="137"/>
      </w:r>
      <w:r w:rsidRPr="00E070CB">
        <w:rPr>
          <w:rFonts w:eastAsia="Calibri" w:cs="Calibri"/>
        </w:rPr>
        <w:t xml:space="preserve"> </w:t>
      </w:r>
    </w:p>
    <w:p w14:paraId="47605B56" w14:textId="77777777" w:rsidR="00A75850" w:rsidRDefault="00A75850" w:rsidP="00A75850">
      <w:pPr>
        <w:spacing w:line="257" w:lineRule="auto"/>
        <w:contextualSpacing/>
      </w:pPr>
    </w:p>
    <w:p w14:paraId="569CC15E" w14:textId="1B4505BC" w:rsidR="00A75850" w:rsidRDefault="00A75850" w:rsidP="00A75850">
      <w:pPr>
        <w:spacing w:line="257" w:lineRule="auto"/>
        <w:contextualSpacing/>
        <w:rPr>
          <w:rFonts w:eastAsia="Calibri" w:cs="Calibri"/>
        </w:rPr>
      </w:pPr>
      <w:r>
        <w:rPr>
          <w:rFonts w:eastAsia="Calibri" w:cs="Calibri"/>
          <w:b/>
          <w:bCs/>
        </w:rPr>
        <w:t xml:space="preserve">Approximate </w:t>
      </w:r>
      <w:r w:rsidR="000222A3">
        <w:rPr>
          <w:rFonts w:eastAsia="Calibri" w:cs="Calibri"/>
          <w:b/>
          <w:bCs/>
        </w:rPr>
        <w:t>Scope:</w:t>
      </w:r>
      <w:r>
        <w:rPr>
          <w:rFonts w:eastAsia="Calibri" w:cs="Calibri"/>
          <w:b/>
          <w:bCs/>
        </w:rPr>
        <w:t xml:space="preserve"> </w:t>
      </w:r>
      <w:r w:rsidR="008056E7" w:rsidRPr="005A73AC">
        <w:rPr>
          <w:rFonts w:eastAsia="Calibri" w:cs="Calibri"/>
          <w:i/>
          <w:iCs/>
        </w:rPr>
        <w:t>Best Starts</w:t>
      </w:r>
      <w:r w:rsidR="008056E7">
        <w:rPr>
          <w:rFonts w:eastAsia="Calibri" w:cs="Calibri"/>
        </w:rPr>
        <w:t xml:space="preserve"> intends to serve approximately </w:t>
      </w:r>
      <w:r w:rsidR="00673F90">
        <w:rPr>
          <w:rFonts w:eastAsia="Calibri" w:cs="Calibri"/>
        </w:rPr>
        <w:t>48,000 caregivers, children</w:t>
      </w:r>
      <w:r w:rsidR="00304DD4">
        <w:rPr>
          <w:rFonts w:eastAsia="Calibri" w:cs="Calibri"/>
        </w:rPr>
        <w:t>,</w:t>
      </w:r>
      <w:r w:rsidR="00673F90">
        <w:rPr>
          <w:rFonts w:eastAsia="Calibri" w:cs="Calibri"/>
        </w:rPr>
        <w:t xml:space="preserve"> and families through a combination of programming</w:t>
      </w:r>
      <w:r w:rsidR="005A73AC">
        <w:rPr>
          <w:rFonts w:eastAsia="Calibri" w:cs="Calibri"/>
        </w:rPr>
        <w:t xml:space="preserve"> annually</w:t>
      </w:r>
      <w:r w:rsidR="00081616">
        <w:rPr>
          <w:rFonts w:eastAsia="Calibri" w:cs="Calibri"/>
        </w:rPr>
        <w:t>.</w:t>
      </w:r>
    </w:p>
    <w:p w14:paraId="56B305CB" w14:textId="77777777" w:rsidR="00A75850" w:rsidRDefault="00A75850" w:rsidP="00A75850">
      <w:pPr>
        <w:spacing w:line="257" w:lineRule="auto"/>
        <w:contextualSpacing/>
        <w:rPr>
          <w:rFonts w:eastAsia="Calibri" w:cs="Calibri"/>
        </w:rPr>
      </w:pPr>
    </w:p>
    <w:p w14:paraId="2CF22400" w14:textId="06A6E686" w:rsidR="00A75850" w:rsidRPr="00F701AD" w:rsidRDefault="00A75850" w:rsidP="00A75850">
      <w:pPr>
        <w:spacing w:line="257" w:lineRule="auto"/>
        <w:contextualSpacing/>
      </w:pPr>
      <w:r>
        <w:rPr>
          <w:rFonts w:eastAsia="Calibri" w:cs="Calibri"/>
          <w:b/>
          <w:bCs/>
        </w:rPr>
        <w:t xml:space="preserve">Planned </w:t>
      </w:r>
      <w:r w:rsidRPr="00D03F1F">
        <w:rPr>
          <w:rFonts w:eastAsia="Calibri" w:cs="Calibri"/>
          <w:b/>
        </w:rPr>
        <w:t>Refinements</w:t>
      </w:r>
      <w:r>
        <w:rPr>
          <w:rFonts w:eastAsia="Calibri" w:cs="Calibri"/>
          <w:b/>
        </w:rPr>
        <w:t xml:space="preserve"> in </w:t>
      </w:r>
      <w:r w:rsidR="00356E24">
        <w:rPr>
          <w:rFonts w:eastAsia="Times New Roman" w:cs="Calibri"/>
          <w:b/>
          <w:bCs/>
          <w:i/>
          <w:iCs/>
        </w:rPr>
        <w:t xml:space="preserve">Best Starts for Kids </w:t>
      </w:r>
      <w:r w:rsidR="00356E24" w:rsidRPr="00043EE7">
        <w:rPr>
          <w:rFonts w:eastAsia="Times New Roman" w:cs="Calibri"/>
          <w:b/>
          <w:bCs/>
        </w:rPr>
        <w:t>2022-2027</w:t>
      </w:r>
      <w:r w:rsidR="001C10F9" w:rsidRPr="00043EE7">
        <w:rPr>
          <w:rFonts w:eastAsia="Times New Roman" w:cs="Calibri"/>
          <w:b/>
          <w:bCs/>
        </w:rPr>
        <w:t>:</w:t>
      </w:r>
      <w:r w:rsidR="00356E24" w:rsidRPr="00C4644D">
        <w:rPr>
          <w:rFonts w:eastAsia="Times New Roman" w:cs="Calibri"/>
          <w:b/>
          <w:bCs/>
        </w:rPr>
        <w:t>  </w:t>
      </w:r>
      <w:r w:rsidR="00356E24" w:rsidRPr="00C4644D">
        <w:rPr>
          <w:rFonts w:eastAsia="Times New Roman" w:cs="Calibri"/>
        </w:rPr>
        <w:t> </w:t>
      </w:r>
    </w:p>
    <w:p w14:paraId="605BD303" w14:textId="7BFABF5B" w:rsidR="00A75850" w:rsidRPr="00F701AD" w:rsidRDefault="00A75850" w:rsidP="009230D5">
      <w:pPr>
        <w:pStyle w:val="ListParagraph"/>
        <w:numPr>
          <w:ilvl w:val="0"/>
          <w:numId w:val="3"/>
        </w:numPr>
        <w:spacing w:line="257" w:lineRule="auto"/>
        <w:rPr>
          <w:b/>
        </w:rPr>
      </w:pPr>
      <w:r w:rsidRPr="00D03F1F">
        <w:rPr>
          <w:rFonts w:eastAsia="Calibri" w:cs="Calibri"/>
        </w:rPr>
        <w:t>To make the strategy more cohesive</w:t>
      </w:r>
      <w:r>
        <w:rPr>
          <w:rFonts w:eastAsia="Calibri" w:cs="Calibri"/>
        </w:rPr>
        <w:t xml:space="preserve">, </w:t>
      </w:r>
      <w:r>
        <w:rPr>
          <w:rFonts w:eastAsia="Calibri" w:cs="Calibri"/>
          <w:i/>
          <w:iCs/>
        </w:rPr>
        <w:t>Best Starts</w:t>
      </w:r>
      <w:r>
        <w:rPr>
          <w:rFonts w:eastAsia="Calibri" w:cs="Calibri"/>
        </w:rPr>
        <w:t xml:space="preserve"> will combine </w:t>
      </w:r>
      <w:r w:rsidRPr="00D03F1F">
        <w:rPr>
          <w:rFonts w:eastAsia="Calibri" w:cs="Calibri"/>
        </w:rPr>
        <w:t>Caregiver Peer Support</w:t>
      </w:r>
      <w:r>
        <w:rPr>
          <w:rFonts w:eastAsia="Calibri" w:cs="Calibri"/>
        </w:rPr>
        <w:t>s</w:t>
      </w:r>
      <w:r w:rsidR="0087761E">
        <w:rPr>
          <w:rStyle w:val="FootnoteReference"/>
          <w:rFonts w:eastAsia="Calibri" w:cs="Calibri"/>
        </w:rPr>
        <w:footnoteReference w:id="138"/>
      </w:r>
      <w:r w:rsidR="0087761E">
        <w:rPr>
          <w:rFonts w:eastAsia="Calibri" w:cs="Calibri"/>
        </w:rPr>
        <w:t xml:space="preserve"> </w:t>
      </w:r>
      <w:r>
        <w:rPr>
          <w:rFonts w:eastAsia="Calibri" w:cs="Calibri"/>
        </w:rPr>
        <w:t xml:space="preserve">and Community-Based Parenting into one body of work. </w:t>
      </w:r>
      <w:r w:rsidR="0081776E">
        <w:rPr>
          <w:rFonts w:eastAsia="Calibri" w:cs="Calibri"/>
        </w:rPr>
        <w:t>The combined program</w:t>
      </w:r>
      <w:r w:rsidRPr="00D03F1F">
        <w:rPr>
          <w:rFonts w:eastAsia="Calibri" w:cs="Calibri"/>
        </w:rPr>
        <w:t xml:space="preserve"> </w:t>
      </w:r>
      <w:r w:rsidR="00BF4347">
        <w:rPr>
          <w:rFonts w:eastAsia="Calibri" w:cs="Calibri"/>
        </w:rPr>
        <w:t>will</w:t>
      </w:r>
      <w:r w:rsidR="009B057A">
        <w:rPr>
          <w:rFonts w:eastAsia="Calibri" w:cs="Calibri"/>
        </w:rPr>
        <w:t xml:space="preserve"> </w:t>
      </w:r>
      <w:r w:rsidRPr="00D03F1F">
        <w:rPr>
          <w:rFonts w:eastAsia="Calibri" w:cs="Calibri"/>
        </w:rPr>
        <w:t>support</w:t>
      </w:r>
      <w:r w:rsidR="009B057A">
        <w:rPr>
          <w:rFonts w:eastAsia="Calibri" w:cs="Calibri"/>
        </w:rPr>
        <w:t xml:space="preserve"> </w:t>
      </w:r>
      <w:r w:rsidRPr="00D03F1F">
        <w:rPr>
          <w:rFonts w:eastAsia="Calibri" w:cs="Calibri"/>
        </w:rPr>
        <w:t xml:space="preserve">caregivers </w:t>
      </w:r>
      <w:r>
        <w:rPr>
          <w:rFonts w:eastAsia="Calibri" w:cs="Calibri"/>
        </w:rPr>
        <w:t xml:space="preserve">through peer support </w:t>
      </w:r>
      <w:r w:rsidRPr="00D03F1F">
        <w:rPr>
          <w:rFonts w:eastAsia="Calibri" w:cs="Calibri"/>
        </w:rPr>
        <w:t xml:space="preserve">in a community-based setting. </w:t>
      </w:r>
    </w:p>
    <w:p w14:paraId="3DBB1114" w14:textId="77777777" w:rsidR="00A75850" w:rsidRDefault="00A75850" w:rsidP="00A75850">
      <w:pPr>
        <w:spacing w:line="257" w:lineRule="auto"/>
        <w:contextualSpacing/>
        <w:rPr>
          <w:rFonts w:eastAsia="Calibri" w:cs="Calibri"/>
          <w:b/>
          <w:bCs/>
        </w:rPr>
      </w:pPr>
    </w:p>
    <w:p w14:paraId="7068FBF6" w14:textId="187DE768" w:rsidR="00DF4FB5" w:rsidRPr="00F701AD" w:rsidRDefault="00A75850" w:rsidP="00837D48">
      <w:pPr>
        <w:spacing w:line="257" w:lineRule="auto"/>
        <w:contextualSpacing/>
      </w:pPr>
      <w:r>
        <w:rPr>
          <w:rFonts w:eastAsia="Calibri" w:cs="Calibri"/>
          <w:b/>
          <w:bCs/>
        </w:rPr>
        <w:t xml:space="preserve">Anticipated </w:t>
      </w:r>
      <w:r w:rsidRPr="00D03F1F">
        <w:rPr>
          <w:rFonts w:eastAsia="Calibri" w:cs="Calibri"/>
          <w:b/>
        </w:rPr>
        <w:t>Timeline:</w:t>
      </w:r>
      <w:r>
        <w:rPr>
          <w:rFonts w:eastAsia="Calibri" w:cs="Calibri"/>
          <w:b/>
        </w:rPr>
        <w:t xml:space="preserve"> </w:t>
      </w:r>
      <w:r w:rsidR="00ED1BB4" w:rsidRPr="00AA22FB">
        <w:rPr>
          <w:rFonts w:eastAsia="Calibri" w:cs="Calibri"/>
          <w:bCs/>
        </w:rPr>
        <w:t>N</w:t>
      </w:r>
      <w:r>
        <w:rPr>
          <w:rFonts w:eastAsia="Calibri" w:cs="Calibri"/>
          <w:bCs/>
        </w:rPr>
        <w:t xml:space="preserve">ew RFPs </w:t>
      </w:r>
      <w:r w:rsidR="00AA22FB">
        <w:rPr>
          <w:rFonts w:eastAsia="Calibri" w:cs="Calibri"/>
          <w:bCs/>
        </w:rPr>
        <w:t xml:space="preserve">will be released </w:t>
      </w:r>
      <w:r>
        <w:rPr>
          <w:rFonts w:eastAsia="Calibri" w:cs="Calibri"/>
          <w:bCs/>
        </w:rPr>
        <w:t>in 2022-2023.</w:t>
      </w:r>
    </w:p>
    <w:p w14:paraId="687A14DC" w14:textId="2F4FD874" w:rsidR="00DF4FB5" w:rsidRPr="004E5AFF" w:rsidRDefault="00DF4FB5" w:rsidP="004E5AFF">
      <w:pPr>
        <w:contextualSpacing/>
      </w:pPr>
    </w:p>
    <w:p w14:paraId="1A6D88BE" w14:textId="77777777" w:rsidR="007B6484" w:rsidRDefault="007B6484">
      <w:bookmarkStart w:id="54" w:name="Early_Support_for_Infacts_and_Toddlers"/>
      <w:r>
        <w:br w:type="page"/>
      </w:r>
    </w:p>
    <w:tbl>
      <w:tblPr>
        <w:tblStyle w:val="TableGrid"/>
        <w:tblpPr w:leftFromText="180" w:rightFromText="180" w:vertAnchor="text" w:horzAnchor="margin" w:tblpY="79"/>
        <w:tblW w:w="9420" w:type="dxa"/>
        <w:tblLook w:val="04A0" w:firstRow="1" w:lastRow="0" w:firstColumn="1" w:lastColumn="0" w:noHBand="0" w:noVBand="1"/>
      </w:tblPr>
      <w:tblGrid>
        <w:gridCol w:w="9420"/>
      </w:tblGrid>
      <w:tr w:rsidR="00DF4FB5" w:rsidRPr="00D03F1F" w14:paraId="2F9C220A" w14:textId="77777777" w:rsidTr="00DD679E">
        <w:trPr>
          <w:trHeight w:val="390"/>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0581EA2" w14:textId="1C3C3030" w:rsidR="004E5AFF" w:rsidRPr="00EE121B" w:rsidRDefault="00DF4FB5" w:rsidP="00F8762A">
            <w:pPr>
              <w:contextualSpacing/>
              <w:rPr>
                <w:rFonts w:eastAsia="Calibri" w:cs="Calibri"/>
                <w:b/>
                <w:sz w:val="28"/>
                <w:szCs w:val="28"/>
              </w:rPr>
            </w:pPr>
            <w:r w:rsidRPr="00EE121B">
              <w:rPr>
                <w:rFonts w:eastAsia="Calibri" w:cs="Calibri"/>
                <w:b/>
                <w:sz w:val="28"/>
                <w:szCs w:val="28"/>
              </w:rPr>
              <w:lastRenderedPageBreak/>
              <w:t>Early Support for Infants and Toddlers</w:t>
            </w:r>
            <w:bookmarkEnd w:id="54"/>
          </w:p>
        </w:tc>
      </w:tr>
    </w:tbl>
    <w:tbl>
      <w:tblPr>
        <w:tblW w:w="9450" w:type="dxa"/>
        <w:tblLook w:val="04A0" w:firstRow="1" w:lastRow="0" w:firstColumn="1" w:lastColumn="0" w:noHBand="0" w:noVBand="1"/>
      </w:tblPr>
      <w:tblGrid>
        <w:gridCol w:w="975"/>
        <w:gridCol w:w="1191"/>
        <w:gridCol w:w="1191"/>
        <w:gridCol w:w="1190"/>
        <w:gridCol w:w="1190"/>
        <w:gridCol w:w="1190"/>
        <w:gridCol w:w="1190"/>
        <w:gridCol w:w="1333"/>
      </w:tblGrid>
      <w:tr w:rsidR="00AB1F52" w:rsidRPr="00AB1F52" w14:paraId="6823A1BE" w14:textId="16A99EFC" w:rsidTr="000A3D63">
        <w:trPr>
          <w:trHeight w:val="274"/>
        </w:trPr>
        <w:tc>
          <w:tcPr>
            <w:tcW w:w="9450" w:type="dxa"/>
            <w:gridSpan w:val="8"/>
            <w:tcBorders>
              <w:top w:val="nil"/>
              <w:left w:val="nil"/>
              <w:bottom w:val="single" w:sz="12" w:space="0" w:color="FFD966"/>
              <w:right w:val="nil"/>
            </w:tcBorders>
            <w:shd w:val="clear" w:color="auto" w:fill="auto"/>
            <w:noWrap/>
            <w:vAlign w:val="bottom"/>
            <w:hideMark/>
          </w:tcPr>
          <w:p w14:paraId="37AC4D70" w14:textId="77777777" w:rsidR="00AB1F52" w:rsidRPr="00AB1F52" w:rsidRDefault="00AB1F52" w:rsidP="00AB1F52">
            <w:pPr>
              <w:spacing w:line="240" w:lineRule="auto"/>
              <w:rPr>
                <w:rFonts w:eastAsia="Times New Roman" w:cs="Calibri"/>
                <w:b/>
                <w:bCs/>
                <w:i/>
                <w:iCs/>
                <w:color w:val="000000"/>
              </w:rPr>
            </w:pPr>
            <w:r w:rsidRPr="00AB1F52">
              <w:rPr>
                <w:rFonts w:eastAsia="Times New Roman" w:cs="Calibri"/>
                <w:b/>
                <w:bCs/>
                <w:i/>
                <w:iCs/>
                <w:color w:val="000000"/>
              </w:rPr>
              <w:t>Funding Estimate:</w:t>
            </w:r>
          </w:p>
        </w:tc>
      </w:tr>
      <w:tr w:rsidR="009F28D9" w:rsidRPr="00AB1F52" w14:paraId="32760942" w14:textId="6B6E687A" w:rsidTr="000A3D63">
        <w:trPr>
          <w:trHeight w:val="365"/>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3A00F0FB" w14:textId="77777777" w:rsidR="00AB1F52" w:rsidRPr="00AB1F52" w:rsidRDefault="00AB1F52" w:rsidP="00AB1F52">
            <w:pPr>
              <w:spacing w:line="240" w:lineRule="auto"/>
              <w:rPr>
                <w:rFonts w:eastAsia="Times New Roman" w:cs="Calibri"/>
                <w:b/>
                <w:bCs/>
                <w:i/>
                <w:iCs/>
              </w:rPr>
            </w:pPr>
            <w:r w:rsidRPr="00AB1F52">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5129A9CB" w14:textId="77777777" w:rsidR="00AB1F52" w:rsidRPr="00AB1F52" w:rsidRDefault="00AB1F52" w:rsidP="00AB1F52">
            <w:pPr>
              <w:spacing w:line="240" w:lineRule="auto"/>
              <w:jc w:val="right"/>
              <w:rPr>
                <w:rFonts w:eastAsia="Times New Roman" w:cs="Calibri"/>
              </w:rPr>
            </w:pPr>
            <w:r w:rsidRPr="00AB1F52">
              <w:rPr>
                <w:rFonts w:eastAsia="Times New Roman" w:cs="Calibri"/>
              </w:rPr>
              <w:t>2022</w:t>
            </w:r>
          </w:p>
        </w:tc>
        <w:tc>
          <w:tcPr>
            <w:tcW w:w="1191" w:type="dxa"/>
            <w:tcBorders>
              <w:top w:val="nil"/>
              <w:left w:val="nil"/>
              <w:bottom w:val="single" w:sz="8" w:space="0" w:color="FFD966"/>
              <w:right w:val="single" w:sz="8" w:space="0" w:color="FFD966"/>
            </w:tcBorders>
            <w:shd w:val="clear" w:color="000000" w:fill="D9E1F2"/>
            <w:noWrap/>
            <w:vAlign w:val="center"/>
            <w:hideMark/>
          </w:tcPr>
          <w:p w14:paraId="4663BE11" w14:textId="77777777" w:rsidR="00AB1F52" w:rsidRPr="00AB1F52" w:rsidRDefault="00AB1F52" w:rsidP="00AB1F52">
            <w:pPr>
              <w:spacing w:line="240" w:lineRule="auto"/>
              <w:jc w:val="right"/>
              <w:rPr>
                <w:rFonts w:eastAsia="Times New Roman" w:cs="Calibri"/>
              </w:rPr>
            </w:pPr>
            <w:r w:rsidRPr="00AB1F52">
              <w:rPr>
                <w:rFonts w:eastAsia="Times New Roman" w:cs="Calibri"/>
              </w:rPr>
              <w:t>2023</w:t>
            </w:r>
          </w:p>
        </w:tc>
        <w:tc>
          <w:tcPr>
            <w:tcW w:w="1190" w:type="dxa"/>
            <w:tcBorders>
              <w:top w:val="nil"/>
              <w:left w:val="nil"/>
              <w:bottom w:val="single" w:sz="8" w:space="0" w:color="FFD966"/>
              <w:right w:val="single" w:sz="8" w:space="0" w:color="FFD966"/>
            </w:tcBorders>
            <w:shd w:val="clear" w:color="000000" w:fill="D9E1F2"/>
            <w:noWrap/>
            <w:vAlign w:val="center"/>
            <w:hideMark/>
          </w:tcPr>
          <w:p w14:paraId="7B7F6C89" w14:textId="77777777" w:rsidR="00AB1F52" w:rsidRPr="00AB1F52" w:rsidRDefault="00AB1F52" w:rsidP="00AB1F52">
            <w:pPr>
              <w:spacing w:line="240" w:lineRule="auto"/>
              <w:jc w:val="right"/>
              <w:rPr>
                <w:rFonts w:eastAsia="Times New Roman" w:cs="Calibri"/>
              </w:rPr>
            </w:pPr>
            <w:r w:rsidRPr="00AB1F52">
              <w:rPr>
                <w:rFonts w:eastAsia="Times New Roman" w:cs="Calibri"/>
              </w:rPr>
              <w:t>2024</w:t>
            </w:r>
          </w:p>
        </w:tc>
        <w:tc>
          <w:tcPr>
            <w:tcW w:w="1190" w:type="dxa"/>
            <w:tcBorders>
              <w:top w:val="nil"/>
              <w:left w:val="nil"/>
              <w:bottom w:val="single" w:sz="8" w:space="0" w:color="FFD966"/>
              <w:right w:val="single" w:sz="8" w:space="0" w:color="FFD966"/>
            </w:tcBorders>
            <w:shd w:val="clear" w:color="000000" w:fill="D9E1F2"/>
            <w:noWrap/>
            <w:vAlign w:val="center"/>
            <w:hideMark/>
          </w:tcPr>
          <w:p w14:paraId="6273C638" w14:textId="77777777" w:rsidR="00AB1F52" w:rsidRPr="00AB1F52" w:rsidRDefault="00AB1F52" w:rsidP="00AB1F52">
            <w:pPr>
              <w:spacing w:line="240" w:lineRule="auto"/>
              <w:jc w:val="right"/>
              <w:rPr>
                <w:rFonts w:eastAsia="Times New Roman" w:cs="Calibri"/>
              </w:rPr>
            </w:pPr>
            <w:r w:rsidRPr="00AB1F52">
              <w:rPr>
                <w:rFonts w:eastAsia="Times New Roman" w:cs="Calibri"/>
              </w:rPr>
              <w:t>2025</w:t>
            </w:r>
          </w:p>
        </w:tc>
        <w:tc>
          <w:tcPr>
            <w:tcW w:w="1190" w:type="dxa"/>
            <w:tcBorders>
              <w:top w:val="nil"/>
              <w:left w:val="nil"/>
              <w:bottom w:val="single" w:sz="8" w:space="0" w:color="FFD966"/>
              <w:right w:val="single" w:sz="8" w:space="0" w:color="FFD966"/>
            </w:tcBorders>
            <w:shd w:val="clear" w:color="000000" w:fill="D9E1F2"/>
            <w:noWrap/>
            <w:vAlign w:val="center"/>
            <w:hideMark/>
          </w:tcPr>
          <w:p w14:paraId="0E883554" w14:textId="77777777" w:rsidR="00AB1F52" w:rsidRPr="00AB1F52" w:rsidRDefault="00AB1F52" w:rsidP="00AB1F52">
            <w:pPr>
              <w:spacing w:line="240" w:lineRule="auto"/>
              <w:jc w:val="right"/>
              <w:rPr>
                <w:rFonts w:eastAsia="Times New Roman" w:cs="Calibri"/>
              </w:rPr>
            </w:pPr>
            <w:r w:rsidRPr="00AB1F52">
              <w:rPr>
                <w:rFonts w:eastAsia="Times New Roman" w:cs="Calibri"/>
              </w:rPr>
              <w:t>2026</w:t>
            </w:r>
          </w:p>
        </w:tc>
        <w:tc>
          <w:tcPr>
            <w:tcW w:w="1190" w:type="dxa"/>
            <w:tcBorders>
              <w:top w:val="nil"/>
              <w:left w:val="nil"/>
              <w:bottom w:val="single" w:sz="8" w:space="0" w:color="FFD966"/>
              <w:right w:val="single" w:sz="8" w:space="0" w:color="FFD966"/>
            </w:tcBorders>
            <w:shd w:val="clear" w:color="000000" w:fill="D9E1F2"/>
            <w:noWrap/>
            <w:vAlign w:val="center"/>
            <w:hideMark/>
          </w:tcPr>
          <w:p w14:paraId="1A7288F9" w14:textId="77777777" w:rsidR="00AB1F52" w:rsidRPr="00AB1F52" w:rsidRDefault="00AB1F52" w:rsidP="00AB1F52">
            <w:pPr>
              <w:spacing w:line="240" w:lineRule="auto"/>
              <w:jc w:val="right"/>
              <w:rPr>
                <w:rFonts w:eastAsia="Times New Roman" w:cs="Calibri"/>
              </w:rPr>
            </w:pPr>
            <w:r w:rsidRPr="00AB1F52">
              <w:rPr>
                <w:rFonts w:eastAsia="Times New Roman" w:cs="Calibri"/>
              </w:rPr>
              <w:t>2027</w:t>
            </w:r>
          </w:p>
        </w:tc>
        <w:tc>
          <w:tcPr>
            <w:tcW w:w="1333" w:type="dxa"/>
            <w:tcBorders>
              <w:top w:val="nil"/>
              <w:left w:val="nil"/>
              <w:bottom w:val="single" w:sz="8" w:space="0" w:color="FFD966"/>
              <w:right w:val="single" w:sz="12" w:space="0" w:color="FFD966"/>
            </w:tcBorders>
            <w:shd w:val="clear" w:color="000000" w:fill="D9E1F2"/>
            <w:noWrap/>
            <w:vAlign w:val="center"/>
            <w:hideMark/>
          </w:tcPr>
          <w:p w14:paraId="36FD6770" w14:textId="77777777" w:rsidR="00AB1F52" w:rsidRPr="00AB1F52" w:rsidRDefault="00AB1F52" w:rsidP="00AB1F52">
            <w:pPr>
              <w:spacing w:line="240" w:lineRule="auto"/>
              <w:jc w:val="right"/>
              <w:rPr>
                <w:rFonts w:eastAsia="Times New Roman" w:cs="Calibri"/>
                <w:b/>
                <w:bCs/>
                <w:i/>
                <w:iCs/>
              </w:rPr>
            </w:pPr>
            <w:r w:rsidRPr="00AB1F52">
              <w:rPr>
                <w:rFonts w:eastAsia="Times New Roman" w:cs="Calibri"/>
                <w:b/>
                <w:bCs/>
                <w:i/>
                <w:iCs/>
              </w:rPr>
              <w:t>Total</w:t>
            </w:r>
          </w:p>
        </w:tc>
      </w:tr>
      <w:tr w:rsidR="00AB1F52" w:rsidRPr="00AB1F52" w14:paraId="3A33E0B3" w14:textId="5C9EC054" w:rsidTr="000A3D63">
        <w:trPr>
          <w:trHeight w:val="365"/>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754DED15" w14:textId="77777777" w:rsidR="00AB1F52" w:rsidRPr="00AB1F52" w:rsidRDefault="00AB1F52" w:rsidP="00AB1F52">
            <w:pPr>
              <w:spacing w:line="240" w:lineRule="auto"/>
              <w:rPr>
                <w:rFonts w:eastAsia="Times New Roman" w:cs="Calibri"/>
                <w:b/>
                <w:bCs/>
                <w:i/>
                <w:iCs/>
                <w:color w:val="000000"/>
              </w:rPr>
            </w:pPr>
            <w:r w:rsidRPr="00AB1F52">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498D431A"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$4,500,000 </w:t>
            </w:r>
          </w:p>
        </w:tc>
        <w:tc>
          <w:tcPr>
            <w:tcW w:w="1191" w:type="dxa"/>
            <w:tcBorders>
              <w:top w:val="nil"/>
              <w:left w:val="nil"/>
              <w:bottom w:val="single" w:sz="12" w:space="0" w:color="FFD966"/>
              <w:right w:val="single" w:sz="8" w:space="0" w:color="FFD966"/>
            </w:tcBorders>
            <w:shd w:val="clear" w:color="auto" w:fill="auto"/>
            <w:noWrap/>
            <w:vAlign w:val="center"/>
            <w:hideMark/>
          </w:tcPr>
          <w:p w14:paraId="4B541BAE"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$4,599,000 </w:t>
            </w:r>
          </w:p>
        </w:tc>
        <w:tc>
          <w:tcPr>
            <w:tcW w:w="1190" w:type="dxa"/>
            <w:tcBorders>
              <w:top w:val="nil"/>
              <w:left w:val="nil"/>
              <w:bottom w:val="single" w:sz="12" w:space="0" w:color="FFD966"/>
              <w:right w:val="single" w:sz="8" w:space="0" w:color="FFD966"/>
            </w:tcBorders>
            <w:shd w:val="clear" w:color="auto" w:fill="auto"/>
            <w:noWrap/>
            <w:vAlign w:val="center"/>
            <w:hideMark/>
          </w:tcPr>
          <w:p w14:paraId="74B6B6E1"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$4,700,000 </w:t>
            </w:r>
          </w:p>
        </w:tc>
        <w:tc>
          <w:tcPr>
            <w:tcW w:w="1190" w:type="dxa"/>
            <w:tcBorders>
              <w:top w:val="nil"/>
              <w:left w:val="nil"/>
              <w:bottom w:val="single" w:sz="12" w:space="0" w:color="FFD966"/>
              <w:right w:val="single" w:sz="8" w:space="0" w:color="FFD966"/>
            </w:tcBorders>
            <w:shd w:val="clear" w:color="auto" w:fill="auto"/>
            <w:noWrap/>
            <w:vAlign w:val="center"/>
            <w:hideMark/>
          </w:tcPr>
          <w:p w14:paraId="2092B952"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$4,804,000 </w:t>
            </w:r>
          </w:p>
        </w:tc>
        <w:tc>
          <w:tcPr>
            <w:tcW w:w="1190" w:type="dxa"/>
            <w:tcBorders>
              <w:top w:val="nil"/>
              <w:left w:val="nil"/>
              <w:bottom w:val="single" w:sz="12" w:space="0" w:color="FFD966"/>
              <w:right w:val="single" w:sz="8" w:space="0" w:color="FFD966"/>
            </w:tcBorders>
            <w:shd w:val="clear" w:color="auto" w:fill="auto"/>
            <w:noWrap/>
            <w:vAlign w:val="center"/>
            <w:hideMark/>
          </w:tcPr>
          <w:p w14:paraId="37DC41B3"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$4,909,000 </w:t>
            </w:r>
          </w:p>
        </w:tc>
        <w:tc>
          <w:tcPr>
            <w:tcW w:w="1190" w:type="dxa"/>
            <w:tcBorders>
              <w:top w:val="nil"/>
              <w:left w:val="nil"/>
              <w:bottom w:val="single" w:sz="12" w:space="0" w:color="FFD966"/>
              <w:right w:val="single" w:sz="8" w:space="0" w:color="FFD966"/>
            </w:tcBorders>
            <w:shd w:val="clear" w:color="auto" w:fill="auto"/>
            <w:noWrap/>
            <w:vAlign w:val="center"/>
            <w:hideMark/>
          </w:tcPr>
          <w:p w14:paraId="17D151BD"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$5,017,000 </w:t>
            </w:r>
          </w:p>
        </w:tc>
        <w:tc>
          <w:tcPr>
            <w:tcW w:w="1333" w:type="dxa"/>
            <w:tcBorders>
              <w:top w:val="nil"/>
              <w:left w:val="nil"/>
              <w:bottom w:val="single" w:sz="12" w:space="0" w:color="FFD966"/>
              <w:right w:val="single" w:sz="12" w:space="0" w:color="FFD966"/>
            </w:tcBorders>
            <w:shd w:val="clear" w:color="auto" w:fill="auto"/>
            <w:noWrap/>
            <w:vAlign w:val="center"/>
            <w:hideMark/>
          </w:tcPr>
          <w:p w14:paraId="54396DBD" w14:textId="77777777" w:rsidR="00AB1F52" w:rsidRPr="00AB1F52" w:rsidRDefault="00AB1F52" w:rsidP="00AB1F52">
            <w:pPr>
              <w:spacing w:line="240" w:lineRule="auto"/>
              <w:jc w:val="right"/>
              <w:rPr>
                <w:rFonts w:eastAsia="Times New Roman" w:cs="Calibri"/>
                <w:b/>
                <w:bCs/>
                <w:color w:val="000000"/>
              </w:rPr>
            </w:pPr>
            <w:r w:rsidRPr="00AB1F52">
              <w:rPr>
                <w:rFonts w:eastAsia="Times New Roman" w:cs="Calibri"/>
                <w:b/>
                <w:bCs/>
                <w:color w:val="000000"/>
              </w:rPr>
              <w:t xml:space="preserve">$28,529,000 </w:t>
            </w:r>
          </w:p>
        </w:tc>
      </w:tr>
    </w:tbl>
    <w:p w14:paraId="31192459" w14:textId="77777777" w:rsidR="003E5406" w:rsidRDefault="003E5406" w:rsidP="00DF4FB5">
      <w:pPr>
        <w:contextualSpacing/>
        <w:rPr>
          <w:rFonts w:eastAsia="Calibri" w:cs="Calibri"/>
          <w:b/>
          <w:bCs/>
          <w:color w:val="1D1D1D"/>
        </w:rPr>
      </w:pPr>
    </w:p>
    <w:p w14:paraId="3CD387B8" w14:textId="77E3899E" w:rsidR="00DF4FB5" w:rsidRPr="00F701AD" w:rsidRDefault="00DF4FB5" w:rsidP="00DF4FB5">
      <w:pPr>
        <w:contextualSpacing/>
        <w:rPr>
          <w:rFonts w:eastAsia="Calibri" w:cs="Calibri"/>
          <w:color w:val="1D1D1D"/>
        </w:rPr>
      </w:pPr>
      <w:r w:rsidRPr="7086B3A1">
        <w:rPr>
          <w:rFonts w:eastAsia="Calibri" w:cs="Calibri"/>
          <w:b/>
          <w:bCs/>
          <w:color w:val="1D1D1D"/>
        </w:rPr>
        <w:t>Description</w:t>
      </w:r>
      <w:r w:rsidRPr="7086B3A1">
        <w:rPr>
          <w:rFonts w:eastAsia="Calibri" w:cs="Calibri"/>
          <w:color w:val="1D1D1D"/>
        </w:rPr>
        <w:t xml:space="preserve">:  </w:t>
      </w:r>
    </w:p>
    <w:p w14:paraId="0BEA6128" w14:textId="255C36E4" w:rsidR="003B1F44" w:rsidRDefault="003B1F44" w:rsidP="004701D1">
      <w:pPr>
        <w:contextualSpacing/>
        <w:rPr>
          <w:rFonts w:eastAsia="Calibri" w:cs="Calibri"/>
        </w:rPr>
      </w:pPr>
      <w:r w:rsidRPr="00D03F1F">
        <w:rPr>
          <w:rFonts w:eastAsia="Calibri" w:cs="Calibri"/>
          <w:color w:val="1D1D1D"/>
        </w:rPr>
        <w:t>Early Support for Infants and Toddlers (</w:t>
      </w:r>
      <w:r w:rsidRPr="00D03F1F">
        <w:rPr>
          <w:rFonts w:eastAsia="Calibri" w:cs="Calibri"/>
          <w:color w:val="000000" w:themeColor="text1"/>
        </w:rPr>
        <w:t>ESIT)</w:t>
      </w:r>
      <w:r>
        <w:rPr>
          <w:rFonts w:eastAsia="Calibri" w:cs="Calibri"/>
          <w:color w:val="000000" w:themeColor="text1"/>
        </w:rPr>
        <w:t xml:space="preserve"> promotes equitable outcomes for</w:t>
      </w:r>
      <w:r w:rsidRPr="00D03F1F">
        <w:rPr>
          <w:rFonts w:eastAsia="Calibri" w:cs="Calibri"/>
          <w:color w:val="000000" w:themeColor="text1"/>
        </w:rPr>
        <w:t xml:space="preserve"> families with children, age</w:t>
      </w:r>
      <w:r>
        <w:rPr>
          <w:rFonts w:eastAsia="Calibri" w:cs="Calibri"/>
          <w:color w:val="000000" w:themeColor="text1"/>
        </w:rPr>
        <w:t xml:space="preserve">d </w:t>
      </w:r>
      <w:r w:rsidRPr="00D03F1F">
        <w:rPr>
          <w:rFonts w:eastAsia="Calibri" w:cs="Calibri"/>
          <w:color w:val="000000" w:themeColor="text1"/>
        </w:rPr>
        <w:t>birth to three, who have developmental delays or di</w:t>
      </w:r>
      <w:r>
        <w:rPr>
          <w:rFonts w:eastAsia="Calibri" w:cs="Calibri"/>
          <w:color w:val="000000" w:themeColor="text1"/>
        </w:rPr>
        <w:t>s</w:t>
      </w:r>
      <w:r w:rsidRPr="00D03F1F">
        <w:rPr>
          <w:rFonts w:eastAsia="Calibri" w:cs="Calibri"/>
          <w:color w:val="000000" w:themeColor="text1"/>
        </w:rPr>
        <w:t>abilities</w:t>
      </w:r>
      <w:r w:rsidR="00791013">
        <w:rPr>
          <w:rFonts w:eastAsia="Calibri" w:cs="Calibri"/>
          <w:color w:val="000000" w:themeColor="text1"/>
        </w:rPr>
        <w:t xml:space="preserve">. </w:t>
      </w:r>
      <w:r w:rsidRPr="00D03F1F">
        <w:rPr>
          <w:rFonts w:eastAsia="Calibri" w:cs="Calibri"/>
        </w:rPr>
        <w:t>Eligible infants and toddlers</w:t>
      </w:r>
      <w:r w:rsidR="00FE3A29">
        <w:rPr>
          <w:rFonts w:eastAsia="Calibri" w:cs="Calibri"/>
        </w:rPr>
        <w:t>,</w:t>
      </w:r>
      <w:r w:rsidRPr="00D03F1F">
        <w:rPr>
          <w:rFonts w:eastAsia="Calibri" w:cs="Calibri"/>
        </w:rPr>
        <w:t xml:space="preserve"> and their families</w:t>
      </w:r>
      <w:r w:rsidR="00FE3A29">
        <w:rPr>
          <w:rFonts w:eastAsia="Calibri" w:cs="Calibri"/>
        </w:rPr>
        <w:t>,</w:t>
      </w:r>
      <w:r w:rsidRPr="00D03F1F">
        <w:rPr>
          <w:rFonts w:eastAsia="Calibri" w:cs="Calibri"/>
        </w:rPr>
        <w:t xml:space="preserve"> are entitled to individualized, quality developmental services in accordance with the federal Individuals with Disabilities Education Act (IDEA), Part C</w:t>
      </w:r>
      <w:r w:rsidR="00E07F73">
        <w:rPr>
          <w:rFonts w:eastAsia="Calibri" w:cs="Calibri"/>
        </w:rPr>
        <w:t>.</w:t>
      </w:r>
      <w:r w:rsidR="00920E84">
        <w:rPr>
          <w:rStyle w:val="FootnoteReference"/>
          <w:rFonts w:eastAsia="Calibri" w:cs="Calibri"/>
          <w:color w:val="000000" w:themeColor="text1"/>
        </w:rPr>
        <w:footnoteReference w:id="139"/>
      </w:r>
      <w:r w:rsidRPr="00CB4759">
        <w:rPr>
          <w:rFonts w:eastAsia="Calibri" w:cs="Calibri"/>
          <w:color w:val="000000" w:themeColor="text1"/>
        </w:rPr>
        <w:t xml:space="preserve"> </w:t>
      </w:r>
      <w:r w:rsidR="00CB4759">
        <w:rPr>
          <w:rFonts w:eastAsia="Calibri" w:cs="Calibri"/>
          <w:color w:val="000000" w:themeColor="text1"/>
        </w:rPr>
        <w:t>Services include Family Resources Coordination, education</w:t>
      </w:r>
      <w:r w:rsidR="00567605">
        <w:rPr>
          <w:rFonts w:eastAsia="Calibri" w:cs="Calibri"/>
          <w:color w:val="000000" w:themeColor="text1"/>
        </w:rPr>
        <w:t xml:space="preserve"> and </w:t>
      </w:r>
      <w:r w:rsidR="00CB4759">
        <w:rPr>
          <w:rFonts w:eastAsia="Calibri" w:cs="Calibri"/>
          <w:color w:val="000000" w:themeColor="text1"/>
        </w:rPr>
        <w:t>speech or motor therapies</w:t>
      </w:r>
      <w:r w:rsidR="00567605">
        <w:rPr>
          <w:rFonts w:eastAsia="Calibri" w:cs="Calibri"/>
          <w:color w:val="000000" w:themeColor="text1"/>
        </w:rPr>
        <w:t>,</w:t>
      </w:r>
      <w:r w:rsidR="00CB4759">
        <w:rPr>
          <w:rFonts w:eastAsia="Calibri" w:cs="Calibri"/>
          <w:color w:val="000000" w:themeColor="text1"/>
        </w:rPr>
        <w:t xml:space="preserve"> and take place</w:t>
      </w:r>
      <w:r w:rsidR="00CB4759" w:rsidRPr="71D2A87E">
        <w:rPr>
          <w:rFonts w:eastAsia="Calibri" w:cs="Calibri"/>
        </w:rPr>
        <w:t xml:space="preserve"> </w:t>
      </w:r>
      <w:r w:rsidR="00CB4759">
        <w:rPr>
          <w:rFonts w:eastAsia="Calibri" w:cs="Calibri"/>
        </w:rPr>
        <w:t xml:space="preserve">at </w:t>
      </w:r>
      <w:r w:rsidR="00CB4759" w:rsidRPr="00D03F1F">
        <w:rPr>
          <w:rFonts w:eastAsia="Calibri" w:cs="Calibri"/>
        </w:rPr>
        <w:t>home, childcare, and</w:t>
      </w:r>
      <w:r w:rsidR="00CB4759">
        <w:rPr>
          <w:rFonts w:eastAsia="Calibri" w:cs="Calibri"/>
        </w:rPr>
        <w:t xml:space="preserve"> </w:t>
      </w:r>
      <w:r w:rsidR="00CB4759" w:rsidRPr="00D03F1F">
        <w:rPr>
          <w:rFonts w:eastAsia="Calibri" w:cs="Calibri"/>
        </w:rPr>
        <w:t>communit</w:t>
      </w:r>
      <w:r w:rsidR="00CB4759">
        <w:rPr>
          <w:rFonts w:eastAsia="Calibri" w:cs="Calibri"/>
        </w:rPr>
        <w:t>y settings</w:t>
      </w:r>
      <w:r w:rsidR="001F36F4">
        <w:rPr>
          <w:rFonts w:eastAsia="Calibri" w:cs="Calibri"/>
        </w:rPr>
        <w:t>.</w:t>
      </w:r>
      <w:r w:rsidRPr="00D03F1F">
        <w:rPr>
          <w:rFonts w:eastAsia="Calibri" w:cs="Calibri"/>
        </w:rPr>
        <w:t xml:space="preserve"> </w:t>
      </w:r>
      <w:bookmarkStart w:id="56" w:name="_Hlk74632178"/>
    </w:p>
    <w:bookmarkEnd w:id="56"/>
    <w:p w14:paraId="7767FC9D" w14:textId="77777777" w:rsidR="00D946F9" w:rsidRDefault="00D946F9" w:rsidP="004D6CDF">
      <w:pPr>
        <w:contextualSpacing/>
        <w:rPr>
          <w:rFonts w:eastAsia="Calibri" w:cs="Calibri"/>
          <w:b/>
          <w:bCs/>
        </w:rPr>
      </w:pPr>
    </w:p>
    <w:p w14:paraId="50B2A49C" w14:textId="024A8372" w:rsidR="00E03A27" w:rsidRDefault="003B1F44" w:rsidP="00E03A27">
      <w:pPr>
        <w:contextualSpacing/>
        <w:rPr>
          <w:rFonts w:eastAsia="Calibri" w:cs="Calibri"/>
        </w:rPr>
      </w:pPr>
      <w:r>
        <w:rPr>
          <w:rFonts w:eastAsia="Calibri" w:cs="Calibri"/>
          <w:b/>
          <w:bCs/>
        </w:rPr>
        <w:t xml:space="preserve">Approximate </w:t>
      </w:r>
      <w:r w:rsidR="00902C07">
        <w:rPr>
          <w:rFonts w:eastAsia="Calibri" w:cs="Calibri"/>
          <w:b/>
          <w:bCs/>
        </w:rPr>
        <w:t>Scope</w:t>
      </w:r>
      <w:r w:rsidR="007E27BF">
        <w:rPr>
          <w:rFonts w:eastAsia="Calibri" w:cs="Calibri"/>
          <w:b/>
          <w:bCs/>
        </w:rPr>
        <w:t>:</w:t>
      </w:r>
      <w:r>
        <w:rPr>
          <w:rFonts w:eastAsia="Calibri" w:cs="Calibri"/>
          <w:b/>
          <w:bCs/>
        </w:rPr>
        <w:t xml:space="preserve"> </w:t>
      </w:r>
      <w:r w:rsidR="00E03A27" w:rsidRPr="00354EFE">
        <w:rPr>
          <w:rFonts w:eastAsia="Calibri" w:cs="Calibri"/>
          <w:i/>
        </w:rPr>
        <w:t>Best Starts</w:t>
      </w:r>
      <w:r w:rsidR="00E03A27" w:rsidRPr="00D03F1F">
        <w:rPr>
          <w:rFonts w:eastAsia="Calibri" w:cs="Calibri"/>
        </w:rPr>
        <w:t xml:space="preserve"> for Kids funding </w:t>
      </w:r>
      <w:r w:rsidR="00E03A27">
        <w:rPr>
          <w:rFonts w:eastAsia="Calibri" w:cs="Calibri"/>
        </w:rPr>
        <w:t>supported growth in</w:t>
      </w:r>
      <w:r w:rsidR="00E03A27" w:rsidRPr="00D03F1F">
        <w:rPr>
          <w:rFonts w:eastAsia="Calibri" w:cs="Calibri"/>
        </w:rPr>
        <w:t xml:space="preserve"> the number of children </w:t>
      </w:r>
      <w:r w:rsidR="00E03A27" w:rsidRPr="5C3536B0">
        <w:rPr>
          <w:rFonts w:eastAsia="Calibri" w:cs="Calibri"/>
        </w:rPr>
        <w:t>served by</w:t>
      </w:r>
      <w:r w:rsidR="00E03A27" w:rsidRPr="00D03F1F">
        <w:rPr>
          <w:rFonts w:eastAsia="Calibri" w:cs="Calibri"/>
        </w:rPr>
        <w:t xml:space="preserve"> ESIT by 44</w:t>
      </w:r>
      <w:r w:rsidR="00CB5A88">
        <w:rPr>
          <w:rFonts w:eastAsia="Calibri" w:cs="Calibri"/>
        </w:rPr>
        <w:t xml:space="preserve"> </w:t>
      </w:r>
      <w:r w:rsidR="00FE291C">
        <w:rPr>
          <w:rFonts w:eastAsia="Calibri" w:cs="Calibri"/>
        </w:rPr>
        <w:t>percent</w:t>
      </w:r>
      <w:r w:rsidR="00E03A27" w:rsidRPr="00D03F1F">
        <w:rPr>
          <w:rFonts w:eastAsia="Calibri" w:cs="Calibri"/>
        </w:rPr>
        <w:t>, from 3,909 in 2015 to 5,643 children in 2019</w:t>
      </w:r>
      <w:r w:rsidR="00E03A27">
        <w:rPr>
          <w:rFonts w:eastAsia="Calibri" w:cs="Calibri"/>
        </w:rPr>
        <w:t>.</w:t>
      </w:r>
      <w:r w:rsidR="00E03A27">
        <w:rPr>
          <w:rStyle w:val="FootnoteReference"/>
          <w:rFonts w:eastAsia="Calibri" w:cs="Calibri"/>
        </w:rPr>
        <w:footnoteReference w:id="140"/>
      </w:r>
      <w:r w:rsidR="00E03A27">
        <w:rPr>
          <w:rFonts w:eastAsia="Calibri" w:cs="Calibri"/>
        </w:rPr>
        <w:t xml:space="preserve"> King County anticipates a </w:t>
      </w:r>
      <w:r w:rsidR="001329B7">
        <w:rPr>
          <w:rFonts w:eastAsia="Calibri" w:cs="Calibri"/>
        </w:rPr>
        <w:t>four</w:t>
      </w:r>
      <w:r w:rsidR="00B7244A">
        <w:rPr>
          <w:rFonts w:eastAsia="Calibri" w:cs="Calibri"/>
        </w:rPr>
        <w:t xml:space="preserve"> percent</w:t>
      </w:r>
      <w:r w:rsidR="00E03A27">
        <w:rPr>
          <w:rFonts w:eastAsia="Calibri" w:cs="Calibri"/>
        </w:rPr>
        <w:t xml:space="preserve"> annual increase in the number of children served with </w:t>
      </w:r>
      <w:r w:rsidR="00E03A27" w:rsidRPr="00354EFE">
        <w:rPr>
          <w:rFonts w:eastAsia="Calibri" w:cs="Calibri"/>
          <w:i/>
        </w:rPr>
        <w:t>Best Starts</w:t>
      </w:r>
      <w:r w:rsidR="00E03A27">
        <w:rPr>
          <w:rFonts w:eastAsia="Calibri" w:cs="Calibri"/>
        </w:rPr>
        <w:t xml:space="preserve"> </w:t>
      </w:r>
      <w:r w:rsidR="00E03A27" w:rsidRPr="00354EFE">
        <w:rPr>
          <w:rFonts w:eastAsia="Calibri" w:cs="Calibri"/>
          <w:i/>
        </w:rPr>
        <w:t>for Kids</w:t>
      </w:r>
      <w:r w:rsidR="00E03A27">
        <w:rPr>
          <w:rFonts w:eastAsia="Calibri" w:cs="Calibri"/>
        </w:rPr>
        <w:t xml:space="preserve"> funding from 2022 to 2027, an increase leading to a</w:t>
      </w:r>
      <w:r w:rsidR="00E03A27" w:rsidRPr="00D03F1F">
        <w:rPr>
          <w:rFonts w:eastAsia="Calibri" w:cs="Calibri"/>
        </w:rPr>
        <w:t xml:space="preserve">pproximately </w:t>
      </w:r>
      <w:r w:rsidR="00E03A27">
        <w:rPr>
          <w:rFonts w:eastAsia="Calibri" w:cs="Calibri"/>
        </w:rPr>
        <w:t>1450</w:t>
      </w:r>
      <w:r w:rsidR="00E03A27" w:rsidRPr="00D03F1F">
        <w:rPr>
          <w:rFonts w:eastAsia="Calibri" w:cs="Calibri"/>
        </w:rPr>
        <w:t xml:space="preserve"> </w:t>
      </w:r>
      <w:r w:rsidR="00E03A27">
        <w:rPr>
          <w:rFonts w:eastAsia="Calibri" w:cs="Calibri"/>
        </w:rPr>
        <w:t xml:space="preserve">additional </w:t>
      </w:r>
      <w:r w:rsidR="00E03A27" w:rsidRPr="00D03F1F">
        <w:rPr>
          <w:rFonts w:eastAsia="Calibri" w:cs="Calibri"/>
        </w:rPr>
        <w:t xml:space="preserve">children </w:t>
      </w:r>
      <w:r w:rsidR="00E03A27">
        <w:rPr>
          <w:rFonts w:eastAsia="Calibri" w:cs="Calibri"/>
        </w:rPr>
        <w:t>accessing</w:t>
      </w:r>
      <w:r w:rsidR="00E03A27" w:rsidRPr="00D03F1F">
        <w:rPr>
          <w:rFonts w:eastAsia="Calibri" w:cs="Calibri"/>
        </w:rPr>
        <w:t xml:space="preserve"> ESIT services than are currently served</w:t>
      </w:r>
      <w:r w:rsidR="00E03A27">
        <w:rPr>
          <w:rFonts w:eastAsia="Calibri" w:cs="Calibri"/>
        </w:rPr>
        <w:t xml:space="preserve"> by the last year of the levy.</w:t>
      </w:r>
      <w:r w:rsidR="00E03A27">
        <w:rPr>
          <w:rStyle w:val="FootnoteReference"/>
          <w:rFonts w:eastAsia="Calibri" w:cs="Calibri"/>
        </w:rPr>
        <w:footnoteReference w:id="141"/>
      </w:r>
    </w:p>
    <w:p w14:paraId="399DFAC5" w14:textId="26DBFBB1" w:rsidR="003B1F44" w:rsidRPr="00917496" w:rsidRDefault="003B1F44" w:rsidP="004701D1">
      <w:pPr>
        <w:contextualSpacing/>
        <w:rPr>
          <w:rFonts w:eastAsia="Calibri" w:cs="Calibri"/>
        </w:rPr>
      </w:pPr>
    </w:p>
    <w:p w14:paraId="352103B7" w14:textId="77777777" w:rsidR="00513AC4" w:rsidRDefault="003B1F44" w:rsidP="00513AC4">
      <w:pPr>
        <w:spacing w:line="257" w:lineRule="auto"/>
        <w:contextualSpacing/>
        <w:rPr>
          <w:rFonts w:eastAsia="Times New Roman" w:cs="Calibri"/>
          <w:b/>
          <w:bCs/>
          <w:i/>
          <w:iCs/>
        </w:rPr>
      </w:pPr>
      <w:r>
        <w:rPr>
          <w:rFonts w:eastAsia="Calibri" w:cs="Calibri"/>
          <w:b/>
          <w:bCs/>
          <w:color w:val="000000" w:themeColor="text1"/>
        </w:rPr>
        <w:t xml:space="preserve">Planned </w:t>
      </w:r>
      <w:r w:rsidRPr="00D03F1F">
        <w:rPr>
          <w:rFonts w:eastAsia="Calibri" w:cs="Calibri"/>
          <w:b/>
          <w:color w:val="000000" w:themeColor="text1"/>
        </w:rPr>
        <w:t>Refinements</w:t>
      </w:r>
      <w:r>
        <w:rPr>
          <w:rFonts w:eastAsia="Calibri" w:cs="Calibri"/>
          <w:b/>
          <w:color w:val="000000" w:themeColor="text1"/>
        </w:rPr>
        <w:t xml:space="preserve"> in </w:t>
      </w:r>
      <w:r w:rsidR="00356E24">
        <w:rPr>
          <w:rFonts w:eastAsia="Times New Roman" w:cs="Calibri"/>
          <w:b/>
          <w:bCs/>
          <w:i/>
          <w:iCs/>
        </w:rPr>
        <w:t xml:space="preserve">Best Starts for Kids </w:t>
      </w:r>
      <w:r w:rsidR="00356E24" w:rsidRPr="001D50F6">
        <w:rPr>
          <w:rFonts w:eastAsia="Times New Roman" w:cs="Calibri"/>
          <w:b/>
        </w:rPr>
        <w:t>2022-2027</w:t>
      </w:r>
      <w:r w:rsidR="001C10F9" w:rsidRPr="001D50F6">
        <w:rPr>
          <w:rFonts w:eastAsia="Times New Roman" w:cs="Calibri"/>
          <w:b/>
        </w:rPr>
        <w:t>:</w:t>
      </w:r>
      <w:r w:rsidR="00356E24">
        <w:rPr>
          <w:rFonts w:eastAsia="Times New Roman" w:cs="Calibri"/>
          <w:b/>
          <w:bCs/>
          <w:i/>
          <w:iCs/>
        </w:rPr>
        <w:t xml:space="preserve"> </w:t>
      </w:r>
    </w:p>
    <w:p w14:paraId="7F13763A" w14:textId="6E4DAE34" w:rsidR="00DF4FB5" w:rsidRDefault="0013490A" w:rsidP="00513AC4">
      <w:pPr>
        <w:spacing w:line="257" w:lineRule="auto"/>
        <w:contextualSpacing/>
      </w:pPr>
      <w:r>
        <w:t>Build</w:t>
      </w:r>
      <w:r w:rsidR="00DF4FB5">
        <w:t xml:space="preserve"> workforce development pathways, including scholarships for bilingual providers to engage in training and schooling</w:t>
      </w:r>
      <w:r w:rsidR="00D00AB4">
        <w:t>.</w:t>
      </w:r>
    </w:p>
    <w:p w14:paraId="28AB9E43" w14:textId="763BC17A" w:rsidR="00DF4FB5" w:rsidRDefault="0013490A" w:rsidP="009230D5">
      <w:pPr>
        <w:pStyle w:val="ListParagraph"/>
        <w:numPr>
          <w:ilvl w:val="0"/>
          <w:numId w:val="22"/>
        </w:numPr>
        <w:spacing w:after="160"/>
      </w:pPr>
      <w:r>
        <w:t>Provide</w:t>
      </w:r>
      <w:r w:rsidR="00DF4FB5">
        <w:t xml:space="preserve"> equity trainings and capacity building</w:t>
      </w:r>
      <w:r w:rsidR="00D00AB4">
        <w:t xml:space="preserve"> supports to providers</w:t>
      </w:r>
      <w:r w:rsidR="00FF3B3F">
        <w:t>.</w:t>
      </w:r>
    </w:p>
    <w:p w14:paraId="7F676AF9" w14:textId="332E15B9" w:rsidR="00716B31" w:rsidRDefault="00FF3B3F" w:rsidP="009230D5">
      <w:pPr>
        <w:pStyle w:val="ListParagraph"/>
        <w:numPr>
          <w:ilvl w:val="0"/>
          <w:numId w:val="22"/>
        </w:numPr>
      </w:pPr>
      <w:r>
        <w:t>R</w:t>
      </w:r>
      <w:r w:rsidR="00C1210E">
        <w:t>ecruit</w:t>
      </w:r>
      <w:r w:rsidR="0013490A">
        <w:t xml:space="preserve"> </w:t>
      </w:r>
      <w:r>
        <w:t>and build capacity</w:t>
      </w:r>
      <w:r w:rsidR="00AB7160">
        <w:t xml:space="preserve"> of</w:t>
      </w:r>
      <w:r w:rsidR="00316DAC">
        <w:t xml:space="preserve"> </w:t>
      </w:r>
      <w:r w:rsidR="003853EC">
        <w:t xml:space="preserve">new </w:t>
      </w:r>
      <w:r w:rsidR="00B218D3">
        <w:t>Community Based Organizations</w:t>
      </w:r>
      <w:r w:rsidR="003853EC">
        <w:t xml:space="preserve"> to become ESIT providers</w:t>
      </w:r>
      <w:r>
        <w:t xml:space="preserve">. </w:t>
      </w:r>
    </w:p>
    <w:p w14:paraId="62CE135D" w14:textId="77777777" w:rsidR="00C40AF0" w:rsidRDefault="00C40AF0" w:rsidP="00C40AF0">
      <w:pPr>
        <w:pStyle w:val="ListParagraph"/>
      </w:pPr>
    </w:p>
    <w:p w14:paraId="1611F605" w14:textId="2060426A" w:rsidR="003B1F44" w:rsidRPr="00F76BC9" w:rsidRDefault="003B1F44" w:rsidP="005236A6">
      <w:r>
        <w:rPr>
          <w:rFonts w:eastAsia="Calibri" w:cs="Calibri"/>
          <w:b/>
          <w:bCs/>
        </w:rPr>
        <w:t xml:space="preserve">Anticipated </w:t>
      </w:r>
      <w:r w:rsidRPr="00D03F1F">
        <w:rPr>
          <w:rFonts w:eastAsia="Calibri" w:cs="Calibri"/>
          <w:b/>
        </w:rPr>
        <w:t>Timeline</w:t>
      </w:r>
      <w:r w:rsidRPr="53AB1D42">
        <w:rPr>
          <w:rFonts w:eastAsia="Calibri" w:cs="Calibri"/>
          <w:b/>
          <w:bCs/>
        </w:rPr>
        <w:t>:</w:t>
      </w:r>
      <w:r w:rsidRPr="53AB1D42">
        <w:rPr>
          <w:rFonts w:eastAsia="Calibri" w:cs="Calibri"/>
        </w:rPr>
        <w:t xml:space="preserve"> </w:t>
      </w:r>
      <w:r>
        <w:t>RFA and RFQ</w:t>
      </w:r>
      <w:r w:rsidR="003E1372">
        <w:rPr>
          <w:rStyle w:val="FootnoteReference"/>
        </w:rPr>
        <w:footnoteReference w:id="142"/>
      </w:r>
      <w:r>
        <w:t xml:space="preserve"> processes planned for </w:t>
      </w:r>
      <w:r w:rsidR="0C80722B">
        <w:t>Q</w:t>
      </w:r>
      <w:r w:rsidR="1AD672FD">
        <w:t>4</w:t>
      </w:r>
      <w:r>
        <w:t xml:space="preserve"> 2022. New ESIT providers supported through capacity building investments may be contracted in 2024.</w:t>
      </w:r>
      <w:r w:rsidR="001C6A87">
        <w:rPr>
          <w:rFonts w:eastAsia="Calibri" w:cs="Calibri"/>
          <w:color w:val="000000" w:themeColor="text1"/>
        </w:rPr>
        <w:t xml:space="preserve"> </w:t>
      </w:r>
    </w:p>
    <w:p w14:paraId="2B46E133" w14:textId="77777777" w:rsidR="007B6484" w:rsidRDefault="007B6484">
      <w:bookmarkStart w:id="57" w:name="Universal_Developmental_Screening"/>
      <w:r>
        <w:br w:type="page"/>
      </w:r>
    </w:p>
    <w:tbl>
      <w:tblPr>
        <w:tblStyle w:val="TableGrid"/>
        <w:tblpPr w:leftFromText="180" w:rightFromText="180" w:vertAnchor="text" w:horzAnchor="margin" w:tblpY="388"/>
        <w:tblW w:w="9420" w:type="dxa"/>
        <w:tblLook w:val="04A0" w:firstRow="1" w:lastRow="0" w:firstColumn="1" w:lastColumn="0" w:noHBand="0" w:noVBand="1"/>
      </w:tblPr>
      <w:tblGrid>
        <w:gridCol w:w="9420"/>
      </w:tblGrid>
      <w:tr w:rsidR="007F40E5" w:rsidRPr="00D03F1F" w14:paraId="0AC29656" w14:textId="77777777" w:rsidTr="007A221D">
        <w:trPr>
          <w:trHeight w:val="476"/>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4EA476A" w14:textId="146E270F" w:rsidR="007F40E5" w:rsidRPr="00EE121B" w:rsidRDefault="007F40E5" w:rsidP="006423C8">
            <w:pPr>
              <w:contextualSpacing/>
              <w:jc w:val="both"/>
              <w:rPr>
                <w:rFonts w:cs="Calibri"/>
                <w:b/>
                <w:sz w:val="28"/>
                <w:szCs w:val="28"/>
              </w:rPr>
            </w:pPr>
            <w:r>
              <w:rPr>
                <w:rFonts w:eastAsia="Calibri" w:cs="Calibri"/>
                <w:b/>
                <w:color w:val="000000" w:themeColor="text1"/>
                <w:sz w:val="28"/>
                <w:szCs w:val="28"/>
              </w:rPr>
              <w:lastRenderedPageBreak/>
              <w:t>Universal Developmental Screening</w:t>
            </w:r>
            <w:bookmarkEnd w:id="57"/>
          </w:p>
        </w:tc>
      </w:tr>
    </w:tbl>
    <w:p w14:paraId="57112628" w14:textId="25A58070" w:rsidR="007317FA" w:rsidRPr="00F76BC9" w:rsidRDefault="007317FA" w:rsidP="003B1F44">
      <w:pPr>
        <w:pStyle w:val="paragraph"/>
        <w:spacing w:beforeAutospacing="0" w:after="0" w:afterAutospacing="0"/>
      </w:pPr>
    </w:p>
    <w:tbl>
      <w:tblPr>
        <w:tblW w:w="9450" w:type="dxa"/>
        <w:tblLook w:val="04A0" w:firstRow="1" w:lastRow="0" w:firstColumn="1" w:lastColumn="0" w:noHBand="0" w:noVBand="1"/>
      </w:tblPr>
      <w:tblGrid>
        <w:gridCol w:w="973"/>
        <w:gridCol w:w="1189"/>
        <w:gridCol w:w="1189"/>
        <w:gridCol w:w="1188"/>
        <w:gridCol w:w="1188"/>
        <w:gridCol w:w="1188"/>
        <w:gridCol w:w="1188"/>
        <w:gridCol w:w="1347"/>
      </w:tblGrid>
      <w:tr w:rsidR="007A221D" w:rsidRPr="004321F0" w14:paraId="5DB4A420" w14:textId="77777777" w:rsidTr="007A221D">
        <w:trPr>
          <w:trHeight w:val="345"/>
        </w:trPr>
        <w:tc>
          <w:tcPr>
            <w:tcW w:w="9450" w:type="dxa"/>
            <w:gridSpan w:val="8"/>
            <w:tcBorders>
              <w:top w:val="nil"/>
              <w:left w:val="nil"/>
              <w:bottom w:val="single" w:sz="12" w:space="0" w:color="FFD966"/>
              <w:right w:val="nil"/>
            </w:tcBorders>
            <w:shd w:val="clear" w:color="auto" w:fill="auto"/>
            <w:noWrap/>
            <w:vAlign w:val="bottom"/>
            <w:hideMark/>
          </w:tcPr>
          <w:p w14:paraId="39752261" w14:textId="77777777" w:rsidR="007A221D" w:rsidRPr="004321F0" w:rsidRDefault="007A221D" w:rsidP="00B240AF">
            <w:pPr>
              <w:spacing w:line="240" w:lineRule="auto"/>
              <w:rPr>
                <w:rFonts w:eastAsia="Times New Roman" w:cs="Calibri"/>
                <w:b/>
                <w:bCs/>
                <w:i/>
                <w:iCs/>
                <w:color w:val="000000"/>
              </w:rPr>
            </w:pPr>
            <w:r w:rsidRPr="004321F0">
              <w:rPr>
                <w:rFonts w:eastAsia="Times New Roman" w:cs="Calibri"/>
                <w:b/>
                <w:bCs/>
                <w:i/>
                <w:iCs/>
                <w:color w:val="000000"/>
              </w:rPr>
              <w:t>Funding Estimate:</w:t>
            </w:r>
          </w:p>
        </w:tc>
      </w:tr>
      <w:tr w:rsidR="007A221D" w:rsidRPr="004321F0" w14:paraId="7D958D20" w14:textId="77777777" w:rsidTr="007A221D">
        <w:trPr>
          <w:trHeight w:val="460"/>
        </w:trPr>
        <w:tc>
          <w:tcPr>
            <w:tcW w:w="973" w:type="dxa"/>
            <w:tcBorders>
              <w:top w:val="nil"/>
              <w:left w:val="single" w:sz="12" w:space="0" w:color="FFD966"/>
              <w:bottom w:val="single" w:sz="8" w:space="0" w:color="FFD966"/>
              <w:right w:val="single" w:sz="8" w:space="0" w:color="FFD966"/>
            </w:tcBorders>
            <w:shd w:val="clear" w:color="000000" w:fill="D9E1F2"/>
            <w:noWrap/>
            <w:vAlign w:val="center"/>
            <w:hideMark/>
          </w:tcPr>
          <w:p w14:paraId="76094500" w14:textId="77777777" w:rsidR="007A221D" w:rsidRPr="004321F0" w:rsidRDefault="007A221D" w:rsidP="00B240AF">
            <w:pPr>
              <w:spacing w:line="240" w:lineRule="auto"/>
              <w:rPr>
                <w:rFonts w:eastAsia="Times New Roman" w:cs="Calibri"/>
                <w:b/>
                <w:bCs/>
                <w:i/>
                <w:iCs/>
              </w:rPr>
            </w:pPr>
            <w:r w:rsidRPr="004321F0">
              <w:rPr>
                <w:rFonts w:eastAsia="Times New Roman" w:cs="Calibri"/>
                <w:b/>
                <w:bCs/>
                <w:i/>
                <w:iCs/>
              </w:rPr>
              <w:t>Year</w:t>
            </w:r>
          </w:p>
        </w:tc>
        <w:tc>
          <w:tcPr>
            <w:tcW w:w="1189" w:type="dxa"/>
            <w:tcBorders>
              <w:top w:val="nil"/>
              <w:left w:val="nil"/>
              <w:bottom w:val="single" w:sz="8" w:space="0" w:color="FFD966"/>
              <w:right w:val="single" w:sz="8" w:space="0" w:color="FFD966"/>
            </w:tcBorders>
            <w:shd w:val="clear" w:color="000000" w:fill="D9E1F2"/>
            <w:noWrap/>
            <w:vAlign w:val="center"/>
            <w:hideMark/>
          </w:tcPr>
          <w:p w14:paraId="5CA907FC" w14:textId="77777777" w:rsidR="007A221D" w:rsidRPr="004321F0" w:rsidRDefault="007A221D" w:rsidP="00B240AF">
            <w:pPr>
              <w:spacing w:line="240" w:lineRule="auto"/>
              <w:jc w:val="right"/>
              <w:rPr>
                <w:rFonts w:eastAsia="Times New Roman" w:cs="Calibri"/>
              </w:rPr>
            </w:pPr>
            <w:r w:rsidRPr="004321F0">
              <w:rPr>
                <w:rFonts w:eastAsia="Times New Roman" w:cs="Calibri"/>
              </w:rPr>
              <w:t>2022</w:t>
            </w:r>
          </w:p>
        </w:tc>
        <w:tc>
          <w:tcPr>
            <w:tcW w:w="1189" w:type="dxa"/>
            <w:tcBorders>
              <w:top w:val="nil"/>
              <w:left w:val="nil"/>
              <w:bottom w:val="single" w:sz="8" w:space="0" w:color="FFD966"/>
              <w:right w:val="single" w:sz="8" w:space="0" w:color="FFD966"/>
            </w:tcBorders>
            <w:shd w:val="clear" w:color="000000" w:fill="D9E1F2"/>
            <w:noWrap/>
            <w:vAlign w:val="center"/>
            <w:hideMark/>
          </w:tcPr>
          <w:p w14:paraId="5BA43978" w14:textId="77777777" w:rsidR="007A221D" w:rsidRPr="004321F0" w:rsidRDefault="007A221D" w:rsidP="00B240AF">
            <w:pPr>
              <w:spacing w:line="240" w:lineRule="auto"/>
              <w:jc w:val="right"/>
              <w:rPr>
                <w:rFonts w:eastAsia="Times New Roman" w:cs="Calibri"/>
              </w:rPr>
            </w:pPr>
            <w:r w:rsidRPr="004321F0">
              <w:rPr>
                <w:rFonts w:eastAsia="Times New Roman" w:cs="Calibri"/>
              </w:rPr>
              <w:t>2023</w:t>
            </w:r>
          </w:p>
        </w:tc>
        <w:tc>
          <w:tcPr>
            <w:tcW w:w="1188" w:type="dxa"/>
            <w:tcBorders>
              <w:top w:val="nil"/>
              <w:left w:val="nil"/>
              <w:bottom w:val="single" w:sz="8" w:space="0" w:color="FFD966"/>
              <w:right w:val="single" w:sz="8" w:space="0" w:color="FFD966"/>
            </w:tcBorders>
            <w:shd w:val="clear" w:color="000000" w:fill="D9E1F2"/>
            <w:noWrap/>
            <w:vAlign w:val="center"/>
            <w:hideMark/>
          </w:tcPr>
          <w:p w14:paraId="463D9226" w14:textId="77777777" w:rsidR="007A221D" w:rsidRPr="004321F0" w:rsidRDefault="007A221D" w:rsidP="00B240AF">
            <w:pPr>
              <w:spacing w:line="240" w:lineRule="auto"/>
              <w:jc w:val="right"/>
              <w:rPr>
                <w:rFonts w:eastAsia="Times New Roman" w:cs="Calibri"/>
              </w:rPr>
            </w:pPr>
            <w:r w:rsidRPr="004321F0">
              <w:rPr>
                <w:rFonts w:eastAsia="Times New Roman" w:cs="Calibri"/>
              </w:rPr>
              <w:t>2024</w:t>
            </w:r>
          </w:p>
        </w:tc>
        <w:tc>
          <w:tcPr>
            <w:tcW w:w="1188" w:type="dxa"/>
            <w:tcBorders>
              <w:top w:val="nil"/>
              <w:left w:val="nil"/>
              <w:bottom w:val="single" w:sz="8" w:space="0" w:color="FFD966"/>
              <w:right w:val="single" w:sz="8" w:space="0" w:color="FFD966"/>
            </w:tcBorders>
            <w:shd w:val="clear" w:color="000000" w:fill="D9E1F2"/>
            <w:noWrap/>
            <w:vAlign w:val="center"/>
            <w:hideMark/>
          </w:tcPr>
          <w:p w14:paraId="431CA8AD" w14:textId="77777777" w:rsidR="007A221D" w:rsidRPr="004321F0" w:rsidRDefault="007A221D" w:rsidP="00B240AF">
            <w:pPr>
              <w:spacing w:line="240" w:lineRule="auto"/>
              <w:jc w:val="right"/>
              <w:rPr>
                <w:rFonts w:eastAsia="Times New Roman" w:cs="Calibri"/>
              </w:rPr>
            </w:pPr>
            <w:r w:rsidRPr="004321F0">
              <w:rPr>
                <w:rFonts w:eastAsia="Times New Roman" w:cs="Calibri"/>
              </w:rPr>
              <w:t>2025</w:t>
            </w:r>
          </w:p>
        </w:tc>
        <w:tc>
          <w:tcPr>
            <w:tcW w:w="1188" w:type="dxa"/>
            <w:tcBorders>
              <w:top w:val="nil"/>
              <w:left w:val="nil"/>
              <w:bottom w:val="single" w:sz="8" w:space="0" w:color="FFD966"/>
              <w:right w:val="single" w:sz="8" w:space="0" w:color="FFD966"/>
            </w:tcBorders>
            <w:shd w:val="clear" w:color="000000" w:fill="D9E1F2"/>
            <w:noWrap/>
            <w:vAlign w:val="center"/>
            <w:hideMark/>
          </w:tcPr>
          <w:p w14:paraId="3D7FCBC4" w14:textId="77777777" w:rsidR="007A221D" w:rsidRPr="004321F0" w:rsidRDefault="007A221D" w:rsidP="00B240AF">
            <w:pPr>
              <w:spacing w:line="240" w:lineRule="auto"/>
              <w:jc w:val="right"/>
              <w:rPr>
                <w:rFonts w:eastAsia="Times New Roman" w:cs="Calibri"/>
              </w:rPr>
            </w:pPr>
            <w:r w:rsidRPr="004321F0">
              <w:rPr>
                <w:rFonts w:eastAsia="Times New Roman" w:cs="Calibri"/>
              </w:rPr>
              <w:t>2026</w:t>
            </w:r>
          </w:p>
        </w:tc>
        <w:tc>
          <w:tcPr>
            <w:tcW w:w="1188" w:type="dxa"/>
            <w:tcBorders>
              <w:top w:val="nil"/>
              <w:left w:val="nil"/>
              <w:bottom w:val="single" w:sz="8" w:space="0" w:color="FFD966"/>
              <w:right w:val="single" w:sz="8" w:space="0" w:color="FFD966"/>
            </w:tcBorders>
            <w:shd w:val="clear" w:color="000000" w:fill="D9E1F2"/>
            <w:noWrap/>
            <w:vAlign w:val="center"/>
            <w:hideMark/>
          </w:tcPr>
          <w:p w14:paraId="6AB8ECA7" w14:textId="77777777" w:rsidR="007A221D" w:rsidRPr="004321F0" w:rsidRDefault="007A221D" w:rsidP="00B240AF">
            <w:pPr>
              <w:spacing w:line="240" w:lineRule="auto"/>
              <w:jc w:val="right"/>
              <w:rPr>
                <w:rFonts w:eastAsia="Times New Roman" w:cs="Calibri"/>
              </w:rPr>
            </w:pPr>
            <w:r w:rsidRPr="004321F0">
              <w:rPr>
                <w:rFonts w:eastAsia="Times New Roman" w:cs="Calibri"/>
              </w:rPr>
              <w:t>2027</w:t>
            </w:r>
          </w:p>
        </w:tc>
        <w:tc>
          <w:tcPr>
            <w:tcW w:w="1347" w:type="dxa"/>
            <w:tcBorders>
              <w:top w:val="nil"/>
              <w:left w:val="nil"/>
              <w:bottom w:val="single" w:sz="8" w:space="0" w:color="FFD966"/>
              <w:right w:val="single" w:sz="12" w:space="0" w:color="FFD966"/>
            </w:tcBorders>
            <w:shd w:val="clear" w:color="000000" w:fill="D9E1F2"/>
            <w:noWrap/>
            <w:vAlign w:val="center"/>
            <w:hideMark/>
          </w:tcPr>
          <w:p w14:paraId="535BA353" w14:textId="77777777" w:rsidR="007A221D" w:rsidRPr="004321F0" w:rsidRDefault="007A221D" w:rsidP="00B240AF">
            <w:pPr>
              <w:spacing w:line="240" w:lineRule="auto"/>
              <w:jc w:val="right"/>
              <w:rPr>
                <w:rFonts w:eastAsia="Times New Roman" w:cs="Calibri"/>
                <w:b/>
                <w:bCs/>
                <w:i/>
                <w:iCs/>
              </w:rPr>
            </w:pPr>
            <w:r w:rsidRPr="004321F0">
              <w:rPr>
                <w:rFonts w:eastAsia="Times New Roman" w:cs="Calibri"/>
                <w:b/>
                <w:bCs/>
                <w:i/>
                <w:iCs/>
              </w:rPr>
              <w:t>Total</w:t>
            </w:r>
          </w:p>
        </w:tc>
      </w:tr>
      <w:tr w:rsidR="007A221D" w:rsidRPr="004321F0" w14:paraId="4B979626" w14:textId="77777777" w:rsidTr="007A221D">
        <w:trPr>
          <w:trHeight w:val="460"/>
        </w:trPr>
        <w:tc>
          <w:tcPr>
            <w:tcW w:w="973" w:type="dxa"/>
            <w:tcBorders>
              <w:top w:val="nil"/>
              <w:left w:val="single" w:sz="12" w:space="0" w:color="FFD966"/>
              <w:bottom w:val="single" w:sz="12" w:space="0" w:color="FFD966"/>
              <w:right w:val="single" w:sz="8" w:space="0" w:color="FFD966"/>
            </w:tcBorders>
            <w:shd w:val="clear" w:color="auto" w:fill="auto"/>
            <w:noWrap/>
            <w:vAlign w:val="center"/>
            <w:hideMark/>
          </w:tcPr>
          <w:p w14:paraId="6D540CFE" w14:textId="77777777" w:rsidR="007A221D" w:rsidRPr="004321F0" w:rsidRDefault="007A221D" w:rsidP="00B240AF">
            <w:pPr>
              <w:spacing w:line="240" w:lineRule="auto"/>
              <w:rPr>
                <w:rFonts w:eastAsia="Times New Roman" w:cs="Calibri"/>
                <w:b/>
                <w:bCs/>
                <w:i/>
                <w:iCs/>
                <w:color w:val="000000"/>
              </w:rPr>
            </w:pPr>
            <w:r w:rsidRPr="004321F0">
              <w:rPr>
                <w:rFonts w:eastAsia="Times New Roman" w:cs="Calibri"/>
                <w:b/>
                <w:bCs/>
                <w:i/>
                <w:iCs/>
                <w:color w:val="000000"/>
              </w:rPr>
              <w:t>Amount</w:t>
            </w:r>
          </w:p>
        </w:tc>
        <w:tc>
          <w:tcPr>
            <w:tcW w:w="1189" w:type="dxa"/>
            <w:tcBorders>
              <w:top w:val="nil"/>
              <w:left w:val="nil"/>
              <w:bottom w:val="single" w:sz="12" w:space="0" w:color="FFD966"/>
              <w:right w:val="single" w:sz="8" w:space="0" w:color="FFD966"/>
            </w:tcBorders>
            <w:shd w:val="clear" w:color="auto" w:fill="auto"/>
            <w:noWrap/>
            <w:vAlign w:val="center"/>
            <w:hideMark/>
          </w:tcPr>
          <w:p w14:paraId="4C835C97"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0</w:t>
            </w:r>
            <w:r w:rsidRPr="004321F0">
              <w:rPr>
                <w:rFonts w:eastAsia="Times New Roman" w:cs="Calibri"/>
                <w:color w:val="000000"/>
                <w:sz w:val="20"/>
                <w:szCs w:val="20"/>
              </w:rPr>
              <w:t xml:space="preserve">00,000 </w:t>
            </w:r>
          </w:p>
        </w:tc>
        <w:tc>
          <w:tcPr>
            <w:tcW w:w="1189" w:type="dxa"/>
            <w:tcBorders>
              <w:top w:val="nil"/>
              <w:left w:val="nil"/>
              <w:bottom w:val="single" w:sz="12" w:space="0" w:color="FFD966"/>
              <w:right w:val="single" w:sz="8" w:space="0" w:color="FFD966"/>
            </w:tcBorders>
            <w:shd w:val="clear" w:color="auto" w:fill="auto"/>
            <w:noWrap/>
            <w:vAlign w:val="center"/>
            <w:hideMark/>
          </w:tcPr>
          <w:p w14:paraId="6683F17B"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066</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6ED3F9B6"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133</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551FA8E3"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202</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3A9EEA5A"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273</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7D914905"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345</w:t>
            </w:r>
            <w:r w:rsidRPr="004321F0">
              <w:rPr>
                <w:rFonts w:eastAsia="Times New Roman" w:cs="Calibri"/>
                <w:color w:val="000000"/>
                <w:sz w:val="20"/>
                <w:szCs w:val="20"/>
              </w:rPr>
              <w:t xml:space="preserve">,000 </w:t>
            </w:r>
          </w:p>
        </w:tc>
        <w:tc>
          <w:tcPr>
            <w:tcW w:w="1347" w:type="dxa"/>
            <w:tcBorders>
              <w:top w:val="nil"/>
              <w:left w:val="nil"/>
              <w:bottom w:val="single" w:sz="12" w:space="0" w:color="FFD966"/>
              <w:right w:val="single" w:sz="12" w:space="0" w:color="FFD966"/>
            </w:tcBorders>
            <w:shd w:val="clear" w:color="auto" w:fill="auto"/>
            <w:noWrap/>
            <w:vAlign w:val="center"/>
            <w:hideMark/>
          </w:tcPr>
          <w:p w14:paraId="49AB4C36" w14:textId="2AE33BAE" w:rsidR="007A221D" w:rsidRPr="004321F0" w:rsidRDefault="007A221D" w:rsidP="00B240AF">
            <w:pPr>
              <w:spacing w:line="240" w:lineRule="auto"/>
              <w:jc w:val="right"/>
              <w:rPr>
                <w:rFonts w:eastAsia="Times New Roman" w:cs="Calibri"/>
                <w:b/>
                <w:bCs/>
                <w:color w:val="000000"/>
              </w:rPr>
            </w:pPr>
            <w:r w:rsidRPr="004321F0">
              <w:rPr>
                <w:rFonts w:eastAsia="Times New Roman" w:cs="Calibri"/>
                <w:b/>
                <w:bCs/>
                <w:color w:val="000000"/>
              </w:rPr>
              <w:t>$</w:t>
            </w:r>
            <w:r>
              <w:rPr>
                <w:rFonts w:eastAsia="Times New Roman" w:cs="Calibri"/>
                <w:b/>
                <w:bCs/>
                <w:color w:val="000000"/>
              </w:rPr>
              <w:t>19</w:t>
            </w:r>
            <w:r w:rsidRPr="004321F0">
              <w:rPr>
                <w:rFonts w:eastAsia="Times New Roman" w:cs="Calibri"/>
                <w:b/>
                <w:bCs/>
                <w:color w:val="000000"/>
              </w:rPr>
              <w:t>,</w:t>
            </w:r>
            <w:r>
              <w:rPr>
                <w:rFonts w:eastAsia="Times New Roman" w:cs="Calibri"/>
                <w:b/>
                <w:bCs/>
                <w:color w:val="000000"/>
              </w:rPr>
              <w:t>020</w:t>
            </w:r>
            <w:r w:rsidRPr="004321F0">
              <w:rPr>
                <w:rFonts w:eastAsia="Times New Roman" w:cs="Calibri"/>
                <w:b/>
                <w:bCs/>
                <w:color w:val="000000"/>
              </w:rPr>
              <w:t xml:space="preserve">,000 </w:t>
            </w:r>
          </w:p>
        </w:tc>
      </w:tr>
    </w:tbl>
    <w:p w14:paraId="5E027B88" w14:textId="77777777" w:rsidR="007A221D" w:rsidRPr="00F701AD" w:rsidRDefault="007A221D" w:rsidP="007F40E5">
      <w:pPr>
        <w:spacing w:line="257" w:lineRule="auto"/>
        <w:contextualSpacing/>
      </w:pPr>
    </w:p>
    <w:p w14:paraId="2A4C9490" w14:textId="4F344693" w:rsidR="003E6CD6" w:rsidRDefault="003E6CD6" w:rsidP="003E6CD6">
      <w:pPr>
        <w:spacing w:line="257" w:lineRule="auto"/>
        <w:contextualSpacing/>
        <w:rPr>
          <w:rFonts w:eastAsia="Calibri" w:cs="Calibri"/>
        </w:rPr>
      </w:pPr>
      <w:r w:rsidRPr="1798816D">
        <w:rPr>
          <w:rFonts w:eastAsia="Calibri" w:cs="Calibri"/>
          <w:b/>
          <w:bCs/>
        </w:rPr>
        <w:t xml:space="preserve">Description: </w:t>
      </w:r>
      <w:r w:rsidRPr="00D03F1F">
        <w:rPr>
          <w:rFonts w:eastAsia="Calibri" w:cs="Calibri"/>
        </w:rPr>
        <w:t xml:space="preserve">The Universal Developmental Screening (UDS) strategy provides information, training, tools, and connections among providers to ensure all King County children receive culturally appropriate, high-quality developmental screening throughout early childhood. </w:t>
      </w:r>
      <w:r>
        <w:rPr>
          <w:rFonts w:eastAsia="Calibri" w:cs="Calibri"/>
        </w:rPr>
        <w:t>E</w:t>
      </w:r>
      <w:r w:rsidRPr="00D03F1F">
        <w:rPr>
          <w:rFonts w:eastAsia="Calibri" w:cs="Calibri"/>
        </w:rPr>
        <w:t xml:space="preserve">arly childhood practitioners </w:t>
      </w:r>
      <w:r>
        <w:rPr>
          <w:rFonts w:eastAsia="Calibri" w:cs="Calibri"/>
        </w:rPr>
        <w:t xml:space="preserve">use developmental screening to </w:t>
      </w:r>
      <w:r w:rsidRPr="00D03F1F">
        <w:rPr>
          <w:rFonts w:eastAsia="Calibri" w:cs="Calibri"/>
        </w:rPr>
        <w:t>celebrate milestones</w:t>
      </w:r>
      <w:r>
        <w:rPr>
          <w:rFonts w:eastAsia="Calibri" w:cs="Calibri"/>
        </w:rPr>
        <w:t>,</w:t>
      </w:r>
      <w:r w:rsidRPr="00D03F1F">
        <w:rPr>
          <w:rFonts w:eastAsia="Calibri" w:cs="Calibri"/>
        </w:rPr>
        <w:t xml:space="preserve"> and monitor signs that a young child may be delayed in one or more areas of development. </w:t>
      </w:r>
      <w:r>
        <w:rPr>
          <w:rFonts w:eastAsia="Calibri" w:cs="Calibri"/>
        </w:rPr>
        <w:t xml:space="preserve">Families are supported in understanding child development and connecting with a wide range of resources to support their growth and wellbeing. </w:t>
      </w:r>
      <w:r w:rsidRPr="00D03F1F">
        <w:rPr>
          <w:rFonts w:eastAsia="Calibri" w:cs="Calibri"/>
        </w:rPr>
        <w:t>Identifying developmental delays is critical to connecting children to Early Support for Infants and Toddlers services</w:t>
      </w:r>
      <w:r>
        <w:rPr>
          <w:rFonts w:eastAsia="Calibri" w:cs="Calibri"/>
        </w:rPr>
        <w:t>, which can have a big impact on a young child’s success in school and life</w:t>
      </w:r>
      <w:r w:rsidRPr="00D03F1F">
        <w:rPr>
          <w:rFonts w:eastAsia="Calibri" w:cs="Calibri"/>
        </w:rPr>
        <w:t>.</w:t>
      </w:r>
    </w:p>
    <w:p w14:paraId="14F8909E" w14:textId="77777777" w:rsidR="005236A6" w:rsidRDefault="005236A6" w:rsidP="003E6CD6">
      <w:pPr>
        <w:spacing w:line="257" w:lineRule="auto"/>
        <w:contextualSpacing/>
        <w:rPr>
          <w:rFonts w:eastAsia="Calibri" w:cs="Calibri"/>
        </w:rPr>
      </w:pPr>
    </w:p>
    <w:p w14:paraId="56EC18D3" w14:textId="77777777" w:rsidR="003E6CD6" w:rsidRPr="00F701AD" w:rsidRDefault="003E6CD6" w:rsidP="003E6CD6">
      <w:pPr>
        <w:spacing w:line="257" w:lineRule="auto"/>
        <w:contextualSpacing/>
      </w:pPr>
      <w:r>
        <w:rPr>
          <w:rFonts w:eastAsia="Calibri" w:cs="Calibri"/>
        </w:rPr>
        <w:t>S</w:t>
      </w:r>
      <w:r w:rsidRPr="00D03F1F">
        <w:rPr>
          <w:rFonts w:eastAsia="Calibri" w:cs="Calibri"/>
        </w:rPr>
        <w:t xml:space="preserve">creenings </w:t>
      </w:r>
      <w:r>
        <w:rPr>
          <w:rFonts w:eastAsia="Calibri" w:cs="Calibri"/>
        </w:rPr>
        <w:t>are</w:t>
      </w:r>
      <w:r w:rsidRPr="00D03F1F">
        <w:rPr>
          <w:rFonts w:eastAsia="Calibri" w:cs="Calibri"/>
        </w:rPr>
        <w:t xml:space="preserve"> offered in any context where a family and child interact with an early childhood practitioner</w:t>
      </w:r>
      <w:r>
        <w:rPr>
          <w:rFonts w:eastAsia="Calibri" w:cs="Calibri"/>
        </w:rPr>
        <w:t>, including</w:t>
      </w:r>
      <w:r w:rsidRPr="00D03F1F">
        <w:rPr>
          <w:rFonts w:eastAsia="Calibri" w:cs="Calibri"/>
        </w:rPr>
        <w:t xml:space="preserve"> healthcare, early learning, and community settings. </w:t>
      </w:r>
      <w:r>
        <w:rPr>
          <w:rFonts w:eastAsia="Calibri" w:cs="Calibri"/>
        </w:rPr>
        <w:t>C</w:t>
      </w:r>
      <w:r w:rsidRPr="00D03F1F">
        <w:rPr>
          <w:rFonts w:eastAsia="Calibri" w:cs="Calibri"/>
        </w:rPr>
        <w:t>ommunity-based partners implement the core components of this work</w:t>
      </w:r>
      <w:r>
        <w:rPr>
          <w:rFonts w:eastAsia="Calibri" w:cs="Calibri"/>
        </w:rPr>
        <w:t xml:space="preserve">, and </w:t>
      </w:r>
      <w:r w:rsidRPr="00D03F1F">
        <w:rPr>
          <w:rFonts w:eastAsia="Calibri" w:cs="Calibri"/>
        </w:rPr>
        <w:t>customize education on early childhood milestones, developmental screening tools</w:t>
      </w:r>
      <w:r>
        <w:rPr>
          <w:rFonts w:eastAsia="Calibri" w:cs="Calibri"/>
        </w:rPr>
        <w:t>,</w:t>
      </w:r>
      <w:r w:rsidRPr="00D03F1F">
        <w:rPr>
          <w:rFonts w:eastAsia="Calibri" w:cs="Calibri"/>
        </w:rPr>
        <w:t xml:space="preserve"> and delivery of UDS for Black/African American, Chinese, Pacific Islander, Somali, and </w:t>
      </w:r>
      <w:r>
        <w:rPr>
          <w:rFonts w:eastAsia="Calibri" w:cs="Calibri"/>
        </w:rPr>
        <w:t>Latinx</w:t>
      </w:r>
      <w:r w:rsidRPr="00D03F1F">
        <w:rPr>
          <w:rFonts w:eastAsia="Calibri" w:cs="Calibri"/>
        </w:rPr>
        <w:t xml:space="preserve"> communities.</w:t>
      </w:r>
    </w:p>
    <w:p w14:paraId="3A813F8D" w14:textId="1363442A" w:rsidR="003E6CD6" w:rsidRPr="00F701AD" w:rsidRDefault="003E6CD6" w:rsidP="003E6CD6">
      <w:pPr>
        <w:spacing w:line="257" w:lineRule="auto"/>
        <w:contextualSpacing/>
      </w:pPr>
    </w:p>
    <w:p w14:paraId="0B6FE974" w14:textId="4E986303" w:rsidR="003E6CD6" w:rsidRDefault="003E6CD6" w:rsidP="003E6CD6">
      <w:pPr>
        <w:contextualSpacing/>
        <w:rPr>
          <w:rFonts w:eastAsia="Calibri" w:cs="Calibri"/>
          <w:b/>
          <w:bCs/>
        </w:rPr>
      </w:pPr>
      <w:r>
        <w:rPr>
          <w:rFonts w:eastAsia="Calibri" w:cs="Calibri"/>
          <w:b/>
          <w:bCs/>
        </w:rPr>
        <w:t xml:space="preserve">Planned Refinements in </w:t>
      </w:r>
      <w:r w:rsidR="00356E24">
        <w:rPr>
          <w:rFonts w:eastAsia="Times New Roman" w:cs="Calibri"/>
          <w:b/>
          <w:bCs/>
          <w:i/>
          <w:iCs/>
        </w:rPr>
        <w:t xml:space="preserve">Best Starts for Kids </w:t>
      </w:r>
      <w:r w:rsidR="00356E24" w:rsidRPr="001D50F6">
        <w:rPr>
          <w:rFonts w:eastAsia="Times New Roman" w:cs="Calibri"/>
          <w:b/>
        </w:rPr>
        <w:t>2022-2027</w:t>
      </w:r>
      <w:r w:rsidR="00513AC4" w:rsidRPr="001D50F6">
        <w:rPr>
          <w:rFonts w:eastAsia="Times New Roman" w:cs="Calibri"/>
          <w:b/>
        </w:rPr>
        <w:t>:</w:t>
      </w:r>
      <w:r w:rsidR="00356E24">
        <w:rPr>
          <w:rFonts w:eastAsia="Times New Roman" w:cs="Calibri"/>
          <w:b/>
          <w:bCs/>
          <w:i/>
          <w:iCs/>
        </w:rPr>
        <w:t xml:space="preserve"> </w:t>
      </w:r>
    </w:p>
    <w:p w14:paraId="5F5BC9D3" w14:textId="6F8745B0" w:rsidR="003E6CD6" w:rsidRPr="000B3CA0" w:rsidRDefault="003E6CD6" w:rsidP="003E6CD6">
      <w:pPr>
        <w:contextualSpacing/>
        <w:rPr>
          <w:rFonts w:eastAsia="Calibri" w:cs="Calibri"/>
        </w:rPr>
      </w:pPr>
      <w:r>
        <w:rPr>
          <w:rFonts w:eastAsia="Calibri" w:cs="Calibri"/>
        </w:rPr>
        <w:t>Future work will be informed by</w:t>
      </w:r>
      <w:r w:rsidRPr="00D03F1F">
        <w:rPr>
          <w:rFonts w:eastAsia="Calibri" w:cs="Calibri"/>
        </w:rPr>
        <w:t xml:space="preserve"> the Universal Developmental Screening Analysis</w:t>
      </w:r>
      <w:r>
        <w:rPr>
          <w:rFonts w:eastAsia="Calibri" w:cs="Calibri"/>
        </w:rPr>
        <w:t>, a</w:t>
      </w:r>
      <w:r w:rsidRPr="00D03F1F">
        <w:rPr>
          <w:rFonts w:eastAsia="Calibri" w:cs="Calibri"/>
        </w:rPr>
        <w:t xml:space="preserve"> comprehensive community-driven participatory research </w:t>
      </w:r>
      <w:r>
        <w:rPr>
          <w:rFonts w:eastAsia="Calibri" w:cs="Calibri"/>
        </w:rPr>
        <w:t xml:space="preserve">project commissioned by </w:t>
      </w:r>
      <w:r>
        <w:rPr>
          <w:rFonts w:eastAsia="Calibri" w:cs="Calibri"/>
          <w:i/>
          <w:iCs/>
        </w:rPr>
        <w:t>Best Starts</w:t>
      </w:r>
      <w:r>
        <w:rPr>
          <w:rFonts w:eastAsia="Calibri" w:cs="Calibri"/>
        </w:rPr>
        <w:t xml:space="preserve"> in 2019. It is</w:t>
      </w:r>
      <w:r w:rsidRPr="00D03F1F">
        <w:rPr>
          <w:rFonts w:eastAsia="Calibri" w:cs="Calibri"/>
        </w:rPr>
        <w:t xml:space="preserve"> the largest analysis completed </w:t>
      </w:r>
      <w:r>
        <w:rPr>
          <w:rFonts w:eastAsia="Calibri" w:cs="Calibri"/>
        </w:rPr>
        <w:t xml:space="preserve">nationally </w:t>
      </w:r>
      <w:r w:rsidRPr="00D03F1F">
        <w:rPr>
          <w:rFonts w:eastAsia="Calibri" w:cs="Calibri"/>
        </w:rPr>
        <w:t xml:space="preserve">on </w:t>
      </w:r>
      <w:r>
        <w:rPr>
          <w:rFonts w:eastAsia="Calibri" w:cs="Calibri"/>
        </w:rPr>
        <w:t>UDS.</w:t>
      </w:r>
      <w:r w:rsidR="005236A6">
        <w:rPr>
          <w:rStyle w:val="FootnoteReference"/>
          <w:rFonts w:eastAsia="Calibri" w:cs="Calibri"/>
        </w:rPr>
        <w:footnoteReference w:id="143"/>
      </w:r>
      <w:r w:rsidRPr="00D03F1F">
        <w:rPr>
          <w:rFonts w:eastAsia="Calibri" w:cs="Calibri"/>
        </w:rPr>
        <w:t xml:space="preserve"> </w:t>
      </w:r>
      <w:r>
        <w:rPr>
          <w:rFonts w:eastAsia="Calibri" w:cs="Calibri"/>
        </w:rPr>
        <w:t>Planned refinements include:</w:t>
      </w:r>
    </w:p>
    <w:p w14:paraId="5F5A96D1" w14:textId="77777777" w:rsidR="003E6CD6" w:rsidRPr="00F701AD" w:rsidRDefault="003E6CD6" w:rsidP="0048513E">
      <w:pPr>
        <w:pStyle w:val="ListParagraph"/>
        <w:numPr>
          <w:ilvl w:val="0"/>
          <w:numId w:val="17"/>
        </w:numPr>
        <w:contextualSpacing w:val="0"/>
      </w:pPr>
      <w:r w:rsidRPr="00D03F1F">
        <w:rPr>
          <w:rFonts w:eastAsia="Calibri" w:cs="Calibri"/>
        </w:rPr>
        <w:t>Prioritiz</w:t>
      </w:r>
      <w:r>
        <w:rPr>
          <w:rFonts w:eastAsia="Calibri" w:cs="Calibri"/>
        </w:rPr>
        <w:t>e</w:t>
      </w:r>
      <w:r w:rsidRPr="00D03F1F">
        <w:rPr>
          <w:rFonts w:eastAsia="Calibri" w:cs="Calibri"/>
        </w:rPr>
        <w:t xml:space="preserve"> the </w:t>
      </w:r>
      <w:r w:rsidRPr="454028D5">
        <w:rPr>
          <w:rFonts w:eastAsia="Calibri" w:cs="Calibri"/>
        </w:rPr>
        <w:t>well-being</w:t>
      </w:r>
      <w:r w:rsidRPr="00D03F1F">
        <w:rPr>
          <w:rFonts w:eastAsia="Calibri" w:cs="Calibri"/>
        </w:rPr>
        <w:t xml:space="preserve"> of communities of color </w:t>
      </w:r>
      <w:r w:rsidRPr="454028D5">
        <w:rPr>
          <w:rFonts w:eastAsia="Calibri" w:cs="Calibri"/>
        </w:rPr>
        <w:t>as</w:t>
      </w:r>
      <w:r w:rsidRPr="00D03F1F">
        <w:rPr>
          <w:rFonts w:eastAsia="Calibri" w:cs="Calibri"/>
        </w:rPr>
        <w:t xml:space="preserve"> the </w:t>
      </w:r>
      <w:r w:rsidRPr="6BDE196A">
        <w:rPr>
          <w:rFonts w:eastAsia="Calibri" w:cs="Calibri"/>
        </w:rPr>
        <w:t>strategy focus</w:t>
      </w:r>
      <w:r w:rsidRPr="00D03F1F">
        <w:rPr>
          <w:rFonts w:eastAsia="Calibri" w:cs="Calibri"/>
        </w:rPr>
        <w:t xml:space="preserve"> through 2027</w:t>
      </w:r>
      <w:r>
        <w:rPr>
          <w:rFonts w:eastAsia="Calibri" w:cs="Calibri"/>
        </w:rPr>
        <w:t>.</w:t>
      </w:r>
    </w:p>
    <w:p w14:paraId="3158B0BC" w14:textId="77777777" w:rsidR="003E6CD6" w:rsidRPr="00B94AB2" w:rsidRDefault="003E6CD6" w:rsidP="0048513E">
      <w:pPr>
        <w:pStyle w:val="ListParagraph"/>
        <w:numPr>
          <w:ilvl w:val="0"/>
          <w:numId w:val="17"/>
        </w:numPr>
        <w:contextualSpacing w:val="0"/>
      </w:pPr>
      <w:r>
        <w:rPr>
          <w:rFonts w:eastAsia="Calibri" w:cs="Calibri"/>
        </w:rPr>
        <w:t>Strengthen</w:t>
      </w:r>
      <w:r w:rsidRPr="00D03F1F">
        <w:rPr>
          <w:rFonts w:eastAsia="Calibri" w:cs="Calibri"/>
        </w:rPr>
        <w:t xml:space="preserve"> community partnerships</w:t>
      </w:r>
      <w:r>
        <w:rPr>
          <w:rFonts w:eastAsia="Calibri" w:cs="Calibri"/>
        </w:rPr>
        <w:t xml:space="preserve"> </w:t>
      </w:r>
      <w:r w:rsidRPr="00D03F1F">
        <w:rPr>
          <w:rFonts w:eastAsia="Calibri" w:cs="Calibri"/>
        </w:rPr>
        <w:t xml:space="preserve">to </w:t>
      </w:r>
      <w:r>
        <w:rPr>
          <w:rFonts w:eastAsia="Calibri" w:cs="Calibri"/>
        </w:rPr>
        <w:t xml:space="preserve">respond to </w:t>
      </w:r>
      <w:r w:rsidRPr="00D03F1F">
        <w:rPr>
          <w:rFonts w:eastAsia="Calibri" w:cs="Calibri"/>
        </w:rPr>
        <w:t>the evolving priorities of the community</w:t>
      </w:r>
      <w:r>
        <w:rPr>
          <w:rFonts w:eastAsia="Calibri" w:cs="Calibri"/>
        </w:rPr>
        <w:t>.</w:t>
      </w:r>
    </w:p>
    <w:p w14:paraId="3280E9D9" w14:textId="0FCE8B11" w:rsidR="003E6CD6" w:rsidRPr="00F701AD" w:rsidRDefault="003E6CD6" w:rsidP="0048513E">
      <w:pPr>
        <w:pStyle w:val="ListParagraph"/>
        <w:numPr>
          <w:ilvl w:val="0"/>
          <w:numId w:val="17"/>
        </w:numPr>
        <w:contextualSpacing w:val="0"/>
      </w:pPr>
      <w:r>
        <w:rPr>
          <w:rFonts w:eastAsia="Calibri" w:cs="Calibri"/>
        </w:rPr>
        <w:t>Improve alignment of programing for young children to ensure families find the resources they need most</w:t>
      </w:r>
      <w:r w:rsidR="00C01898">
        <w:rPr>
          <w:rFonts w:eastAsia="Calibri" w:cs="Calibri"/>
        </w:rPr>
        <w:t>.</w:t>
      </w:r>
      <w:r>
        <w:rPr>
          <w:rFonts w:eastAsia="Calibri" w:cs="Calibri"/>
          <w:i/>
        </w:rPr>
        <w:t xml:space="preserve"> </w:t>
      </w:r>
      <w:r w:rsidRPr="00B94AB2">
        <w:rPr>
          <w:rFonts w:eastAsia="Calibri" w:cs="Calibri"/>
          <w:i/>
          <w:iCs/>
        </w:rPr>
        <w:t>(</w:t>
      </w:r>
      <w:r w:rsidR="001A508D">
        <w:rPr>
          <w:rFonts w:eastAsia="Calibri" w:cs="Calibri"/>
          <w:i/>
          <w:iCs/>
        </w:rPr>
        <w:t>alignment</w:t>
      </w:r>
      <w:r w:rsidRPr="00B94AB2">
        <w:rPr>
          <w:rFonts w:eastAsia="Calibri" w:cs="Calibri"/>
          <w:i/>
          <w:iCs/>
        </w:rPr>
        <w:t xml:space="preserve"> with H</w:t>
      </w:r>
      <w:r w:rsidR="001C6A87">
        <w:rPr>
          <w:rFonts w:eastAsia="Calibri" w:cs="Calibri"/>
          <w:i/>
          <w:iCs/>
        </w:rPr>
        <w:t xml:space="preserve">elp </w:t>
      </w:r>
      <w:r w:rsidRPr="00B94AB2">
        <w:rPr>
          <w:rFonts w:eastAsia="Calibri" w:cs="Calibri"/>
          <w:i/>
          <w:iCs/>
        </w:rPr>
        <w:t>M</w:t>
      </w:r>
      <w:r w:rsidR="001C6A87">
        <w:rPr>
          <w:rFonts w:eastAsia="Calibri" w:cs="Calibri"/>
          <w:i/>
          <w:iCs/>
        </w:rPr>
        <w:t xml:space="preserve">e </w:t>
      </w:r>
      <w:r w:rsidRPr="00B94AB2">
        <w:rPr>
          <w:rFonts w:eastAsia="Calibri" w:cs="Calibri"/>
          <w:i/>
          <w:iCs/>
        </w:rPr>
        <w:t>G</w:t>
      </w:r>
      <w:r w:rsidR="001C6A87">
        <w:rPr>
          <w:rFonts w:eastAsia="Calibri" w:cs="Calibri"/>
          <w:i/>
          <w:iCs/>
        </w:rPr>
        <w:t>row</w:t>
      </w:r>
      <w:r w:rsidRPr="00B94AB2">
        <w:rPr>
          <w:rFonts w:eastAsia="Calibri" w:cs="Calibri"/>
          <w:i/>
          <w:iCs/>
        </w:rPr>
        <w:t xml:space="preserve"> K</w:t>
      </w:r>
      <w:r w:rsidR="001C6A87">
        <w:rPr>
          <w:rFonts w:eastAsia="Calibri" w:cs="Calibri"/>
          <w:i/>
          <w:iCs/>
        </w:rPr>
        <w:t xml:space="preserve">ing </w:t>
      </w:r>
      <w:r w:rsidRPr="00B94AB2">
        <w:rPr>
          <w:rFonts w:eastAsia="Calibri" w:cs="Calibri"/>
          <w:i/>
          <w:iCs/>
        </w:rPr>
        <w:t>C</w:t>
      </w:r>
      <w:r w:rsidR="001C6A87">
        <w:rPr>
          <w:rFonts w:eastAsia="Calibri" w:cs="Calibri"/>
          <w:i/>
          <w:iCs/>
        </w:rPr>
        <w:t>ounty</w:t>
      </w:r>
      <w:r w:rsidR="00C57267">
        <w:rPr>
          <w:rFonts w:eastAsia="Calibri" w:cs="Calibri"/>
          <w:i/>
          <w:iCs/>
        </w:rPr>
        <w:t>, which is further described in the discussion of the Help Me Grow strategy</w:t>
      </w:r>
      <w:r w:rsidRPr="00B94AB2">
        <w:rPr>
          <w:rFonts w:eastAsia="Calibri" w:cs="Calibri"/>
          <w:i/>
          <w:iCs/>
        </w:rPr>
        <w:t>)</w:t>
      </w:r>
    </w:p>
    <w:p w14:paraId="16980399" w14:textId="5399724C" w:rsidR="003E6CD6" w:rsidRPr="00F701AD" w:rsidRDefault="003E6CD6" w:rsidP="0048513E">
      <w:pPr>
        <w:pStyle w:val="ListParagraph"/>
        <w:numPr>
          <w:ilvl w:val="0"/>
          <w:numId w:val="17"/>
        </w:numPr>
        <w:contextualSpacing w:val="0"/>
      </w:pPr>
      <w:r w:rsidRPr="00D03F1F">
        <w:rPr>
          <w:rFonts w:eastAsia="Calibri" w:cs="Calibri"/>
        </w:rPr>
        <w:t>Continu</w:t>
      </w:r>
      <w:r>
        <w:rPr>
          <w:rFonts w:eastAsia="Calibri" w:cs="Calibri"/>
        </w:rPr>
        <w:t>e</w:t>
      </w:r>
      <w:r w:rsidRPr="00D03F1F">
        <w:rPr>
          <w:rFonts w:eastAsia="Calibri" w:cs="Calibri"/>
        </w:rPr>
        <w:t xml:space="preserve"> funding</w:t>
      </w:r>
      <w:r>
        <w:rPr>
          <w:rFonts w:eastAsia="Calibri" w:cs="Calibri"/>
        </w:rPr>
        <w:t xml:space="preserve"> of</w:t>
      </w:r>
      <w:r w:rsidRPr="00D03F1F">
        <w:rPr>
          <w:rFonts w:eastAsia="Calibri" w:cs="Calibri"/>
        </w:rPr>
        <w:t xml:space="preserve"> community-based providers to reduce barriers to high quality </w:t>
      </w:r>
      <w:r>
        <w:rPr>
          <w:rFonts w:eastAsia="Calibri" w:cs="Calibri"/>
        </w:rPr>
        <w:t>and</w:t>
      </w:r>
      <w:r w:rsidRPr="00D03F1F">
        <w:rPr>
          <w:rFonts w:eastAsia="Calibri" w:cs="Calibri"/>
        </w:rPr>
        <w:t xml:space="preserve"> culturally responsive developmental screening</w:t>
      </w:r>
      <w:r>
        <w:rPr>
          <w:rFonts w:eastAsia="Calibri" w:cs="Calibri"/>
        </w:rPr>
        <w:t xml:space="preserve">s and referrals, </w:t>
      </w:r>
      <w:r w:rsidRPr="00D03F1F">
        <w:rPr>
          <w:rFonts w:eastAsia="Calibri" w:cs="Calibri"/>
        </w:rPr>
        <w:t>training, materials, and supports</w:t>
      </w:r>
      <w:r w:rsidR="006B46C1">
        <w:rPr>
          <w:rFonts w:eastAsia="Calibri" w:cs="Calibri"/>
        </w:rPr>
        <w:t>.</w:t>
      </w:r>
      <w:r w:rsidR="00791013">
        <w:rPr>
          <w:rFonts w:eastAsia="Calibri" w:cs="Calibri"/>
        </w:rPr>
        <w:t xml:space="preserve"> </w:t>
      </w:r>
    </w:p>
    <w:p w14:paraId="60CECF49" w14:textId="77777777" w:rsidR="003E6CD6" w:rsidRDefault="003E6CD6" w:rsidP="003E6CD6">
      <w:pPr>
        <w:contextualSpacing/>
        <w:rPr>
          <w:rFonts w:eastAsia="Calibri" w:cs="Calibri"/>
        </w:rPr>
      </w:pPr>
      <w:r>
        <w:br/>
      </w:r>
      <w:r>
        <w:rPr>
          <w:rFonts w:eastAsia="Calibri" w:cs="Calibri"/>
          <w:b/>
          <w:bCs/>
        </w:rPr>
        <w:t xml:space="preserve">Approximate Scope:  </w:t>
      </w:r>
      <w:r w:rsidRPr="00FD6010">
        <w:rPr>
          <w:rFonts w:eastAsia="Calibri" w:cs="Calibri"/>
        </w:rPr>
        <w:t>Universal Developmental Screening intends to reach approximately 1,000 children through early learning professionals, child care providers, medical and behavior health providers.</w:t>
      </w:r>
      <w:r>
        <w:rPr>
          <w:rFonts w:eastAsia="Calibri" w:cs="Calibri"/>
          <w:b/>
          <w:bCs/>
        </w:rPr>
        <w:t xml:space="preserve"> </w:t>
      </w:r>
    </w:p>
    <w:p w14:paraId="3F737841" w14:textId="77777777" w:rsidR="003E6CD6" w:rsidRDefault="003E6CD6" w:rsidP="001238AC">
      <w:pPr>
        <w:rPr>
          <w:rFonts w:eastAsia="Calibri" w:cs="Calibri"/>
          <w:bCs/>
        </w:rPr>
      </w:pPr>
    </w:p>
    <w:p w14:paraId="312DEEE5" w14:textId="332577D8" w:rsidR="001238AC" w:rsidRDefault="003E6CD6" w:rsidP="001238AC">
      <w:r>
        <w:rPr>
          <w:rFonts w:eastAsia="Calibri" w:cs="Calibri"/>
          <w:b/>
        </w:rPr>
        <w:lastRenderedPageBreak/>
        <w:t xml:space="preserve">Anticipated </w:t>
      </w:r>
      <w:r w:rsidRPr="00D03F1F">
        <w:rPr>
          <w:rFonts w:eastAsia="Calibri" w:cs="Calibri"/>
          <w:b/>
        </w:rPr>
        <w:t>Timeline</w:t>
      </w:r>
      <w:r w:rsidR="0044244D">
        <w:rPr>
          <w:rFonts w:eastAsia="Calibri" w:cs="Calibri"/>
          <w:b/>
        </w:rPr>
        <w:t>:</w:t>
      </w:r>
      <w:r>
        <w:rPr>
          <w:rFonts w:eastAsia="Calibri" w:cs="Calibri"/>
        </w:rPr>
        <w:t xml:space="preserve"> RFP for new funding </w:t>
      </w:r>
      <w:r w:rsidR="0044244D">
        <w:rPr>
          <w:rFonts w:eastAsia="Calibri" w:cs="Calibri"/>
        </w:rPr>
        <w:t xml:space="preserve">for short-term projects to be </w:t>
      </w:r>
      <w:r>
        <w:rPr>
          <w:rFonts w:eastAsia="Calibri" w:cs="Calibri"/>
        </w:rPr>
        <w:t xml:space="preserve">released in </w:t>
      </w:r>
      <w:r w:rsidR="007A634D">
        <w:rPr>
          <w:rFonts w:eastAsia="Calibri" w:cs="Calibri"/>
        </w:rPr>
        <w:t>Q3</w:t>
      </w:r>
      <w:r>
        <w:rPr>
          <w:rFonts w:eastAsia="Calibri" w:cs="Calibri"/>
        </w:rPr>
        <w:t xml:space="preserve"> 2022. RFP for new </w:t>
      </w:r>
      <w:r w:rsidR="0044244D">
        <w:rPr>
          <w:rFonts w:eastAsia="Calibri" w:cs="Calibri"/>
        </w:rPr>
        <w:t xml:space="preserve">long-term projects to be </w:t>
      </w:r>
      <w:r>
        <w:rPr>
          <w:rFonts w:eastAsia="Calibri" w:cs="Calibri"/>
        </w:rPr>
        <w:t xml:space="preserve">released in </w:t>
      </w:r>
      <w:r w:rsidR="007A634D">
        <w:rPr>
          <w:rFonts w:eastAsia="Calibri" w:cs="Calibri"/>
        </w:rPr>
        <w:t>Q2</w:t>
      </w:r>
      <w:r>
        <w:rPr>
          <w:rFonts w:eastAsia="Calibri" w:cs="Calibri"/>
        </w:rPr>
        <w:t xml:space="preserve"> 2023.</w:t>
      </w:r>
    </w:p>
    <w:tbl>
      <w:tblPr>
        <w:tblStyle w:val="TableGrid"/>
        <w:tblpPr w:leftFromText="180" w:rightFromText="180" w:vertAnchor="text" w:horzAnchor="margin" w:tblpY="388"/>
        <w:tblW w:w="9420" w:type="dxa"/>
        <w:tblLook w:val="04A0" w:firstRow="1" w:lastRow="0" w:firstColumn="1" w:lastColumn="0" w:noHBand="0" w:noVBand="1"/>
      </w:tblPr>
      <w:tblGrid>
        <w:gridCol w:w="9420"/>
      </w:tblGrid>
      <w:tr w:rsidR="0015702C" w:rsidRPr="00D03F1F" w14:paraId="2B931E03" w14:textId="77777777" w:rsidTr="005E6FD3">
        <w:trPr>
          <w:trHeight w:val="347"/>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CE72C16" w14:textId="77777777" w:rsidR="0015702C" w:rsidRPr="00EE121B" w:rsidRDefault="0015702C" w:rsidP="0015702C">
            <w:pPr>
              <w:contextualSpacing/>
              <w:jc w:val="both"/>
              <w:rPr>
                <w:rFonts w:cs="Calibri"/>
                <w:b/>
                <w:sz w:val="28"/>
                <w:szCs w:val="28"/>
              </w:rPr>
            </w:pPr>
            <w:bookmarkStart w:id="58" w:name="Child_Care_Health_Consultation"/>
            <w:r w:rsidRPr="00EE121B">
              <w:rPr>
                <w:rFonts w:eastAsia="Calibri" w:cs="Calibri"/>
                <w:b/>
                <w:color w:val="000000" w:themeColor="text1"/>
                <w:sz w:val="28"/>
                <w:szCs w:val="28"/>
              </w:rPr>
              <w:t xml:space="preserve">Child Care Health Consultation </w:t>
            </w:r>
            <w:bookmarkEnd w:id="58"/>
            <w:r w:rsidRPr="00EE121B">
              <w:rPr>
                <w:rFonts w:eastAsia="Calibri" w:cs="Calibri"/>
                <w:b/>
                <w:color w:val="000000" w:themeColor="text1"/>
                <w:sz w:val="28"/>
                <w:szCs w:val="28"/>
              </w:rPr>
              <w:t>(CCHC)</w:t>
            </w:r>
          </w:p>
        </w:tc>
      </w:tr>
    </w:tbl>
    <w:tbl>
      <w:tblPr>
        <w:tblW w:w="9450" w:type="dxa"/>
        <w:tblLook w:val="04A0" w:firstRow="1" w:lastRow="0" w:firstColumn="1" w:lastColumn="0" w:noHBand="0" w:noVBand="1"/>
      </w:tblPr>
      <w:tblGrid>
        <w:gridCol w:w="973"/>
        <w:gridCol w:w="1189"/>
        <w:gridCol w:w="1190"/>
        <w:gridCol w:w="1190"/>
        <w:gridCol w:w="1190"/>
        <w:gridCol w:w="1190"/>
        <w:gridCol w:w="1190"/>
        <w:gridCol w:w="1338"/>
      </w:tblGrid>
      <w:tr w:rsidR="004321F0" w:rsidRPr="004321F0" w14:paraId="1FE2FE3E" w14:textId="77777777" w:rsidTr="000A3D63">
        <w:trPr>
          <w:trHeight w:val="338"/>
        </w:trPr>
        <w:tc>
          <w:tcPr>
            <w:tcW w:w="9450" w:type="dxa"/>
            <w:gridSpan w:val="8"/>
            <w:tcBorders>
              <w:top w:val="nil"/>
              <w:left w:val="nil"/>
              <w:bottom w:val="single" w:sz="12" w:space="0" w:color="FFD966"/>
              <w:right w:val="nil"/>
            </w:tcBorders>
            <w:shd w:val="clear" w:color="auto" w:fill="auto"/>
            <w:noWrap/>
            <w:vAlign w:val="bottom"/>
            <w:hideMark/>
          </w:tcPr>
          <w:p w14:paraId="3C338786" w14:textId="77777777" w:rsidR="004321F0" w:rsidRPr="004321F0" w:rsidRDefault="004321F0" w:rsidP="004321F0">
            <w:pPr>
              <w:spacing w:line="240" w:lineRule="auto"/>
              <w:rPr>
                <w:rFonts w:eastAsia="Times New Roman" w:cs="Calibri"/>
                <w:b/>
                <w:bCs/>
                <w:i/>
                <w:iCs/>
                <w:color w:val="000000"/>
              </w:rPr>
            </w:pPr>
            <w:r w:rsidRPr="004321F0">
              <w:rPr>
                <w:rFonts w:eastAsia="Times New Roman" w:cs="Calibri"/>
                <w:b/>
                <w:bCs/>
                <w:i/>
                <w:iCs/>
                <w:color w:val="000000"/>
              </w:rPr>
              <w:t>Funding Estimate:</w:t>
            </w:r>
          </w:p>
        </w:tc>
      </w:tr>
      <w:tr w:rsidR="004321F0" w:rsidRPr="004321F0" w14:paraId="5DE9234E" w14:textId="77777777" w:rsidTr="000A3D63">
        <w:trPr>
          <w:trHeight w:val="450"/>
        </w:trPr>
        <w:tc>
          <w:tcPr>
            <w:tcW w:w="973" w:type="dxa"/>
            <w:tcBorders>
              <w:top w:val="nil"/>
              <w:left w:val="single" w:sz="12" w:space="0" w:color="FFD966"/>
              <w:bottom w:val="single" w:sz="8" w:space="0" w:color="FFD966"/>
              <w:right w:val="single" w:sz="8" w:space="0" w:color="FFD966"/>
            </w:tcBorders>
            <w:shd w:val="clear" w:color="000000" w:fill="D9E1F2"/>
            <w:noWrap/>
            <w:vAlign w:val="center"/>
            <w:hideMark/>
          </w:tcPr>
          <w:p w14:paraId="62404CD7" w14:textId="77777777" w:rsidR="004321F0" w:rsidRPr="004321F0" w:rsidRDefault="004321F0" w:rsidP="004321F0">
            <w:pPr>
              <w:spacing w:line="240" w:lineRule="auto"/>
              <w:rPr>
                <w:rFonts w:eastAsia="Times New Roman" w:cs="Calibri"/>
                <w:b/>
                <w:bCs/>
                <w:i/>
                <w:iCs/>
              </w:rPr>
            </w:pPr>
            <w:r w:rsidRPr="004321F0">
              <w:rPr>
                <w:rFonts w:eastAsia="Times New Roman" w:cs="Calibri"/>
                <w:b/>
                <w:bCs/>
                <w:i/>
                <w:iCs/>
              </w:rPr>
              <w:t>Year</w:t>
            </w:r>
          </w:p>
        </w:tc>
        <w:tc>
          <w:tcPr>
            <w:tcW w:w="1189" w:type="dxa"/>
            <w:tcBorders>
              <w:top w:val="nil"/>
              <w:left w:val="nil"/>
              <w:bottom w:val="single" w:sz="8" w:space="0" w:color="FFD966"/>
              <w:right w:val="single" w:sz="8" w:space="0" w:color="FFD966"/>
            </w:tcBorders>
            <w:shd w:val="clear" w:color="000000" w:fill="D9E1F2"/>
            <w:noWrap/>
            <w:vAlign w:val="center"/>
            <w:hideMark/>
          </w:tcPr>
          <w:p w14:paraId="57D0B669" w14:textId="77777777" w:rsidR="004321F0" w:rsidRPr="004321F0" w:rsidRDefault="004321F0" w:rsidP="004321F0">
            <w:pPr>
              <w:spacing w:line="240" w:lineRule="auto"/>
              <w:jc w:val="right"/>
              <w:rPr>
                <w:rFonts w:eastAsia="Times New Roman" w:cs="Calibri"/>
              </w:rPr>
            </w:pPr>
            <w:r w:rsidRPr="004321F0">
              <w:rPr>
                <w:rFonts w:eastAsia="Times New Roman" w:cs="Calibri"/>
              </w:rPr>
              <w:t>2022</w:t>
            </w:r>
          </w:p>
        </w:tc>
        <w:tc>
          <w:tcPr>
            <w:tcW w:w="1190" w:type="dxa"/>
            <w:tcBorders>
              <w:top w:val="nil"/>
              <w:left w:val="nil"/>
              <w:bottom w:val="single" w:sz="8" w:space="0" w:color="FFD966"/>
              <w:right w:val="single" w:sz="8" w:space="0" w:color="FFD966"/>
            </w:tcBorders>
            <w:shd w:val="clear" w:color="000000" w:fill="D9E1F2"/>
            <w:noWrap/>
            <w:vAlign w:val="center"/>
            <w:hideMark/>
          </w:tcPr>
          <w:p w14:paraId="7CF2BFF8" w14:textId="77777777" w:rsidR="004321F0" w:rsidRPr="004321F0" w:rsidRDefault="004321F0" w:rsidP="004321F0">
            <w:pPr>
              <w:spacing w:line="240" w:lineRule="auto"/>
              <w:jc w:val="right"/>
              <w:rPr>
                <w:rFonts w:eastAsia="Times New Roman" w:cs="Calibri"/>
              </w:rPr>
            </w:pPr>
            <w:r w:rsidRPr="004321F0">
              <w:rPr>
                <w:rFonts w:eastAsia="Times New Roman" w:cs="Calibri"/>
              </w:rPr>
              <w:t>2023</w:t>
            </w:r>
          </w:p>
        </w:tc>
        <w:tc>
          <w:tcPr>
            <w:tcW w:w="1190" w:type="dxa"/>
            <w:tcBorders>
              <w:top w:val="nil"/>
              <w:left w:val="nil"/>
              <w:bottom w:val="single" w:sz="8" w:space="0" w:color="FFD966"/>
              <w:right w:val="single" w:sz="8" w:space="0" w:color="FFD966"/>
            </w:tcBorders>
            <w:shd w:val="clear" w:color="000000" w:fill="D9E1F2"/>
            <w:noWrap/>
            <w:vAlign w:val="center"/>
            <w:hideMark/>
          </w:tcPr>
          <w:p w14:paraId="07BB8788" w14:textId="77777777" w:rsidR="004321F0" w:rsidRPr="004321F0" w:rsidRDefault="004321F0" w:rsidP="004321F0">
            <w:pPr>
              <w:spacing w:line="240" w:lineRule="auto"/>
              <w:jc w:val="right"/>
              <w:rPr>
                <w:rFonts w:eastAsia="Times New Roman" w:cs="Calibri"/>
              </w:rPr>
            </w:pPr>
            <w:r w:rsidRPr="004321F0">
              <w:rPr>
                <w:rFonts w:eastAsia="Times New Roman" w:cs="Calibri"/>
              </w:rPr>
              <w:t>2024</w:t>
            </w:r>
          </w:p>
        </w:tc>
        <w:tc>
          <w:tcPr>
            <w:tcW w:w="1190" w:type="dxa"/>
            <w:tcBorders>
              <w:top w:val="nil"/>
              <w:left w:val="nil"/>
              <w:bottom w:val="single" w:sz="8" w:space="0" w:color="FFD966"/>
              <w:right w:val="single" w:sz="8" w:space="0" w:color="FFD966"/>
            </w:tcBorders>
            <w:shd w:val="clear" w:color="000000" w:fill="D9E1F2"/>
            <w:noWrap/>
            <w:vAlign w:val="center"/>
            <w:hideMark/>
          </w:tcPr>
          <w:p w14:paraId="404B1864" w14:textId="77777777" w:rsidR="004321F0" w:rsidRPr="004321F0" w:rsidRDefault="004321F0" w:rsidP="004321F0">
            <w:pPr>
              <w:spacing w:line="240" w:lineRule="auto"/>
              <w:jc w:val="right"/>
              <w:rPr>
                <w:rFonts w:eastAsia="Times New Roman" w:cs="Calibri"/>
              </w:rPr>
            </w:pPr>
            <w:r w:rsidRPr="004321F0">
              <w:rPr>
                <w:rFonts w:eastAsia="Times New Roman" w:cs="Calibri"/>
              </w:rPr>
              <w:t>2025</w:t>
            </w:r>
          </w:p>
        </w:tc>
        <w:tc>
          <w:tcPr>
            <w:tcW w:w="1190" w:type="dxa"/>
            <w:tcBorders>
              <w:top w:val="nil"/>
              <w:left w:val="nil"/>
              <w:bottom w:val="single" w:sz="8" w:space="0" w:color="FFD966"/>
              <w:right w:val="single" w:sz="8" w:space="0" w:color="FFD966"/>
            </w:tcBorders>
            <w:shd w:val="clear" w:color="000000" w:fill="D9E1F2"/>
            <w:noWrap/>
            <w:vAlign w:val="center"/>
            <w:hideMark/>
          </w:tcPr>
          <w:p w14:paraId="1BF37FB5" w14:textId="77777777" w:rsidR="004321F0" w:rsidRPr="004321F0" w:rsidRDefault="004321F0" w:rsidP="004321F0">
            <w:pPr>
              <w:spacing w:line="240" w:lineRule="auto"/>
              <w:jc w:val="right"/>
              <w:rPr>
                <w:rFonts w:eastAsia="Times New Roman" w:cs="Calibri"/>
              </w:rPr>
            </w:pPr>
            <w:r w:rsidRPr="004321F0">
              <w:rPr>
                <w:rFonts w:eastAsia="Times New Roman" w:cs="Calibri"/>
              </w:rPr>
              <w:t>2026</w:t>
            </w:r>
          </w:p>
        </w:tc>
        <w:tc>
          <w:tcPr>
            <w:tcW w:w="1190" w:type="dxa"/>
            <w:tcBorders>
              <w:top w:val="nil"/>
              <w:left w:val="nil"/>
              <w:bottom w:val="single" w:sz="8" w:space="0" w:color="FFD966"/>
              <w:right w:val="single" w:sz="8" w:space="0" w:color="FFD966"/>
            </w:tcBorders>
            <w:shd w:val="clear" w:color="000000" w:fill="D9E1F2"/>
            <w:noWrap/>
            <w:vAlign w:val="center"/>
            <w:hideMark/>
          </w:tcPr>
          <w:p w14:paraId="67771240" w14:textId="77777777" w:rsidR="004321F0" w:rsidRPr="004321F0" w:rsidRDefault="004321F0" w:rsidP="004321F0">
            <w:pPr>
              <w:spacing w:line="240" w:lineRule="auto"/>
              <w:jc w:val="right"/>
              <w:rPr>
                <w:rFonts w:eastAsia="Times New Roman" w:cs="Calibri"/>
              </w:rPr>
            </w:pPr>
            <w:r w:rsidRPr="004321F0">
              <w:rPr>
                <w:rFonts w:eastAsia="Times New Roman" w:cs="Calibri"/>
              </w:rPr>
              <w:t>2027</w:t>
            </w:r>
          </w:p>
        </w:tc>
        <w:tc>
          <w:tcPr>
            <w:tcW w:w="1338" w:type="dxa"/>
            <w:tcBorders>
              <w:top w:val="nil"/>
              <w:left w:val="nil"/>
              <w:bottom w:val="single" w:sz="8" w:space="0" w:color="FFD966"/>
              <w:right w:val="single" w:sz="12" w:space="0" w:color="FFD966"/>
            </w:tcBorders>
            <w:shd w:val="clear" w:color="000000" w:fill="D9E1F2"/>
            <w:noWrap/>
            <w:vAlign w:val="center"/>
            <w:hideMark/>
          </w:tcPr>
          <w:p w14:paraId="5E0416BC" w14:textId="77777777" w:rsidR="004321F0" w:rsidRPr="004321F0" w:rsidRDefault="004321F0" w:rsidP="004321F0">
            <w:pPr>
              <w:spacing w:line="240" w:lineRule="auto"/>
              <w:jc w:val="right"/>
              <w:rPr>
                <w:rFonts w:eastAsia="Times New Roman" w:cs="Calibri"/>
                <w:b/>
                <w:bCs/>
                <w:i/>
                <w:iCs/>
              </w:rPr>
            </w:pPr>
            <w:r w:rsidRPr="004321F0">
              <w:rPr>
                <w:rFonts w:eastAsia="Times New Roman" w:cs="Calibri"/>
                <w:b/>
                <w:bCs/>
                <w:i/>
                <w:iCs/>
              </w:rPr>
              <w:t>Total</w:t>
            </w:r>
          </w:p>
        </w:tc>
      </w:tr>
      <w:tr w:rsidR="004321F0" w:rsidRPr="004321F0" w14:paraId="3B476789" w14:textId="77777777" w:rsidTr="000A3D63">
        <w:trPr>
          <w:trHeight w:val="450"/>
        </w:trPr>
        <w:tc>
          <w:tcPr>
            <w:tcW w:w="973" w:type="dxa"/>
            <w:tcBorders>
              <w:top w:val="nil"/>
              <w:left w:val="single" w:sz="12" w:space="0" w:color="FFD966"/>
              <w:bottom w:val="single" w:sz="12" w:space="0" w:color="FFD966"/>
              <w:right w:val="single" w:sz="8" w:space="0" w:color="FFD966"/>
            </w:tcBorders>
            <w:shd w:val="clear" w:color="auto" w:fill="auto"/>
            <w:noWrap/>
            <w:vAlign w:val="center"/>
            <w:hideMark/>
          </w:tcPr>
          <w:p w14:paraId="53FC4E96" w14:textId="77777777" w:rsidR="004321F0" w:rsidRPr="004321F0" w:rsidRDefault="004321F0" w:rsidP="004321F0">
            <w:pPr>
              <w:spacing w:line="240" w:lineRule="auto"/>
              <w:rPr>
                <w:rFonts w:eastAsia="Times New Roman" w:cs="Calibri"/>
                <w:b/>
                <w:bCs/>
                <w:i/>
                <w:iCs/>
                <w:color w:val="000000"/>
              </w:rPr>
            </w:pPr>
            <w:r w:rsidRPr="004321F0">
              <w:rPr>
                <w:rFonts w:eastAsia="Times New Roman" w:cs="Calibri"/>
                <w:b/>
                <w:bCs/>
                <w:i/>
                <w:iCs/>
                <w:color w:val="000000"/>
              </w:rPr>
              <w:t>Amount</w:t>
            </w:r>
          </w:p>
        </w:tc>
        <w:tc>
          <w:tcPr>
            <w:tcW w:w="1189" w:type="dxa"/>
            <w:tcBorders>
              <w:top w:val="nil"/>
              <w:left w:val="nil"/>
              <w:bottom w:val="single" w:sz="12" w:space="0" w:color="FFD966"/>
              <w:right w:val="single" w:sz="8" w:space="0" w:color="FFD966"/>
            </w:tcBorders>
            <w:shd w:val="clear" w:color="auto" w:fill="auto"/>
            <w:noWrap/>
            <w:vAlign w:val="center"/>
            <w:hideMark/>
          </w:tcPr>
          <w:p w14:paraId="115FB5E0"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$3,400,000 </w:t>
            </w:r>
          </w:p>
        </w:tc>
        <w:tc>
          <w:tcPr>
            <w:tcW w:w="1190" w:type="dxa"/>
            <w:tcBorders>
              <w:top w:val="nil"/>
              <w:left w:val="nil"/>
              <w:bottom w:val="single" w:sz="12" w:space="0" w:color="FFD966"/>
              <w:right w:val="single" w:sz="8" w:space="0" w:color="FFD966"/>
            </w:tcBorders>
            <w:shd w:val="clear" w:color="auto" w:fill="auto"/>
            <w:noWrap/>
            <w:vAlign w:val="center"/>
            <w:hideMark/>
          </w:tcPr>
          <w:p w14:paraId="1FD0FCA3"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$3,475,000 </w:t>
            </w:r>
          </w:p>
        </w:tc>
        <w:tc>
          <w:tcPr>
            <w:tcW w:w="1190" w:type="dxa"/>
            <w:tcBorders>
              <w:top w:val="nil"/>
              <w:left w:val="nil"/>
              <w:bottom w:val="single" w:sz="12" w:space="0" w:color="FFD966"/>
              <w:right w:val="single" w:sz="8" w:space="0" w:color="FFD966"/>
            </w:tcBorders>
            <w:shd w:val="clear" w:color="auto" w:fill="auto"/>
            <w:noWrap/>
            <w:vAlign w:val="center"/>
            <w:hideMark/>
          </w:tcPr>
          <w:p w14:paraId="2F78BDC7"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$3,551,000 </w:t>
            </w:r>
          </w:p>
        </w:tc>
        <w:tc>
          <w:tcPr>
            <w:tcW w:w="1190" w:type="dxa"/>
            <w:tcBorders>
              <w:top w:val="nil"/>
              <w:left w:val="nil"/>
              <w:bottom w:val="single" w:sz="12" w:space="0" w:color="FFD966"/>
              <w:right w:val="single" w:sz="8" w:space="0" w:color="FFD966"/>
            </w:tcBorders>
            <w:shd w:val="clear" w:color="auto" w:fill="auto"/>
            <w:noWrap/>
            <w:vAlign w:val="center"/>
            <w:hideMark/>
          </w:tcPr>
          <w:p w14:paraId="4615367C"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$3,629,000 </w:t>
            </w:r>
          </w:p>
        </w:tc>
        <w:tc>
          <w:tcPr>
            <w:tcW w:w="1190" w:type="dxa"/>
            <w:tcBorders>
              <w:top w:val="nil"/>
              <w:left w:val="nil"/>
              <w:bottom w:val="single" w:sz="12" w:space="0" w:color="FFD966"/>
              <w:right w:val="single" w:sz="8" w:space="0" w:color="FFD966"/>
            </w:tcBorders>
            <w:shd w:val="clear" w:color="auto" w:fill="auto"/>
            <w:noWrap/>
            <w:vAlign w:val="center"/>
            <w:hideMark/>
          </w:tcPr>
          <w:p w14:paraId="36D81FEB"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$3,709,000 </w:t>
            </w:r>
          </w:p>
        </w:tc>
        <w:tc>
          <w:tcPr>
            <w:tcW w:w="1190" w:type="dxa"/>
            <w:tcBorders>
              <w:top w:val="nil"/>
              <w:left w:val="nil"/>
              <w:bottom w:val="single" w:sz="12" w:space="0" w:color="FFD966"/>
              <w:right w:val="single" w:sz="8" w:space="0" w:color="FFD966"/>
            </w:tcBorders>
            <w:shd w:val="clear" w:color="auto" w:fill="auto"/>
            <w:noWrap/>
            <w:vAlign w:val="center"/>
            <w:hideMark/>
          </w:tcPr>
          <w:p w14:paraId="1C4D514A"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$3,791,000 </w:t>
            </w:r>
          </w:p>
        </w:tc>
        <w:tc>
          <w:tcPr>
            <w:tcW w:w="1338" w:type="dxa"/>
            <w:tcBorders>
              <w:top w:val="nil"/>
              <w:left w:val="nil"/>
              <w:bottom w:val="single" w:sz="12" w:space="0" w:color="FFD966"/>
              <w:right w:val="single" w:sz="12" w:space="0" w:color="FFD966"/>
            </w:tcBorders>
            <w:shd w:val="clear" w:color="auto" w:fill="auto"/>
            <w:noWrap/>
            <w:vAlign w:val="center"/>
            <w:hideMark/>
          </w:tcPr>
          <w:p w14:paraId="5D345255" w14:textId="77777777" w:rsidR="004321F0" w:rsidRPr="004321F0" w:rsidRDefault="004321F0" w:rsidP="004321F0">
            <w:pPr>
              <w:spacing w:line="240" w:lineRule="auto"/>
              <w:jc w:val="right"/>
              <w:rPr>
                <w:rFonts w:eastAsia="Times New Roman" w:cs="Calibri"/>
                <w:b/>
                <w:bCs/>
                <w:color w:val="000000"/>
              </w:rPr>
            </w:pPr>
            <w:r w:rsidRPr="004321F0">
              <w:rPr>
                <w:rFonts w:eastAsia="Times New Roman" w:cs="Calibri"/>
                <w:b/>
                <w:bCs/>
                <w:color w:val="000000"/>
              </w:rPr>
              <w:t xml:space="preserve">$21,555,000 </w:t>
            </w:r>
          </w:p>
        </w:tc>
      </w:tr>
    </w:tbl>
    <w:p w14:paraId="35D03224" w14:textId="0AAD0640" w:rsidR="00DF4FB5" w:rsidRPr="00F701AD" w:rsidRDefault="00DF4FB5" w:rsidP="00DF4FB5">
      <w:pPr>
        <w:spacing w:line="257" w:lineRule="auto"/>
        <w:contextualSpacing/>
      </w:pPr>
    </w:p>
    <w:p w14:paraId="650FA658" w14:textId="77777777" w:rsidR="00DF4FB5" w:rsidRPr="00F701AD" w:rsidRDefault="00DF4FB5" w:rsidP="003420B4">
      <w:pPr>
        <w:contextualSpacing/>
      </w:pPr>
      <w:r w:rsidRPr="51A24BCD">
        <w:rPr>
          <w:rFonts w:eastAsia="Calibri" w:cs="Calibri"/>
          <w:b/>
          <w:bCs/>
          <w:color w:val="000000" w:themeColor="text1"/>
        </w:rPr>
        <w:t xml:space="preserve">Description:  </w:t>
      </w:r>
    </w:p>
    <w:p w14:paraId="45D5A47A" w14:textId="7251466D" w:rsidR="00A4244C" w:rsidRPr="0039334C" w:rsidRDefault="003E141C" w:rsidP="003420B4">
      <w:pPr>
        <w:contextualSpacing/>
        <w:rPr>
          <w:rFonts w:eastAsia="Calibri" w:cs="Calibri"/>
          <w:color w:val="000000" w:themeColor="text1"/>
        </w:rPr>
      </w:pPr>
      <w:r>
        <w:rPr>
          <w:rFonts w:eastAsia="Calibri" w:cs="Calibri"/>
          <w:color w:val="000000" w:themeColor="text1"/>
        </w:rPr>
        <w:t>Child Care Health Consultation (CCHC)</w:t>
      </w:r>
      <w:r w:rsidRPr="5967C068">
        <w:rPr>
          <w:rFonts w:eastAsia="Calibri" w:cs="Calibri"/>
          <w:color w:val="000000" w:themeColor="text1"/>
        </w:rPr>
        <w:t xml:space="preserve"> </w:t>
      </w:r>
      <w:r w:rsidRPr="00D03F1F">
        <w:rPr>
          <w:rFonts w:eastAsia="Calibri" w:cs="Calibri"/>
          <w:color w:val="000000" w:themeColor="text1"/>
        </w:rPr>
        <w:t>promote</w:t>
      </w:r>
      <w:r>
        <w:rPr>
          <w:rFonts w:eastAsia="Calibri" w:cs="Calibri"/>
          <w:color w:val="000000" w:themeColor="text1"/>
        </w:rPr>
        <w:t>s</w:t>
      </w:r>
      <w:r w:rsidRPr="00D03F1F">
        <w:rPr>
          <w:rFonts w:eastAsia="Calibri" w:cs="Calibri"/>
          <w:color w:val="000000" w:themeColor="text1"/>
        </w:rPr>
        <w:t xml:space="preserve"> </w:t>
      </w:r>
      <w:r>
        <w:rPr>
          <w:rFonts w:eastAsia="Calibri" w:cs="Calibri"/>
          <w:color w:val="000000" w:themeColor="text1"/>
        </w:rPr>
        <w:t>the</w:t>
      </w:r>
      <w:r w:rsidRPr="00D03F1F">
        <w:rPr>
          <w:rFonts w:eastAsia="Calibri" w:cs="Calibri"/>
          <w:color w:val="000000" w:themeColor="text1"/>
        </w:rPr>
        <w:t xml:space="preserve"> health, safety, and development of children and caregivers in child</w:t>
      </w:r>
      <w:r w:rsidRPr="5967C068">
        <w:rPr>
          <w:rFonts w:eastAsia="Calibri" w:cs="Calibri"/>
          <w:color w:val="000000" w:themeColor="text1"/>
        </w:rPr>
        <w:t xml:space="preserve"> </w:t>
      </w:r>
      <w:r w:rsidRPr="00D03F1F">
        <w:rPr>
          <w:rFonts w:eastAsia="Calibri" w:cs="Calibri"/>
          <w:color w:val="000000" w:themeColor="text1"/>
        </w:rPr>
        <w:t>care settings</w:t>
      </w:r>
      <w:r w:rsidR="00634BC3">
        <w:rPr>
          <w:rFonts w:eastAsia="Calibri" w:cs="Calibri"/>
          <w:color w:val="000000" w:themeColor="text1"/>
        </w:rPr>
        <w:t>. M</w:t>
      </w:r>
      <w:r w:rsidRPr="00D03F1F">
        <w:rPr>
          <w:rFonts w:eastAsia="Calibri" w:cs="Calibri"/>
          <w:color w:val="000000" w:themeColor="text1"/>
        </w:rPr>
        <w:t>ultidisciplinary teams of health care providers, mental health professionals, nutritionists, and others</w:t>
      </w:r>
      <w:r w:rsidR="00634BC3">
        <w:rPr>
          <w:rFonts w:eastAsia="Calibri" w:cs="Calibri"/>
          <w:color w:val="000000" w:themeColor="text1"/>
        </w:rPr>
        <w:t xml:space="preserve">, provide </w:t>
      </w:r>
      <w:r w:rsidR="00FA44CB">
        <w:rPr>
          <w:rFonts w:eastAsia="Calibri" w:cs="Calibri"/>
          <w:color w:val="000000" w:themeColor="text1"/>
        </w:rPr>
        <w:t xml:space="preserve">coaching and training to </w:t>
      </w:r>
      <w:r w:rsidR="0008419A">
        <w:rPr>
          <w:rFonts w:eastAsia="Calibri" w:cs="Calibri"/>
          <w:color w:val="000000" w:themeColor="text1"/>
        </w:rPr>
        <w:t xml:space="preserve">child care </w:t>
      </w:r>
      <w:r w:rsidR="006667BB">
        <w:rPr>
          <w:rFonts w:eastAsia="Calibri" w:cs="Calibri"/>
          <w:color w:val="000000" w:themeColor="text1"/>
        </w:rPr>
        <w:t>providers</w:t>
      </w:r>
      <w:r w:rsidRPr="00D03F1F">
        <w:rPr>
          <w:rFonts w:eastAsia="Calibri" w:cs="Calibri"/>
          <w:color w:val="000000" w:themeColor="text1"/>
        </w:rPr>
        <w:t xml:space="preserve">. </w:t>
      </w:r>
      <w:r w:rsidR="00CF2B48">
        <w:rPr>
          <w:rFonts w:eastAsia="Calibri" w:cs="Calibri"/>
          <w:color w:val="000000" w:themeColor="text1"/>
        </w:rPr>
        <w:t xml:space="preserve">This includes </w:t>
      </w:r>
      <w:r w:rsidR="00D62921" w:rsidRPr="00D03F1F">
        <w:rPr>
          <w:rFonts w:eastAsia="Calibri" w:cs="Calibri"/>
        </w:rPr>
        <w:t>training on mental/behavioral health, sensory and self-regulation, brain development,</w:t>
      </w:r>
      <w:r w:rsidR="00D62921">
        <w:rPr>
          <w:rFonts w:eastAsia="Calibri" w:cs="Calibri"/>
        </w:rPr>
        <w:t xml:space="preserve"> and use of developmental screening tools and resources.</w:t>
      </w:r>
      <w:r w:rsidR="00D62921" w:rsidRPr="00D62921">
        <w:rPr>
          <w:rStyle w:val="FootnoteReference"/>
          <w:rFonts w:eastAsia="Calibri" w:cs="Calibri"/>
        </w:rPr>
        <w:t xml:space="preserve"> </w:t>
      </w:r>
      <w:r w:rsidR="00D62921">
        <w:rPr>
          <w:rStyle w:val="FootnoteReference"/>
          <w:rFonts w:eastAsia="Calibri" w:cs="Calibri"/>
        </w:rPr>
        <w:footnoteReference w:id="144"/>
      </w:r>
      <w:r w:rsidDel="0036549F">
        <w:rPr>
          <w:rFonts w:eastAsia="Calibri" w:cs="Calibri"/>
        </w:rPr>
        <w:t xml:space="preserve"> </w:t>
      </w:r>
      <w:r w:rsidRPr="00D03F1F">
        <w:rPr>
          <w:rFonts w:eastAsia="Calibri" w:cs="Calibri"/>
          <w:color w:val="000000" w:themeColor="text1"/>
        </w:rPr>
        <w:t xml:space="preserve">PHSKC has </w:t>
      </w:r>
      <w:r w:rsidRPr="35FC1433">
        <w:rPr>
          <w:rFonts w:eastAsia="Calibri" w:cs="Calibri"/>
          <w:color w:val="000000" w:themeColor="text1"/>
        </w:rPr>
        <w:t>offered</w:t>
      </w:r>
      <w:r w:rsidRPr="00D03F1F">
        <w:rPr>
          <w:rFonts w:eastAsia="Calibri" w:cs="Calibri"/>
          <w:color w:val="000000" w:themeColor="text1"/>
        </w:rPr>
        <w:t xml:space="preserve"> CCHC throughout </w:t>
      </w:r>
      <w:r>
        <w:rPr>
          <w:rFonts w:eastAsia="Calibri" w:cs="Calibri"/>
          <w:color w:val="000000" w:themeColor="text1"/>
        </w:rPr>
        <w:t>King</w:t>
      </w:r>
      <w:r w:rsidRPr="00D03F1F">
        <w:rPr>
          <w:rFonts w:eastAsia="Calibri" w:cs="Calibri"/>
          <w:color w:val="000000" w:themeColor="text1"/>
        </w:rPr>
        <w:t xml:space="preserve"> County for over 35 years, </w:t>
      </w:r>
      <w:r>
        <w:rPr>
          <w:rFonts w:eastAsia="Calibri" w:cs="Calibri"/>
          <w:color w:val="000000" w:themeColor="text1"/>
        </w:rPr>
        <w:t xml:space="preserve">and </w:t>
      </w:r>
      <w:r w:rsidRPr="009C56CB">
        <w:rPr>
          <w:rFonts w:eastAsia="Calibri" w:cs="Calibri"/>
          <w:i/>
          <w:iCs/>
          <w:color w:val="000000" w:themeColor="text1"/>
        </w:rPr>
        <w:t>Best Starts</w:t>
      </w:r>
      <w:r>
        <w:rPr>
          <w:rFonts w:eastAsia="Calibri" w:cs="Calibri"/>
          <w:color w:val="000000" w:themeColor="text1"/>
        </w:rPr>
        <w:t xml:space="preserve"> partners with</w:t>
      </w:r>
      <w:r w:rsidRPr="00D03F1F">
        <w:rPr>
          <w:rFonts w:eastAsia="Calibri" w:cs="Calibri"/>
          <w:color w:val="000000" w:themeColor="text1"/>
        </w:rPr>
        <w:t xml:space="preserve"> seven community-based partners to strengthen the cultural responsiveness of CCHC services</w:t>
      </w:r>
      <w:r w:rsidR="000209AB">
        <w:rPr>
          <w:rFonts w:eastAsia="Calibri" w:cs="Calibri"/>
          <w:color w:val="000000" w:themeColor="text1"/>
        </w:rPr>
        <w:t>,</w:t>
      </w:r>
      <w:r w:rsidRPr="00D03F1F">
        <w:rPr>
          <w:rFonts w:eastAsia="Calibri" w:cs="Calibri"/>
          <w:color w:val="000000" w:themeColor="text1"/>
        </w:rPr>
        <w:t xml:space="preserve"> </w:t>
      </w:r>
      <w:r>
        <w:rPr>
          <w:rFonts w:eastAsia="Calibri" w:cs="Calibri"/>
          <w:color w:val="000000" w:themeColor="text1"/>
        </w:rPr>
        <w:t xml:space="preserve">and develop </w:t>
      </w:r>
      <w:r w:rsidRPr="00D03F1F">
        <w:rPr>
          <w:rFonts w:eastAsia="Calibri" w:cs="Calibri"/>
          <w:color w:val="000000" w:themeColor="text1"/>
        </w:rPr>
        <w:t>tailor</w:t>
      </w:r>
      <w:r>
        <w:rPr>
          <w:rFonts w:eastAsia="Calibri" w:cs="Calibri"/>
          <w:color w:val="000000" w:themeColor="text1"/>
        </w:rPr>
        <w:t>ed</w:t>
      </w:r>
      <w:r w:rsidRPr="00D03F1F">
        <w:rPr>
          <w:rFonts w:eastAsia="Calibri" w:cs="Calibri"/>
          <w:color w:val="000000" w:themeColor="text1"/>
        </w:rPr>
        <w:t xml:space="preserve"> supports </w:t>
      </w:r>
      <w:r>
        <w:rPr>
          <w:rFonts w:eastAsia="Calibri" w:cs="Calibri"/>
          <w:color w:val="000000" w:themeColor="text1"/>
        </w:rPr>
        <w:t>for</w:t>
      </w:r>
      <w:r w:rsidRPr="00D03F1F">
        <w:rPr>
          <w:rFonts w:eastAsia="Calibri" w:cs="Calibri"/>
          <w:color w:val="000000" w:themeColor="text1"/>
        </w:rPr>
        <w:t xml:space="preserve"> different communities and cultures.</w:t>
      </w:r>
      <w:r>
        <w:rPr>
          <w:rStyle w:val="FootnoteReference"/>
          <w:rFonts w:eastAsia="Calibri" w:cs="Calibri"/>
          <w:color w:val="000000" w:themeColor="text1"/>
        </w:rPr>
        <w:footnoteReference w:id="145"/>
      </w:r>
      <w:r w:rsidRPr="00D03F1F">
        <w:rPr>
          <w:rFonts w:eastAsia="Calibri" w:cs="Calibri"/>
          <w:color w:val="000000" w:themeColor="text1"/>
        </w:rPr>
        <w:t xml:space="preserve"> </w:t>
      </w:r>
      <w:r>
        <w:rPr>
          <w:rFonts w:eastAsia="Calibri" w:cs="Calibri"/>
          <w:color w:val="000000" w:themeColor="text1"/>
        </w:rPr>
        <w:t>Programs serve licensed child care providers and Family, Friend, and Neighbor (FFN) or</w:t>
      </w:r>
      <w:r w:rsidR="00FD5CC4">
        <w:rPr>
          <w:rFonts w:eastAsia="Calibri" w:cs="Calibri"/>
          <w:color w:val="000000" w:themeColor="text1"/>
        </w:rPr>
        <w:t xml:space="preserve"> </w:t>
      </w:r>
      <w:r>
        <w:rPr>
          <w:rFonts w:eastAsia="Calibri" w:cs="Calibri"/>
          <w:color w:val="000000" w:themeColor="text1"/>
        </w:rPr>
        <w:t>informal caregivers, and are delivered using both the core PHSKC program model, as well as</w:t>
      </w:r>
      <w:r w:rsidRPr="00D03F1F">
        <w:rPr>
          <w:rFonts w:eastAsia="Calibri" w:cs="Calibri"/>
          <w:color w:val="000000" w:themeColor="text1"/>
        </w:rPr>
        <w:t xml:space="preserve"> innovative </w:t>
      </w:r>
      <w:r>
        <w:rPr>
          <w:rFonts w:eastAsia="Calibri" w:cs="Calibri"/>
          <w:color w:val="000000" w:themeColor="text1"/>
        </w:rPr>
        <w:t xml:space="preserve">and </w:t>
      </w:r>
      <w:r w:rsidRPr="00D03F1F">
        <w:rPr>
          <w:rFonts w:eastAsia="Calibri" w:cs="Calibri"/>
          <w:color w:val="000000" w:themeColor="text1"/>
        </w:rPr>
        <w:t>community-</w:t>
      </w:r>
      <w:r w:rsidR="00882951">
        <w:rPr>
          <w:rFonts w:eastAsia="Calibri" w:cs="Calibri"/>
          <w:color w:val="000000" w:themeColor="text1"/>
        </w:rPr>
        <w:t>informed</w:t>
      </w:r>
      <w:r w:rsidRPr="00D03F1F">
        <w:rPr>
          <w:rFonts w:eastAsia="Calibri" w:cs="Calibri"/>
          <w:color w:val="000000" w:themeColor="text1"/>
        </w:rPr>
        <w:t xml:space="preserve"> </w:t>
      </w:r>
      <w:r>
        <w:rPr>
          <w:rFonts w:eastAsia="Calibri" w:cs="Calibri"/>
          <w:color w:val="000000" w:themeColor="text1"/>
        </w:rPr>
        <w:t>pilot approaches</w:t>
      </w:r>
      <w:r w:rsidRPr="00D03F1F">
        <w:rPr>
          <w:rFonts w:eastAsia="Calibri" w:cs="Calibri"/>
          <w:color w:val="000000" w:themeColor="text1"/>
        </w:rPr>
        <w:t xml:space="preserve"> embedded in the values and norms of the community</w:t>
      </w:r>
      <w:r>
        <w:rPr>
          <w:rFonts w:eastAsia="Calibri" w:cs="Calibri"/>
          <w:color w:val="000000" w:themeColor="text1"/>
        </w:rPr>
        <w:t>.</w:t>
      </w:r>
      <w:r w:rsidR="007A634D" w:rsidRPr="007A634D">
        <w:rPr>
          <w:rStyle w:val="FootnoteReference"/>
          <w:rFonts w:eastAsia="Calibri" w:cs="Calibri"/>
          <w:color w:val="000000" w:themeColor="text1"/>
        </w:rPr>
        <w:t xml:space="preserve"> </w:t>
      </w:r>
      <w:r w:rsidR="007A634D">
        <w:rPr>
          <w:rStyle w:val="FootnoteReference"/>
          <w:rFonts w:eastAsia="Calibri" w:cs="Calibri"/>
          <w:color w:val="000000" w:themeColor="text1"/>
        </w:rPr>
        <w:footnoteReference w:id="146"/>
      </w:r>
      <w:r w:rsidR="007A634D">
        <w:rPr>
          <w:rFonts w:eastAsia="Calibri" w:cs="Calibri"/>
          <w:color w:val="000000" w:themeColor="text1"/>
        </w:rPr>
        <w:t xml:space="preserve"> </w:t>
      </w:r>
      <w:r>
        <w:rPr>
          <w:rStyle w:val="FootnoteReference"/>
          <w:rFonts w:eastAsia="Calibri" w:cs="Calibri"/>
          <w:color w:val="000000" w:themeColor="text1"/>
        </w:rPr>
        <w:footnoteReference w:id="147"/>
      </w:r>
      <w:r w:rsidRPr="3F842D04">
        <w:rPr>
          <w:rStyle w:val="FootnoteReference"/>
          <w:rFonts w:eastAsia="Calibri" w:cs="Calibri"/>
          <w:color w:val="000000" w:themeColor="text1"/>
        </w:rPr>
        <w:t xml:space="preserve"> </w:t>
      </w:r>
    </w:p>
    <w:p w14:paraId="29AC61C2" w14:textId="77777777" w:rsidR="00A4244C" w:rsidRDefault="00A4244C" w:rsidP="00A4244C">
      <w:pPr>
        <w:contextualSpacing/>
        <w:rPr>
          <w:rFonts w:eastAsia="Calibri" w:cs="Calibri"/>
          <w:b/>
          <w:bCs/>
          <w:color w:val="000000" w:themeColor="text1"/>
        </w:rPr>
      </w:pPr>
    </w:p>
    <w:p w14:paraId="503B05D0" w14:textId="254CED9D" w:rsidR="00A4244C" w:rsidRPr="00A4244C" w:rsidRDefault="003E141C" w:rsidP="00A4244C">
      <w:pPr>
        <w:contextualSpacing/>
        <w:rPr>
          <w:rFonts w:eastAsia="Calibri" w:cs="Calibri"/>
          <w:b/>
          <w:color w:val="000000" w:themeColor="text1"/>
        </w:rPr>
      </w:pPr>
      <w:r>
        <w:rPr>
          <w:rFonts w:eastAsia="Calibri" w:cs="Calibri"/>
          <w:b/>
          <w:bCs/>
          <w:color w:val="000000" w:themeColor="text1"/>
        </w:rPr>
        <w:t xml:space="preserve">Planned </w:t>
      </w:r>
      <w:r w:rsidRPr="00D03F1F">
        <w:rPr>
          <w:rFonts w:eastAsia="Calibri" w:cs="Calibri"/>
          <w:b/>
          <w:color w:val="000000" w:themeColor="text1"/>
        </w:rPr>
        <w:t>Refinements</w:t>
      </w:r>
      <w:r>
        <w:rPr>
          <w:rFonts w:eastAsia="Calibri" w:cs="Calibri"/>
          <w:b/>
          <w:color w:val="000000" w:themeColor="text1"/>
        </w:rPr>
        <w:t xml:space="preserve"> in </w:t>
      </w:r>
      <w:r w:rsidR="00356E24" w:rsidRPr="00AF0C5A">
        <w:rPr>
          <w:rFonts w:eastAsia="Calibri" w:cs="Calibri"/>
          <w:b/>
          <w:i/>
          <w:color w:val="000000" w:themeColor="text1"/>
        </w:rPr>
        <w:t>Best Starts for Kids</w:t>
      </w:r>
      <w:r w:rsidR="00356E24" w:rsidRPr="00356E24">
        <w:rPr>
          <w:rFonts w:eastAsia="Calibri" w:cs="Calibri"/>
          <w:b/>
          <w:color w:val="000000" w:themeColor="text1"/>
        </w:rPr>
        <w:t xml:space="preserve"> 2022-2027</w:t>
      </w:r>
      <w:r w:rsidRPr="00D03F1F">
        <w:rPr>
          <w:rFonts w:eastAsia="Calibri" w:cs="Calibri"/>
          <w:b/>
          <w:color w:val="000000" w:themeColor="text1"/>
        </w:rPr>
        <w:t xml:space="preserve">: </w:t>
      </w:r>
    </w:p>
    <w:p w14:paraId="6753F6D9" w14:textId="7EBB4ACE" w:rsidR="00786C17" w:rsidRPr="001E0E2D" w:rsidRDefault="001B59ED" w:rsidP="00025030">
      <w:pPr>
        <w:pStyle w:val="ListParagraph"/>
        <w:numPr>
          <w:ilvl w:val="0"/>
          <w:numId w:val="33"/>
        </w:numPr>
        <w:contextualSpacing w:val="0"/>
      </w:pPr>
      <w:r>
        <w:rPr>
          <w:rFonts w:eastAsia="Calibri" w:cs="Calibri"/>
          <w:bCs/>
          <w:color w:val="000000" w:themeColor="text1"/>
        </w:rPr>
        <w:t xml:space="preserve">Continue funding systems development work with a focus on </w:t>
      </w:r>
      <w:r>
        <w:rPr>
          <w:rFonts w:eastAsia="Calibri" w:cs="Calibri"/>
        </w:rPr>
        <w:t>developing</w:t>
      </w:r>
      <w:r w:rsidRPr="00B12B90">
        <w:rPr>
          <w:rFonts w:eastAsia="Calibri" w:cs="Calibri"/>
        </w:rPr>
        <w:t xml:space="preserve"> a cohesive and accessible countywide system of child care health consultation that alleviates race- and place-based inequities</w:t>
      </w:r>
      <w:r w:rsidR="001E0E2D">
        <w:rPr>
          <w:rFonts w:eastAsia="Calibri" w:cs="Calibri"/>
        </w:rPr>
        <w:t>.</w:t>
      </w:r>
    </w:p>
    <w:p w14:paraId="26D2A7A5" w14:textId="31E26798" w:rsidR="001E0E2D" w:rsidRPr="00604B8B" w:rsidRDefault="001E0E2D" w:rsidP="00025030">
      <w:pPr>
        <w:pStyle w:val="ListParagraph"/>
        <w:numPr>
          <w:ilvl w:val="0"/>
          <w:numId w:val="33"/>
        </w:numPr>
        <w:contextualSpacing w:val="0"/>
        <w:rPr>
          <w:bCs/>
        </w:rPr>
      </w:pPr>
      <w:r w:rsidRPr="00604B8B">
        <w:rPr>
          <w:rFonts w:eastAsia="Calibri" w:cs="Calibri"/>
          <w:bCs/>
          <w:color w:val="000000" w:themeColor="text1"/>
        </w:rPr>
        <w:t>Expand focus populations served by CCHC programs to reach new cultural, language, and geographic communit</w:t>
      </w:r>
      <w:r>
        <w:rPr>
          <w:rFonts w:eastAsia="Calibri" w:cs="Calibri"/>
          <w:bCs/>
          <w:color w:val="000000" w:themeColor="text1"/>
        </w:rPr>
        <w:t xml:space="preserve">ies currently not served, for example Hispanic/Latino, indigenous, </w:t>
      </w:r>
      <w:r w:rsidR="00F04C25" w:rsidRPr="00FF3331">
        <w:rPr>
          <w:rFonts w:eastAsia="Calibri" w:cs="Calibri"/>
        </w:rPr>
        <w:t xml:space="preserve">Asian </w:t>
      </w:r>
      <w:r w:rsidR="00F04C25">
        <w:rPr>
          <w:rFonts w:eastAsia="Calibri" w:cs="Calibri"/>
        </w:rPr>
        <w:t xml:space="preserve">American, Native Hawaiian, and </w:t>
      </w:r>
      <w:r w:rsidR="00F04C25" w:rsidRPr="00FF3331">
        <w:rPr>
          <w:rFonts w:eastAsia="Calibri" w:cs="Calibri"/>
        </w:rPr>
        <w:t>Pacific Islander</w:t>
      </w:r>
      <w:r w:rsidR="00F04C25">
        <w:rPr>
          <w:rFonts w:eastAsia="Calibri" w:cs="Calibri"/>
        </w:rPr>
        <w:t xml:space="preserve"> </w:t>
      </w:r>
      <w:r>
        <w:rPr>
          <w:rFonts w:eastAsia="Calibri" w:cs="Calibri"/>
          <w:bCs/>
          <w:color w:val="000000" w:themeColor="text1"/>
        </w:rPr>
        <w:t>as well as rural communities in King County.</w:t>
      </w:r>
    </w:p>
    <w:p w14:paraId="5050780B" w14:textId="77777777" w:rsidR="003E141C" w:rsidRPr="00F701AD" w:rsidRDefault="003E141C" w:rsidP="003E141C">
      <w:pPr>
        <w:contextualSpacing/>
      </w:pPr>
    </w:p>
    <w:p w14:paraId="185BA409" w14:textId="1DE96E2E" w:rsidR="003E141C" w:rsidRPr="001A00E3" w:rsidRDefault="003E141C" w:rsidP="003E141C">
      <w:pPr>
        <w:pStyle w:val="paragraph"/>
        <w:spacing w:beforeAutospacing="0" w:after="0" w:afterAutospacing="0"/>
      </w:pPr>
      <w:r>
        <w:rPr>
          <w:b/>
          <w:bCs/>
        </w:rPr>
        <w:t xml:space="preserve">Approximate </w:t>
      </w:r>
      <w:r w:rsidR="002201D3">
        <w:rPr>
          <w:b/>
          <w:bCs/>
        </w:rPr>
        <w:t>Scope</w:t>
      </w:r>
      <w:r>
        <w:rPr>
          <w:b/>
          <w:bCs/>
        </w:rPr>
        <w:t xml:space="preserve">: </w:t>
      </w:r>
      <w:r w:rsidR="007678B8">
        <w:t xml:space="preserve">Child Care Health Consultation </w:t>
      </w:r>
      <w:r w:rsidR="00493DAE">
        <w:t>intends to reach approximately 1</w:t>
      </w:r>
      <w:r w:rsidR="006404D9">
        <w:t>,</w:t>
      </w:r>
      <w:r w:rsidR="00493DAE">
        <w:t xml:space="preserve">200 providers </w:t>
      </w:r>
      <w:r w:rsidR="009973CE">
        <w:t xml:space="preserve">annually. </w:t>
      </w:r>
    </w:p>
    <w:p w14:paraId="7EE8A0DF" w14:textId="0458494E" w:rsidR="00DF4FB5" w:rsidRDefault="003E141C" w:rsidP="003E141C">
      <w:pPr>
        <w:contextualSpacing/>
        <w:rPr>
          <w:rFonts w:eastAsia="Calibri" w:cs="Calibri"/>
        </w:rPr>
      </w:pPr>
      <w:r>
        <w:rPr>
          <w:rFonts w:eastAsia="Calibri" w:cs="Calibri"/>
          <w:b/>
          <w:bCs/>
        </w:rPr>
        <w:lastRenderedPageBreak/>
        <w:t>Anticipated</w:t>
      </w:r>
      <w:r w:rsidR="00DF4FB5">
        <w:rPr>
          <w:rFonts w:eastAsia="Calibri" w:cs="Calibri"/>
          <w:b/>
          <w:bCs/>
        </w:rPr>
        <w:t xml:space="preserve"> </w:t>
      </w:r>
      <w:r w:rsidR="00DF4FB5" w:rsidRPr="00D03F1F">
        <w:rPr>
          <w:rFonts w:eastAsia="Calibri" w:cs="Calibri"/>
          <w:b/>
        </w:rPr>
        <w:t xml:space="preserve">Timeline: </w:t>
      </w:r>
      <w:r w:rsidR="00DF4FB5" w:rsidRPr="005D5D48">
        <w:rPr>
          <w:rFonts w:eastAsia="Calibri" w:cs="Calibri"/>
        </w:rPr>
        <w:t xml:space="preserve">RFP </w:t>
      </w:r>
      <w:r w:rsidR="00324CA7">
        <w:rPr>
          <w:rFonts w:eastAsia="Calibri" w:cs="Calibri"/>
        </w:rPr>
        <w:t xml:space="preserve">to be </w:t>
      </w:r>
      <w:r w:rsidR="007A634D">
        <w:rPr>
          <w:rFonts w:eastAsia="Calibri" w:cs="Calibri"/>
        </w:rPr>
        <w:t>released in Q4</w:t>
      </w:r>
      <w:r w:rsidR="00DF4FB5" w:rsidRPr="005D5D48">
        <w:rPr>
          <w:rFonts w:eastAsia="Calibri" w:cs="Calibri"/>
        </w:rPr>
        <w:t xml:space="preserve"> 2022. </w:t>
      </w:r>
    </w:p>
    <w:p w14:paraId="681BF56D" w14:textId="77777777" w:rsidR="009F35C1" w:rsidRDefault="009F35C1" w:rsidP="003E141C">
      <w:pPr>
        <w:contextualSpacing/>
      </w:pPr>
    </w:p>
    <w:tbl>
      <w:tblPr>
        <w:tblStyle w:val="TableGrid"/>
        <w:tblpPr w:leftFromText="180" w:rightFromText="180" w:vertAnchor="text" w:horzAnchor="margin" w:tblpY="122"/>
        <w:tblW w:w="9420" w:type="dxa"/>
        <w:tblLook w:val="04A0" w:firstRow="1" w:lastRow="0" w:firstColumn="1" w:lastColumn="0" w:noHBand="0" w:noVBand="1"/>
      </w:tblPr>
      <w:tblGrid>
        <w:gridCol w:w="9420"/>
      </w:tblGrid>
      <w:tr w:rsidR="00DF4FB5" w:rsidRPr="00D03F1F" w14:paraId="44E7DCFB" w14:textId="77777777" w:rsidTr="005E6FD3">
        <w:trPr>
          <w:trHeight w:val="390"/>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1E693375" w14:textId="0E87B5C8" w:rsidR="00DF4FB5" w:rsidRPr="00EE121B" w:rsidRDefault="00DF4FB5" w:rsidP="00CB15C6">
            <w:pPr>
              <w:contextualSpacing/>
              <w:rPr>
                <w:rFonts w:cs="Calibri"/>
                <w:b/>
                <w:sz w:val="28"/>
                <w:szCs w:val="28"/>
              </w:rPr>
            </w:pPr>
            <w:bookmarkStart w:id="59" w:name="Systems_Building_for_Infant_Mental_Heath"/>
            <w:r w:rsidRPr="00EE121B">
              <w:rPr>
                <w:rFonts w:eastAsia="Calibri" w:cs="Calibri"/>
                <w:b/>
                <w:color w:val="1D1D1D"/>
                <w:sz w:val="28"/>
                <w:szCs w:val="28"/>
              </w:rPr>
              <w:t>Systems Building for Infant and Early Childhood Mental Health</w:t>
            </w:r>
            <w:bookmarkEnd w:id="59"/>
          </w:p>
        </w:tc>
      </w:tr>
    </w:tbl>
    <w:tbl>
      <w:tblPr>
        <w:tblW w:w="9450" w:type="dxa"/>
        <w:tblLook w:val="04A0" w:firstRow="1" w:lastRow="0" w:firstColumn="1" w:lastColumn="0" w:noHBand="0" w:noVBand="1"/>
      </w:tblPr>
      <w:tblGrid>
        <w:gridCol w:w="987"/>
        <w:gridCol w:w="1204"/>
        <w:gridCol w:w="1204"/>
        <w:gridCol w:w="1204"/>
        <w:gridCol w:w="1204"/>
        <w:gridCol w:w="1204"/>
        <w:gridCol w:w="1204"/>
        <w:gridCol w:w="1239"/>
      </w:tblGrid>
      <w:tr w:rsidR="00912B7F" w:rsidRPr="00912B7F" w14:paraId="66B8032D" w14:textId="77777777" w:rsidTr="000A3D63">
        <w:trPr>
          <w:trHeight w:val="256"/>
        </w:trPr>
        <w:tc>
          <w:tcPr>
            <w:tcW w:w="9450" w:type="dxa"/>
            <w:gridSpan w:val="8"/>
            <w:tcBorders>
              <w:top w:val="nil"/>
              <w:left w:val="nil"/>
              <w:bottom w:val="single" w:sz="12" w:space="0" w:color="FFD966"/>
              <w:right w:val="nil"/>
            </w:tcBorders>
            <w:shd w:val="clear" w:color="auto" w:fill="auto"/>
            <w:noWrap/>
            <w:vAlign w:val="bottom"/>
            <w:hideMark/>
          </w:tcPr>
          <w:p w14:paraId="5E4A62AA" w14:textId="77777777" w:rsidR="00912B7F" w:rsidRPr="00912B7F" w:rsidRDefault="00912B7F" w:rsidP="00912B7F">
            <w:pPr>
              <w:spacing w:line="240" w:lineRule="auto"/>
              <w:rPr>
                <w:rFonts w:eastAsia="Times New Roman" w:cs="Calibri"/>
                <w:b/>
                <w:bCs/>
                <w:i/>
                <w:iCs/>
                <w:color w:val="000000"/>
              </w:rPr>
            </w:pPr>
            <w:r w:rsidRPr="00912B7F">
              <w:rPr>
                <w:rFonts w:eastAsia="Times New Roman" w:cs="Calibri"/>
                <w:b/>
                <w:bCs/>
                <w:i/>
                <w:iCs/>
                <w:color w:val="000000"/>
              </w:rPr>
              <w:t>Funding Estimate:</w:t>
            </w:r>
          </w:p>
        </w:tc>
      </w:tr>
      <w:tr w:rsidR="00912B7F" w:rsidRPr="00912B7F" w14:paraId="5B99394D" w14:textId="77777777" w:rsidTr="000A3D63">
        <w:trPr>
          <w:trHeight w:val="341"/>
        </w:trPr>
        <w:tc>
          <w:tcPr>
            <w:tcW w:w="987" w:type="dxa"/>
            <w:tcBorders>
              <w:top w:val="nil"/>
              <w:left w:val="single" w:sz="12" w:space="0" w:color="FFD966"/>
              <w:bottom w:val="single" w:sz="8" w:space="0" w:color="FFD966"/>
              <w:right w:val="single" w:sz="8" w:space="0" w:color="FFD966"/>
            </w:tcBorders>
            <w:shd w:val="clear" w:color="000000" w:fill="D9E1F2"/>
            <w:noWrap/>
            <w:vAlign w:val="center"/>
            <w:hideMark/>
          </w:tcPr>
          <w:p w14:paraId="3C5EB302" w14:textId="77777777" w:rsidR="00912B7F" w:rsidRPr="00912B7F" w:rsidRDefault="00912B7F" w:rsidP="00912B7F">
            <w:pPr>
              <w:spacing w:line="240" w:lineRule="auto"/>
              <w:rPr>
                <w:rFonts w:eastAsia="Times New Roman" w:cs="Calibri"/>
                <w:b/>
                <w:bCs/>
                <w:i/>
                <w:iCs/>
              </w:rPr>
            </w:pPr>
            <w:r w:rsidRPr="00912B7F">
              <w:rPr>
                <w:rFonts w:eastAsia="Times New Roman" w:cs="Calibri"/>
                <w:b/>
                <w:bCs/>
                <w:i/>
                <w:iCs/>
              </w:rPr>
              <w:t>Year</w:t>
            </w:r>
          </w:p>
        </w:tc>
        <w:tc>
          <w:tcPr>
            <w:tcW w:w="1204" w:type="dxa"/>
            <w:tcBorders>
              <w:top w:val="nil"/>
              <w:left w:val="nil"/>
              <w:bottom w:val="single" w:sz="8" w:space="0" w:color="FFD966"/>
              <w:right w:val="single" w:sz="8" w:space="0" w:color="FFD966"/>
            </w:tcBorders>
            <w:shd w:val="clear" w:color="000000" w:fill="D9E1F2"/>
            <w:noWrap/>
            <w:vAlign w:val="center"/>
            <w:hideMark/>
          </w:tcPr>
          <w:p w14:paraId="18062F84" w14:textId="77777777" w:rsidR="00912B7F" w:rsidRPr="00912B7F" w:rsidRDefault="00912B7F" w:rsidP="00912B7F">
            <w:pPr>
              <w:spacing w:line="240" w:lineRule="auto"/>
              <w:jc w:val="right"/>
              <w:rPr>
                <w:rFonts w:eastAsia="Times New Roman" w:cs="Calibri"/>
              </w:rPr>
            </w:pPr>
            <w:r w:rsidRPr="00912B7F">
              <w:rPr>
                <w:rFonts w:eastAsia="Times New Roman" w:cs="Calibri"/>
              </w:rPr>
              <w:t>2022</w:t>
            </w:r>
          </w:p>
        </w:tc>
        <w:tc>
          <w:tcPr>
            <w:tcW w:w="1204" w:type="dxa"/>
            <w:tcBorders>
              <w:top w:val="nil"/>
              <w:left w:val="nil"/>
              <w:bottom w:val="single" w:sz="8" w:space="0" w:color="FFD966"/>
              <w:right w:val="single" w:sz="8" w:space="0" w:color="FFD966"/>
            </w:tcBorders>
            <w:shd w:val="clear" w:color="000000" w:fill="D9E1F2"/>
            <w:noWrap/>
            <w:vAlign w:val="center"/>
            <w:hideMark/>
          </w:tcPr>
          <w:p w14:paraId="4059A1FC" w14:textId="77777777" w:rsidR="00912B7F" w:rsidRPr="00912B7F" w:rsidRDefault="00912B7F" w:rsidP="00912B7F">
            <w:pPr>
              <w:spacing w:line="240" w:lineRule="auto"/>
              <w:jc w:val="right"/>
              <w:rPr>
                <w:rFonts w:eastAsia="Times New Roman" w:cs="Calibri"/>
              </w:rPr>
            </w:pPr>
            <w:r w:rsidRPr="00912B7F">
              <w:rPr>
                <w:rFonts w:eastAsia="Times New Roman" w:cs="Calibri"/>
              </w:rPr>
              <w:t>2023</w:t>
            </w:r>
          </w:p>
        </w:tc>
        <w:tc>
          <w:tcPr>
            <w:tcW w:w="1204" w:type="dxa"/>
            <w:tcBorders>
              <w:top w:val="nil"/>
              <w:left w:val="nil"/>
              <w:bottom w:val="single" w:sz="8" w:space="0" w:color="FFD966"/>
              <w:right w:val="single" w:sz="8" w:space="0" w:color="FFD966"/>
            </w:tcBorders>
            <w:shd w:val="clear" w:color="000000" w:fill="D9E1F2"/>
            <w:noWrap/>
            <w:vAlign w:val="center"/>
            <w:hideMark/>
          </w:tcPr>
          <w:p w14:paraId="49A821E1" w14:textId="77777777" w:rsidR="00912B7F" w:rsidRPr="00912B7F" w:rsidRDefault="00912B7F" w:rsidP="00912B7F">
            <w:pPr>
              <w:spacing w:line="240" w:lineRule="auto"/>
              <w:jc w:val="right"/>
              <w:rPr>
                <w:rFonts w:eastAsia="Times New Roman" w:cs="Calibri"/>
              </w:rPr>
            </w:pPr>
            <w:r w:rsidRPr="00912B7F">
              <w:rPr>
                <w:rFonts w:eastAsia="Times New Roman" w:cs="Calibri"/>
              </w:rPr>
              <w:t>2024</w:t>
            </w:r>
          </w:p>
        </w:tc>
        <w:tc>
          <w:tcPr>
            <w:tcW w:w="1204" w:type="dxa"/>
            <w:tcBorders>
              <w:top w:val="nil"/>
              <w:left w:val="nil"/>
              <w:bottom w:val="single" w:sz="8" w:space="0" w:color="FFD966"/>
              <w:right w:val="single" w:sz="8" w:space="0" w:color="FFD966"/>
            </w:tcBorders>
            <w:shd w:val="clear" w:color="000000" w:fill="D9E1F2"/>
            <w:noWrap/>
            <w:vAlign w:val="center"/>
            <w:hideMark/>
          </w:tcPr>
          <w:p w14:paraId="52288CB4" w14:textId="77777777" w:rsidR="00912B7F" w:rsidRPr="00912B7F" w:rsidRDefault="00912B7F" w:rsidP="00912B7F">
            <w:pPr>
              <w:spacing w:line="240" w:lineRule="auto"/>
              <w:jc w:val="right"/>
              <w:rPr>
                <w:rFonts w:eastAsia="Times New Roman" w:cs="Calibri"/>
              </w:rPr>
            </w:pPr>
            <w:r w:rsidRPr="00912B7F">
              <w:rPr>
                <w:rFonts w:eastAsia="Times New Roman" w:cs="Calibri"/>
              </w:rPr>
              <w:t>2025</w:t>
            </w:r>
          </w:p>
        </w:tc>
        <w:tc>
          <w:tcPr>
            <w:tcW w:w="1204" w:type="dxa"/>
            <w:tcBorders>
              <w:top w:val="nil"/>
              <w:left w:val="nil"/>
              <w:bottom w:val="single" w:sz="8" w:space="0" w:color="FFD966"/>
              <w:right w:val="single" w:sz="8" w:space="0" w:color="FFD966"/>
            </w:tcBorders>
            <w:shd w:val="clear" w:color="000000" w:fill="D9E1F2"/>
            <w:noWrap/>
            <w:vAlign w:val="center"/>
            <w:hideMark/>
          </w:tcPr>
          <w:p w14:paraId="78AAB8AB" w14:textId="77777777" w:rsidR="00912B7F" w:rsidRPr="00912B7F" w:rsidRDefault="00912B7F" w:rsidP="00912B7F">
            <w:pPr>
              <w:spacing w:line="240" w:lineRule="auto"/>
              <w:jc w:val="right"/>
              <w:rPr>
                <w:rFonts w:eastAsia="Times New Roman" w:cs="Calibri"/>
              </w:rPr>
            </w:pPr>
            <w:r w:rsidRPr="00912B7F">
              <w:rPr>
                <w:rFonts w:eastAsia="Times New Roman" w:cs="Calibri"/>
              </w:rPr>
              <w:t>2026</w:t>
            </w:r>
          </w:p>
        </w:tc>
        <w:tc>
          <w:tcPr>
            <w:tcW w:w="1204" w:type="dxa"/>
            <w:tcBorders>
              <w:top w:val="nil"/>
              <w:left w:val="nil"/>
              <w:bottom w:val="single" w:sz="8" w:space="0" w:color="FFD966"/>
              <w:right w:val="single" w:sz="8" w:space="0" w:color="FFD966"/>
            </w:tcBorders>
            <w:shd w:val="clear" w:color="000000" w:fill="D9E1F2"/>
            <w:noWrap/>
            <w:vAlign w:val="center"/>
            <w:hideMark/>
          </w:tcPr>
          <w:p w14:paraId="487B6BCF" w14:textId="77777777" w:rsidR="00912B7F" w:rsidRPr="00912B7F" w:rsidRDefault="00912B7F" w:rsidP="00912B7F">
            <w:pPr>
              <w:spacing w:line="240" w:lineRule="auto"/>
              <w:jc w:val="right"/>
              <w:rPr>
                <w:rFonts w:eastAsia="Times New Roman" w:cs="Calibri"/>
              </w:rPr>
            </w:pPr>
            <w:r w:rsidRPr="00912B7F">
              <w:rPr>
                <w:rFonts w:eastAsia="Times New Roman" w:cs="Calibri"/>
              </w:rPr>
              <w:t>2027</w:t>
            </w:r>
          </w:p>
        </w:tc>
        <w:tc>
          <w:tcPr>
            <w:tcW w:w="1239" w:type="dxa"/>
            <w:tcBorders>
              <w:top w:val="nil"/>
              <w:left w:val="nil"/>
              <w:bottom w:val="single" w:sz="8" w:space="0" w:color="FFD966"/>
              <w:right w:val="single" w:sz="12" w:space="0" w:color="FFD966"/>
            </w:tcBorders>
            <w:shd w:val="clear" w:color="000000" w:fill="D9E1F2"/>
            <w:noWrap/>
            <w:vAlign w:val="center"/>
            <w:hideMark/>
          </w:tcPr>
          <w:p w14:paraId="41E3CF6C" w14:textId="77777777" w:rsidR="00912B7F" w:rsidRPr="00912B7F" w:rsidRDefault="00912B7F" w:rsidP="00912B7F">
            <w:pPr>
              <w:spacing w:line="240" w:lineRule="auto"/>
              <w:jc w:val="right"/>
              <w:rPr>
                <w:rFonts w:eastAsia="Times New Roman" w:cs="Calibri"/>
                <w:b/>
                <w:bCs/>
                <w:i/>
                <w:iCs/>
              </w:rPr>
            </w:pPr>
            <w:r w:rsidRPr="00912B7F">
              <w:rPr>
                <w:rFonts w:eastAsia="Times New Roman" w:cs="Calibri"/>
                <w:b/>
                <w:bCs/>
                <w:i/>
                <w:iCs/>
              </w:rPr>
              <w:t>Total</w:t>
            </w:r>
          </w:p>
        </w:tc>
      </w:tr>
      <w:tr w:rsidR="00912B7F" w:rsidRPr="00912B7F" w14:paraId="1634B492" w14:textId="77777777" w:rsidTr="000A3D63">
        <w:trPr>
          <w:trHeight w:val="341"/>
        </w:trPr>
        <w:tc>
          <w:tcPr>
            <w:tcW w:w="987" w:type="dxa"/>
            <w:tcBorders>
              <w:top w:val="nil"/>
              <w:left w:val="single" w:sz="12" w:space="0" w:color="FFD966"/>
              <w:bottom w:val="single" w:sz="12" w:space="0" w:color="FFD966"/>
              <w:right w:val="single" w:sz="8" w:space="0" w:color="FFD966"/>
            </w:tcBorders>
            <w:shd w:val="clear" w:color="auto" w:fill="auto"/>
            <w:noWrap/>
            <w:vAlign w:val="center"/>
            <w:hideMark/>
          </w:tcPr>
          <w:p w14:paraId="20381B5D" w14:textId="77777777" w:rsidR="00912B7F" w:rsidRPr="00912B7F" w:rsidRDefault="00912B7F" w:rsidP="00912B7F">
            <w:pPr>
              <w:spacing w:line="240" w:lineRule="auto"/>
              <w:rPr>
                <w:rFonts w:eastAsia="Times New Roman" w:cs="Calibri"/>
                <w:b/>
                <w:bCs/>
                <w:i/>
                <w:iCs/>
                <w:color w:val="000000"/>
              </w:rPr>
            </w:pPr>
            <w:r w:rsidRPr="00912B7F">
              <w:rPr>
                <w:rFonts w:eastAsia="Times New Roman" w:cs="Calibri"/>
                <w:b/>
                <w:bCs/>
                <w:i/>
                <w:iCs/>
                <w:color w:val="000000"/>
              </w:rPr>
              <w:t>Amount</w:t>
            </w:r>
          </w:p>
        </w:tc>
        <w:tc>
          <w:tcPr>
            <w:tcW w:w="1204" w:type="dxa"/>
            <w:tcBorders>
              <w:top w:val="nil"/>
              <w:left w:val="nil"/>
              <w:bottom w:val="single" w:sz="12" w:space="0" w:color="FFD966"/>
              <w:right w:val="single" w:sz="8" w:space="0" w:color="FFD966"/>
            </w:tcBorders>
            <w:shd w:val="clear" w:color="auto" w:fill="auto"/>
            <w:noWrap/>
            <w:vAlign w:val="center"/>
            <w:hideMark/>
          </w:tcPr>
          <w:p w14:paraId="237E70D7"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$1,500,000 </w:t>
            </w:r>
          </w:p>
        </w:tc>
        <w:tc>
          <w:tcPr>
            <w:tcW w:w="1204" w:type="dxa"/>
            <w:tcBorders>
              <w:top w:val="nil"/>
              <w:left w:val="nil"/>
              <w:bottom w:val="single" w:sz="12" w:space="0" w:color="FFD966"/>
              <w:right w:val="single" w:sz="8" w:space="0" w:color="FFD966"/>
            </w:tcBorders>
            <w:shd w:val="clear" w:color="auto" w:fill="auto"/>
            <w:noWrap/>
            <w:vAlign w:val="center"/>
            <w:hideMark/>
          </w:tcPr>
          <w:p w14:paraId="44BBA878"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$1,533,000 </w:t>
            </w:r>
          </w:p>
        </w:tc>
        <w:tc>
          <w:tcPr>
            <w:tcW w:w="1204" w:type="dxa"/>
            <w:tcBorders>
              <w:top w:val="nil"/>
              <w:left w:val="nil"/>
              <w:bottom w:val="single" w:sz="12" w:space="0" w:color="FFD966"/>
              <w:right w:val="single" w:sz="8" w:space="0" w:color="FFD966"/>
            </w:tcBorders>
            <w:shd w:val="clear" w:color="auto" w:fill="auto"/>
            <w:noWrap/>
            <w:vAlign w:val="center"/>
            <w:hideMark/>
          </w:tcPr>
          <w:p w14:paraId="6E3ADE8E"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$1,567,000 </w:t>
            </w:r>
          </w:p>
        </w:tc>
        <w:tc>
          <w:tcPr>
            <w:tcW w:w="1204" w:type="dxa"/>
            <w:tcBorders>
              <w:top w:val="nil"/>
              <w:left w:val="nil"/>
              <w:bottom w:val="single" w:sz="12" w:space="0" w:color="FFD966"/>
              <w:right w:val="single" w:sz="8" w:space="0" w:color="FFD966"/>
            </w:tcBorders>
            <w:shd w:val="clear" w:color="auto" w:fill="auto"/>
            <w:noWrap/>
            <w:vAlign w:val="center"/>
            <w:hideMark/>
          </w:tcPr>
          <w:p w14:paraId="6378DB0E"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$1,601,000 </w:t>
            </w:r>
          </w:p>
        </w:tc>
        <w:tc>
          <w:tcPr>
            <w:tcW w:w="1204" w:type="dxa"/>
            <w:tcBorders>
              <w:top w:val="nil"/>
              <w:left w:val="nil"/>
              <w:bottom w:val="single" w:sz="12" w:space="0" w:color="FFD966"/>
              <w:right w:val="single" w:sz="8" w:space="0" w:color="FFD966"/>
            </w:tcBorders>
            <w:shd w:val="clear" w:color="auto" w:fill="auto"/>
            <w:noWrap/>
            <w:vAlign w:val="center"/>
            <w:hideMark/>
          </w:tcPr>
          <w:p w14:paraId="2E789076"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$1,636,000 </w:t>
            </w:r>
          </w:p>
        </w:tc>
        <w:tc>
          <w:tcPr>
            <w:tcW w:w="1204" w:type="dxa"/>
            <w:tcBorders>
              <w:top w:val="nil"/>
              <w:left w:val="nil"/>
              <w:bottom w:val="single" w:sz="12" w:space="0" w:color="FFD966"/>
              <w:right w:val="single" w:sz="8" w:space="0" w:color="FFD966"/>
            </w:tcBorders>
            <w:shd w:val="clear" w:color="auto" w:fill="auto"/>
            <w:noWrap/>
            <w:vAlign w:val="center"/>
            <w:hideMark/>
          </w:tcPr>
          <w:p w14:paraId="624AD9AE"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$1,672,000 </w:t>
            </w:r>
          </w:p>
        </w:tc>
        <w:tc>
          <w:tcPr>
            <w:tcW w:w="1239" w:type="dxa"/>
            <w:tcBorders>
              <w:top w:val="nil"/>
              <w:left w:val="nil"/>
              <w:bottom w:val="single" w:sz="12" w:space="0" w:color="FFD966"/>
              <w:right w:val="single" w:sz="12" w:space="0" w:color="FFD966"/>
            </w:tcBorders>
            <w:shd w:val="clear" w:color="auto" w:fill="auto"/>
            <w:noWrap/>
            <w:vAlign w:val="center"/>
            <w:hideMark/>
          </w:tcPr>
          <w:p w14:paraId="6C8DC7BE" w14:textId="77777777" w:rsidR="00912B7F" w:rsidRPr="00912B7F" w:rsidRDefault="00912B7F" w:rsidP="00912B7F">
            <w:pPr>
              <w:spacing w:line="240" w:lineRule="auto"/>
              <w:jc w:val="right"/>
              <w:rPr>
                <w:rFonts w:eastAsia="Times New Roman" w:cs="Calibri"/>
                <w:b/>
                <w:bCs/>
                <w:color w:val="000000"/>
              </w:rPr>
            </w:pPr>
            <w:r w:rsidRPr="00912B7F">
              <w:rPr>
                <w:rFonts w:eastAsia="Times New Roman" w:cs="Calibri"/>
                <w:b/>
                <w:bCs/>
                <w:color w:val="000000"/>
              </w:rPr>
              <w:t xml:space="preserve">$9,510,000 </w:t>
            </w:r>
          </w:p>
        </w:tc>
      </w:tr>
    </w:tbl>
    <w:p w14:paraId="5A68785B" w14:textId="77777777" w:rsidR="00DF4FB5" w:rsidRDefault="00DF4FB5" w:rsidP="00DF4FB5">
      <w:pPr>
        <w:spacing w:line="257" w:lineRule="auto"/>
        <w:contextualSpacing/>
        <w:rPr>
          <w:rFonts w:eastAsia="Calibri" w:cs="Calibri"/>
          <w:b/>
          <w:bCs/>
          <w:color w:val="1D1D1D"/>
        </w:rPr>
      </w:pPr>
    </w:p>
    <w:p w14:paraId="3014D94C" w14:textId="6F2375D2" w:rsidR="00933405" w:rsidRDefault="00933405" w:rsidP="003420B4">
      <w:pPr>
        <w:contextualSpacing/>
      </w:pPr>
      <w:r w:rsidRPr="249BBF37">
        <w:rPr>
          <w:rFonts w:eastAsia="Calibri" w:cs="Calibri"/>
          <w:b/>
          <w:bCs/>
          <w:color w:val="1D1D1D"/>
        </w:rPr>
        <w:t>Description</w:t>
      </w:r>
      <w:r w:rsidRPr="249BBF37">
        <w:rPr>
          <w:rFonts w:eastAsia="Calibri" w:cs="Calibri"/>
          <w:color w:val="1D1D1D"/>
        </w:rPr>
        <w:t xml:space="preserve">:  </w:t>
      </w:r>
    </w:p>
    <w:p w14:paraId="2AE0F41B" w14:textId="7D9741EF" w:rsidR="00933405" w:rsidRPr="008C23E3" w:rsidRDefault="00DF68BC" w:rsidP="003420B4">
      <w:pPr>
        <w:contextualSpacing/>
      </w:pPr>
      <w:r>
        <w:t>The</w:t>
      </w:r>
      <w:r w:rsidR="00933405">
        <w:t xml:space="preserve"> </w:t>
      </w:r>
      <w:r w:rsidR="00933405" w:rsidRPr="00321800">
        <w:rPr>
          <w:rFonts w:eastAsia="Calibri" w:cs="Calibri"/>
          <w:color w:val="1D1D1D"/>
        </w:rPr>
        <w:t>Infant and Early Childhood Mental Health</w:t>
      </w:r>
      <w:r w:rsidR="00933405">
        <w:rPr>
          <w:rFonts w:eastAsia="Calibri" w:cs="Calibri"/>
          <w:color w:val="1D1D1D"/>
        </w:rPr>
        <w:t xml:space="preserve"> (IECMH)</w:t>
      </w:r>
      <w:r w:rsidR="00933405" w:rsidRPr="09C5EE72">
        <w:rPr>
          <w:rFonts w:eastAsia="Calibri" w:cs="Calibri"/>
          <w:color w:val="1D1D1D"/>
        </w:rPr>
        <w:t xml:space="preserve"> </w:t>
      </w:r>
      <w:r>
        <w:rPr>
          <w:rFonts w:eastAsia="Calibri" w:cs="Calibri"/>
          <w:color w:val="1D1D1D"/>
        </w:rPr>
        <w:t>strategy</w:t>
      </w:r>
      <w:r w:rsidR="008D306B">
        <w:rPr>
          <w:rFonts w:eastAsia="Calibri" w:cs="Calibri"/>
          <w:color w:val="1D1D1D"/>
        </w:rPr>
        <w:t xml:space="preserve"> focus</w:t>
      </w:r>
      <w:r w:rsidR="00C6083E">
        <w:rPr>
          <w:rFonts w:eastAsia="Calibri" w:cs="Calibri"/>
          <w:color w:val="1D1D1D"/>
        </w:rPr>
        <w:t>es on improving social and emotional outcomes of young children 0-5 years old</w:t>
      </w:r>
      <w:r w:rsidR="006B46C1">
        <w:rPr>
          <w:rFonts w:eastAsia="Calibri" w:cs="Calibri"/>
          <w:color w:val="1D1D1D"/>
        </w:rPr>
        <w:t>.</w:t>
      </w:r>
      <w:r w:rsidR="00791013">
        <w:rPr>
          <w:rFonts w:eastAsia="Calibri" w:cs="Calibri"/>
          <w:color w:val="1D1D1D"/>
        </w:rPr>
        <w:t xml:space="preserve"> </w:t>
      </w:r>
      <w:r w:rsidR="00B04D8E">
        <w:rPr>
          <w:rFonts w:eastAsia="Calibri" w:cs="Calibri"/>
          <w:color w:val="1D1D1D"/>
        </w:rPr>
        <w:t>Approaches include</w:t>
      </w:r>
      <w:r w:rsidR="00933405" w:rsidRPr="00FE283C">
        <w:rPr>
          <w:rFonts w:eastAsia="Calibri" w:cs="Calibri"/>
          <w:color w:val="1D1D1D"/>
        </w:rPr>
        <w:t xml:space="preserve"> </w:t>
      </w:r>
      <w:r w:rsidR="00933405" w:rsidRPr="00D03F1F">
        <w:rPr>
          <w:rFonts w:eastAsia="Calibri" w:cs="Calibri"/>
          <w:color w:val="1D1D1D"/>
        </w:rPr>
        <w:t xml:space="preserve">reflective consultation </w:t>
      </w:r>
      <w:r w:rsidR="00933405">
        <w:rPr>
          <w:rFonts w:eastAsia="Calibri" w:cs="Calibri"/>
          <w:color w:val="1D1D1D"/>
        </w:rPr>
        <w:t xml:space="preserve">and </w:t>
      </w:r>
      <w:r w:rsidR="000309BA">
        <w:rPr>
          <w:rFonts w:eastAsia="Calibri" w:cs="Calibri"/>
          <w:color w:val="1D1D1D"/>
        </w:rPr>
        <w:t xml:space="preserve">Infant and Early Childhood Mental Health </w:t>
      </w:r>
      <w:r w:rsidR="00933405">
        <w:rPr>
          <w:rFonts w:eastAsia="Calibri" w:cs="Calibri"/>
          <w:color w:val="1D1D1D"/>
        </w:rPr>
        <w:t>trainings</w:t>
      </w:r>
      <w:r w:rsidR="000309BA">
        <w:rPr>
          <w:rFonts w:eastAsia="Calibri" w:cs="Calibri"/>
          <w:color w:val="1D1D1D"/>
        </w:rPr>
        <w:t>.</w:t>
      </w:r>
      <w:r w:rsidR="007E5E9E" w:rsidRPr="007E5E9E">
        <w:rPr>
          <w:rStyle w:val="FootnoteReference"/>
          <w:rFonts w:eastAsia="Calibri" w:cs="Calibri"/>
          <w:color w:val="1D1D1D"/>
        </w:rPr>
        <w:t xml:space="preserve"> </w:t>
      </w:r>
      <w:r w:rsidR="007E5E9E">
        <w:rPr>
          <w:rStyle w:val="FootnoteReference"/>
          <w:rFonts w:eastAsia="Calibri" w:cs="Calibri"/>
          <w:color w:val="1D1D1D"/>
        </w:rPr>
        <w:footnoteReference w:id="148"/>
      </w:r>
      <w:r w:rsidR="000309BA">
        <w:rPr>
          <w:rFonts w:eastAsia="Calibri" w:cs="Calibri"/>
          <w:color w:val="1D1D1D"/>
        </w:rPr>
        <w:t xml:space="preserve"> </w:t>
      </w:r>
      <w:r w:rsidR="00933405">
        <w:rPr>
          <w:rFonts w:eastAsia="Calibri" w:cs="Calibri"/>
          <w:color w:val="1D1D1D"/>
        </w:rPr>
        <w:t xml:space="preserve">Services strengthen the ability of caregivers and providers to support </w:t>
      </w:r>
      <w:r w:rsidR="00933405" w:rsidRPr="00D03F1F">
        <w:rPr>
          <w:rFonts w:eastAsia="Calibri" w:cs="Calibri"/>
          <w:color w:val="1D1D1D"/>
        </w:rPr>
        <w:t>child</w:t>
      </w:r>
      <w:r w:rsidR="00933405">
        <w:rPr>
          <w:rFonts w:eastAsia="Calibri" w:cs="Calibri"/>
          <w:color w:val="1D1D1D"/>
        </w:rPr>
        <w:t>ren</w:t>
      </w:r>
      <w:r w:rsidR="00933405" w:rsidRPr="00D03F1F">
        <w:rPr>
          <w:rFonts w:eastAsia="Calibri" w:cs="Calibri"/>
          <w:color w:val="1D1D1D"/>
        </w:rPr>
        <w:t xml:space="preserve"> </w:t>
      </w:r>
      <w:r w:rsidR="00933405">
        <w:rPr>
          <w:rFonts w:eastAsia="Calibri" w:cs="Calibri"/>
          <w:color w:val="1D1D1D"/>
        </w:rPr>
        <w:t>in</w:t>
      </w:r>
      <w:r w:rsidR="00933405" w:rsidRPr="00D03F1F">
        <w:rPr>
          <w:rFonts w:eastAsia="Calibri" w:cs="Calibri"/>
          <w:color w:val="1D1D1D"/>
        </w:rPr>
        <w:t xml:space="preserve"> form</w:t>
      </w:r>
      <w:r w:rsidR="00933405">
        <w:rPr>
          <w:rFonts w:eastAsia="Calibri" w:cs="Calibri"/>
          <w:color w:val="1D1D1D"/>
        </w:rPr>
        <w:t>ing</w:t>
      </w:r>
      <w:r w:rsidR="00933405" w:rsidRPr="00D03F1F">
        <w:rPr>
          <w:rFonts w:eastAsia="Calibri" w:cs="Calibri"/>
          <w:color w:val="1D1D1D"/>
        </w:rPr>
        <w:t xml:space="preserve"> close relationships with adults and peers, manage and express a full range of emotions, and explore the environment and learn</w:t>
      </w:r>
      <w:r w:rsidR="00933405" w:rsidRPr="09C5EE72">
        <w:rPr>
          <w:rFonts w:eastAsia="Calibri" w:cs="Calibri"/>
          <w:color w:val="1D1D1D"/>
        </w:rPr>
        <w:t>.</w:t>
      </w:r>
      <w:r w:rsidR="00933405">
        <w:rPr>
          <w:rFonts w:eastAsia="Calibri" w:cs="Calibri"/>
          <w:color w:val="1D1D1D"/>
        </w:rPr>
        <w:t xml:space="preserve"> </w:t>
      </w:r>
      <w:r w:rsidR="00933405" w:rsidRPr="15ED206D">
        <w:rPr>
          <w:rFonts w:eastAsia="Calibri" w:cs="Calibri"/>
          <w:color w:val="1D1D1D"/>
        </w:rPr>
        <w:t>These</w:t>
      </w:r>
      <w:r w:rsidR="00933405" w:rsidRPr="09C5EE72">
        <w:rPr>
          <w:rFonts w:eastAsia="Calibri" w:cs="Calibri"/>
          <w:color w:val="1D1D1D"/>
        </w:rPr>
        <w:t xml:space="preserve"> skills and experiences </w:t>
      </w:r>
      <w:r w:rsidR="00933405" w:rsidRPr="15ED206D">
        <w:rPr>
          <w:rFonts w:eastAsia="Calibri" w:cs="Calibri"/>
          <w:color w:val="1D1D1D"/>
        </w:rPr>
        <w:t>form the</w:t>
      </w:r>
      <w:r w:rsidR="00933405">
        <w:rPr>
          <w:rFonts w:eastAsia="Calibri" w:cs="Calibri"/>
          <w:color w:val="1D1D1D"/>
        </w:rPr>
        <w:t xml:space="preserve"> </w:t>
      </w:r>
      <w:r w:rsidR="00933405" w:rsidRPr="00D03F1F">
        <w:rPr>
          <w:rFonts w:eastAsia="Calibri" w:cs="Calibri"/>
          <w:color w:val="1D1D1D"/>
        </w:rPr>
        <w:t>foundation for healthy brain development and self-regulation.</w:t>
      </w:r>
      <w:r w:rsidR="00933405">
        <w:rPr>
          <w:rFonts w:eastAsia="Calibri" w:cs="Calibri"/>
          <w:color w:val="1D1D1D"/>
        </w:rPr>
        <w:t xml:space="preserve"> Services </w:t>
      </w:r>
      <w:r w:rsidR="00933405" w:rsidRPr="00D03F1F">
        <w:rPr>
          <w:rFonts w:eastAsia="Calibri" w:cs="Calibri"/>
          <w:color w:val="1D1D1D"/>
        </w:rPr>
        <w:t>takes place in the context of family, community, culture, and traditions</w:t>
      </w:r>
      <w:r w:rsidR="00933405">
        <w:rPr>
          <w:rFonts w:eastAsia="Calibri" w:cs="Calibri"/>
          <w:color w:val="1D1D1D"/>
        </w:rPr>
        <w:t xml:space="preserve">, and promote </w:t>
      </w:r>
      <w:r w:rsidR="0074429F">
        <w:rPr>
          <w:rFonts w:eastAsia="Calibri" w:cs="Calibri"/>
          <w:color w:val="1D1D1D"/>
        </w:rPr>
        <w:t xml:space="preserve">relational </w:t>
      </w:r>
      <w:r w:rsidR="00933405">
        <w:rPr>
          <w:rFonts w:eastAsia="Calibri" w:cs="Calibri"/>
          <w:color w:val="1D1D1D"/>
        </w:rPr>
        <w:t>health for very young children and their families</w:t>
      </w:r>
      <w:r w:rsidR="00933405" w:rsidRPr="00D03F1F">
        <w:rPr>
          <w:rFonts w:eastAsia="Calibri" w:cs="Calibri"/>
          <w:color w:val="1D1D1D"/>
        </w:rPr>
        <w:t>.</w:t>
      </w:r>
      <w:r w:rsidR="00933405">
        <w:rPr>
          <w:rStyle w:val="FootnoteReference"/>
          <w:rFonts w:eastAsia="Calibri" w:cs="Calibri"/>
          <w:color w:val="1D1D1D"/>
        </w:rPr>
        <w:footnoteReference w:id="149"/>
      </w:r>
      <w:r w:rsidR="00933405" w:rsidRPr="00D03F1F">
        <w:rPr>
          <w:rFonts w:eastAsia="Calibri" w:cs="Calibri"/>
          <w:color w:val="1D1D1D"/>
        </w:rPr>
        <w:t xml:space="preserve"> </w:t>
      </w:r>
      <w:r w:rsidR="00933405">
        <w:rPr>
          <w:rFonts w:eastAsia="Calibri" w:cs="Calibri"/>
          <w:color w:val="1D1D1D"/>
        </w:rPr>
        <w:t>This need is even more critical in the context of the COVID-19 pandemic and institutional racism, which have the potential to significantly impact child and family development and wellbeing.</w:t>
      </w:r>
      <w:r w:rsidR="00933405">
        <w:rPr>
          <w:rStyle w:val="FootnoteReference"/>
          <w:rFonts w:eastAsia="Calibri" w:cs="Calibri"/>
          <w:color w:val="1D1D1D"/>
        </w:rPr>
        <w:footnoteReference w:id="150"/>
      </w:r>
    </w:p>
    <w:p w14:paraId="13016BD4" w14:textId="77777777" w:rsidR="00933405" w:rsidRDefault="00933405" w:rsidP="003420B4">
      <w:pPr>
        <w:contextualSpacing/>
        <w:rPr>
          <w:rFonts w:eastAsia="Calibri" w:cs="Calibri"/>
          <w:color w:val="1D1D1D"/>
        </w:rPr>
      </w:pPr>
    </w:p>
    <w:p w14:paraId="38926A73" w14:textId="67174C3B" w:rsidR="00933405" w:rsidRPr="00E952A5" w:rsidRDefault="00933405" w:rsidP="003420B4">
      <w:pPr>
        <w:contextualSpacing/>
      </w:pPr>
      <w:r>
        <w:rPr>
          <w:rFonts w:eastAsia="Calibri" w:cs="Calibri"/>
          <w:b/>
          <w:bCs/>
          <w:color w:val="1D1D1D"/>
        </w:rPr>
        <w:t xml:space="preserve">Planned </w:t>
      </w:r>
      <w:r w:rsidRPr="00D03F1F">
        <w:rPr>
          <w:rFonts w:eastAsia="Calibri" w:cs="Calibri"/>
          <w:b/>
          <w:color w:val="1D1D1D"/>
        </w:rPr>
        <w:t>Refinemen</w:t>
      </w:r>
      <w:r>
        <w:rPr>
          <w:rFonts w:eastAsia="Calibri" w:cs="Calibri"/>
          <w:b/>
          <w:color w:val="1D1D1D"/>
        </w:rPr>
        <w:t xml:space="preserve">ts in </w:t>
      </w:r>
      <w:r w:rsidR="00DB64BD">
        <w:rPr>
          <w:rFonts w:eastAsia="Times New Roman" w:cs="Calibri"/>
          <w:b/>
          <w:bCs/>
          <w:i/>
          <w:iCs/>
        </w:rPr>
        <w:t xml:space="preserve">Best Starts for Kids </w:t>
      </w:r>
      <w:r w:rsidR="00DB64BD" w:rsidRPr="00E952A5">
        <w:rPr>
          <w:rFonts w:eastAsia="Times New Roman" w:cs="Calibri"/>
          <w:b/>
          <w:bCs/>
        </w:rPr>
        <w:t>2022-2027</w:t>
      </w:r>
      <w:r w:rsidR="00513AC4" w:rsidRPr="00E952A5">
        <w:rPr>
          <w:rFonts w:eastAsia="Times New Roman" w:cs="Calibri"/>
          <w:b/>
          <w:bCs/>
        </w:rPr>
        <w:t>:</w:t>
      </w:r>
      <w:r w:rsidR="00DB64BD" w:rsidRPr="00E952A5">
        <w:rPr>
          <w:rFonts w:eastAsia="Times New Roman" w:cs="Calibri"/>
          <w:b/>
          <w:bCs/>
        </w:rPr>
        <w:t xml:space="preserve"> </w:t>
      </w:r>
    </w:p>
    <w:p w14:paraId="03EBEB25" w14:textId="7F20092D" w:rsidR="00933405" w:rsidRPr="00F701AD" w:rsidRDefault="00DC5908" w:rsidP="003420B4">
      <w:pPr>
        <w:pStyle w:val="ListParagraph"/>
        <w:numPr>
          <w:ilvl w:val="0"/>
          <w:numId w:val="48"/>
        </w:numPr>
      </w:pPr>
      <w:r w:rsidRPr="0042237B">
        <w:t>Implement priorities identified by the IECHM</w:t>
      </w:r>
      <w:r w:rsidR="003C01F1">
        <w:rPr>
          <w:rFonts w:eastAsia="Calibri" w:cs="Calibri"/>
          <w:color w:val="1D1D1D"/>
        </w:rPr>
        <w:t xml:space="preserve"> </w:t>
      </w:r>
      <w:r w:rsidRPr="0042237B">
        <w:t>work group</w:t>
      </w:r>
      <w:r w:rsidR="003C01F1">
        <w:rPr>
          <w:rStyle w:val="FootnoteReference"/>
        </w:rPr>
        <w:footnoteReference w:id="151"/>
      </w:r>
      <w:r w:rsidRPr="0042237B">
        <w:t xml:space="preserve"> in 2021</w:t>
      </w:r>
      <w:r w:rsidR="004E09AC">
        <w:t xml:space="preserve">. </w:t>
      </w:r>
      <w:r w:rsidR="00AF186A" w:rsidRPr="004E09AC">
        <w:rPr>
          <w:rFonts w:eastAsia="Times New Roman" w:cs="Calibri"/>
        </w:rPr>
        <w:t xml:space="preserve">BIPOC providers serving a diverse range of families are a priority that emerged from community input during the landscape analysis process. </w:t>
      </w:r>
    </w:p>
    <w:p w14:paraId="1DD4DC1C" w14:textId="77777777" w:rsidR="008729AC" w:rsidRPr="00F701AD" w:rsidRDefault="008729AC" w:rsidP="003420B4">
      <w:pPr>
        <w:contextualSpacing/>
      </w:pPr>
    </w:p>
    <w:p w14:paraId="0CA8A45D" w14:textId="6F94F197" w:rsidR="00933405" w:rsidRPr="004E345B" w:rsidRDefault="00933405" w:rsidP="003420B4">
      <w:pPr>
        <w:textAlignment w:val="baseline"/>
        <w:rPr>
          <w:rFonts w:ascii="Segoe UI" w:eastAsia="Times New Roman" w:hAnsi="Segoe UI" w:cs="Segoe UI"/>
          <w:sz w:val="18"/>
          <w:szCs w:val="18"/>
        </w:rPr>
      </w:pPr>
      <w:r>
        <w:rPr>
          <w:rFonts w:eastAsia="Calibri" w:cs="Calibri"/>
          <w:b/>
          <w:bCs/>
          <w:color w:val="1D1D1D"/>
        </w:rPr>
        <w:t xml:space="preserve">Approximate </w:t>
      </w:r>
      <w:r w:rsidR="00BA36DC">
        <w:rPr>
          <w:rFonts w:eastAsia="Calibri" w:cs="Calibri"/>
          <w:b/>
          <w:bCs/>
          <w:color w:val="1D1D1D"/>
        </w:rPr>
        <w:t>Scope</w:t>
      </w:r>
      <w:r>
        <w:rPr>
          <w:rFonts w:eastAsia="Calibri" w:cs="Calibri"/>
          <w:b/>
          <w:bCs/>
          <w:color w:val="1D1D1D"/>
        </w:rPr>
        <w:t xml:space="preserve">: </w:t>
      </w:r>
      <w:bookmarkStart w:id="60" w:name="_Hlk74062420"/>
      <w:r w:rsidR="00C426F4" w:rsidRPr="00676231">
        <w:rPr>
          <w:rFonts w:eastAsia="Times New Roman" w:cs="Calibri"/>
          <w:color w:val="1D1D1D"/>
        </w:rPr>
        <w:t>The IECMH strategy will continue to support social-emotional development for all young children under age 5 in King County. IECMH anticipates reaching approximately 350-450 providers a year through trainings and approximately 200 providers a year through reflective consultation annually. </w:t>
      </w:r>
    </w:p>
    <w:bookmarkEnd w:id="60"/>
    <w:p w14:paraId="3CB646EC" w14:textId="77777777" w:rsidR="00933405" w:rsidRDefault="00933405" w:rsidP="003420B4">
      <w:pPr>
        <w:contextualSpacing/>
        <w:rPr>
          <w:rFonts w:eastAsia="Calibri" w:cs="Calibri"/>
          <w:color w:val="1D1D1D"/>
        </w:rPr>
      </w:pPr>
    </w:p>
    <w:p w14:paraId="51CD9660" w14:textId="7F2DECF9" w:rsidR="00F04C25" w:rsidRDefault="00933405" w:rsidP="00F04C25">
      <w:pPr>
        <w:rPr>
          <w:rFonts w:eastAsia="Calibri" w:cs="Calibri"/>
          <w:color w:val="1D1D1D"/>
        </w:rPr>
      </w:pPr>
      <w:r>
        <w:rPr>
          <w:rFonts w:eastAsia="Calibri" w:cs="Calibri"/>
          <w:b/>
          <w:bCs/>
          <w:color w:val="1D1D1D"/>
        </w:rPr>
        <w:t xml:space="preserve">Anticipated </w:t>
      </w:r>
      <w:r w:rsidRPr="00D03F1F">
        <w:rPr>
          <w:rFonts w:eastAsia="Calibri" w:cs="Calibri"/>
          <w:b/>
          <w:color w:val="1D1D1D"/>
        </w:rPr>
        <w:t>Timeline</w:t>
      </w:r>
      <w:r w:rsidRPr="00D03F1F">
        <w:rPr>
          <w:rFonts w:eastAsia="Calibri" w:cs="Calibri"/>
          <w:color w:val="1D1D1D"/>
        </w:rPr>
        <w:t xml:space="preserve">: Release an RFP in </w:t>
      </w:r>
      <w:r w:rsidR="007A634D">
        <w:rPr>
          <w:rFonts w:eastAsia="Calibri" w:cs="Calibri"/>
          <w:color w:val="1D1D1D"/>
        </w:rPr>
        <w:t>Q4</w:t>
      </w:r>
      <w:r w:rsidRPr="00D03F1F">
        <w:rPr>
          <w:rFonts w:eastAsia="Calibri" w:cs="Calibri"/>
          <w:color w:val="1D1D1D"/>
        </w:rPr>
        <w:t xml:space="preserve"> 2021 to identify contractors to implement the work of the strategic plan.</w:t>
      </w:r>
    </w:p>
    <w:p w14:paraId="01C42107" w14:textId="4A2A9846" w:rsidR="00DF4FB5" w:rsidRPr="007B6484" w:rsidRDefault="007B6484" w:rsidP="007B6484">
      <w:pPr>
        <w:spacing w:line="240" w:lineRule="auto"/>
        <w:rPr>
          <w:rFonts w:eastAsia="Calibri" w:cs="Calibri"/>
          <w:color w:val="1D1D1D"/>
        </w:rPr>
      </w:pPr>
      <w:r>
        <w:rPr>
          <w:rFonts w:eastAsia="Calibri" w:cs="Calibri"/>
          <w:color w:val="1D1D1D"/>
        </w:rPr>
        <w:br w:type="page"/>
      </w:r>
    </w:p>
    <w:tbl>
      <w:tblPr>
        <w:tblStyle w:val="TableGrid"/>
        <w:tblpPr w:leftFromText="180" w:rightFromText="180" w:vertAnchor="text" w:horzAnchor="margin" w:tblpY="111"/>
        <w:tblW w:w="9420" w:type="dxa"/>
        <w:tblLook w:val="04A0" w:firstRow="1" w:lastRow="0" w:firstColumn="1" w:lastColumn="0" w:noHBand="0" w:noVBand="1"/>
      </w:tblPr>
      <w:tblGrid>
        <w:gridCol w:w="9420"/>
      </w:tblGrid>
      <w:tr w:rsidR="00DF4FB5" w:rsidRPr="00D03F1F" w14:paraId="205C37FA" w14:textId="77777777" w:rsidTr="005E6FD3">
        <w:trPr>
          <w:trHeight w:val="342"/>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484BD5F7" w14:textId="6694B87A" w:rsidR="002A6C5D" w:rsidRPr="00EE121B" w:rsidRDefault="00DF4FB5" w:rsidP="003907FC">
            <w:pPr>
              <w:contextualSpacing/>
              <w:rPr>
                <w:rFonts w:eastAsia="Calibri" w:cs="Calibri"/>
                <w:b/>
                <w:sz w:val="28"/>
                <w:szCs w:val="28"/>
              </w:rPr>
            </w:pPr>
            <w:bookmarkStart w:id="61" w:name="Workforce_Development"/>
            <w:r w:rsidRPr="00EE121B">
              <w:rPr>
                <w:rFonts w:eastAsia="Calibri" w:cs="Calibri"/>
                <w:b/>
                <w:sz w:val="28"/>
                <w:szCs w:val="28"/>
              </w:rPr>
              <w:lastRenderedPageBreak/>
              <w:t>Workforce Development</w:t>
            </w:r>
            <w:bookmarkEnd w:id="61"/>
          </w:p>
        </w:tc>
      </w:tr>
    </w:tbl>
    <w:p w14:paraId="39EFFD0A" w14:textId="77777777" w:rsidR="009B144D" w:rsidRDefault="009B144D" w:rsidP="00DF4FB5">
      <w:pPr>
        <w:pStyle w:val="paragraph"/>
        <w:spacing w:beforeAutospacing="0" w:after="0" w:afterAutospacing="0"/>
        <w:textAlignment w:val="baseline"/>
        <w:rPr>
          <w:rFonts w:cs="Calibri"/>
          <w:b/>
          <w:bCs/>
          <w:szCs w:val="22"/>
        </w:rPr>
      </w:pPr>
    </w:p>
    <w:tbl>
      <w:tblPr>
        <w:tblW w:w="9450" w:type="dxa"/>
        <w:tblLook w:val="04A0" w:firstRow="1" w:lastRow="0" w:firstColumn="1" w:lastColumn="0" w:noHBand="0" w:noVBand="1"/>
      </w:tblPr>
      <w:tblGrid>
        <w:gridCol w:w="985"/>
        <w:gridCol w:w="1204"/>
        <w:gridCol w:w="1204"/>
        <w:gridCol w:w="1204"/>
        <w:gridCol w:w="1204"/>
        <w:gridCol w:w="1204"/>
        <w:gridCol w:w="1204"/>
        <w:gridCol w:w="1241"/>
      </w:tblGrid>
      <w:tr w:rsidR="00C41F58" w:rsidRPr="00C41F58" w14:paraId="2AEACA21" w14:textId="77777777" w:rsidTr="000A3D63">
        <w:trPr>
          <w:trHeight w:val="240"/>
        </w:trPr>
        <w:tc>
          <w:tcPr>
            <w:tcW w:w="9450" w:type="dxa"/>
            <w:gridSpan w:val="8"/>
            <w:tcBorders>
              <w:top w:val="nil"/>
              <w:left w:val="nil"/>
              <w:bottom w:val="single" w:sz="12" w:space="0" w:color="FFD966"/>
              <w:right w:val="nil"/>
            </w:tcBorders>
            <w:shd w:val="clear" w:color="auto" w:fill="auto"/>
            <w:noWrap/>
            <w:vAlign w:val="bottom"/>
            <w:hideMark/>
          </w:tcPr>
          <w:p w14:paraId="789944A1" w14:textId="77777777" w:rsidR="00C41F58" w:rsidRPr="00C41F58" w:rsidRDefault="00C41F58" w:rsidP="00C41F58">
            <w:pPr>
              <w:spacing w:line="240" w:lineRule="auto"/>
              <w:rPr>
                <w:rFonts w:eastAsia="Times New Roman" w:cs="Calibri"/>
                <w:b/>
                <w:bCs/>
                <w:i/>
                <w:iCs/>
                <w:color w:val="000000"/>
              </w:rPr>
            </w:pPr>
            <w:r w:rsidRPr="00C41F58">
              <w:rPr>
                <w:rFonts w:eastAsia="Times New Roman" w:cs="Calibri"/>
                <w:b/>
                <w:bCs/>
                <w:i/>
                <w:iCs/>
                <w:color w:val="000000"/>
              </w:rPr>
              <w:t>Funding Estimate:</w:t>
            </w:r>
          </w:p>
        </w:tc>
      </w:tr>
      <w:tr w:rsidR="00C41F58" w:rsidRPr="00C41F58" w14:paraId="1319538A" w14:textId="77777777" w:rsidTr="000A3D63">
        <w:trPr>
          <w:trHeight w:val="321"/>
        </w:trPr>
        <w:tc>
          <w:tcPr>
            <w:tcW w:w="985" w:type="dxa"/>
            <w:tcBorders>
              <w:top w:val="nil"/>
              <w:left w:val="single" w:sz="12" w:space="0" w:color="FFD966"/>
              <w:bottom w:val="single" w:sz="8" w:space="0" w:color="FFD966"/>
              <w:right w:val="single" w:sz="8" w:space="0" w:color="FFD966"/>
            </w:tcBorders>
            <w:shd w:val="clear" w:color="000000" w:fill="D9E1F2"/>
            <w:noWrap/>
            <w:vAlign w:val="center"/>
            <w:hideMark/>
          </w:tcPr>
          <w:p w14:paraId="0C590E5C" w14:textId="77777777" w:rsidR="00C41F58" w:rsidRPr="00C41F58" w:rsidRDefault="00C41F58" w:rsidP="00C41F58">
            <w:pPr>
              <w:spacing w:line="240" w:lineRule="auto"/>
              <w:rPr>
                <w:rFonts w:eastAsia="Times New Roman" w:cs="Calibri"/>
                <w:b/>
                <w:bCs/>
                <w:i/>
                <w:iCs/>
              </w:rPr>
            </w:pPr>
            <w:r w:rsidRPr="00C41F58">
              <w:rPr>
                <w:rFonts w:eastAsia="Times New Roman" w:cs="Calibri"/>
                <w:b/>
                <w:bCs/>
                <w:i/>
                <w:iCs/>
              </w:rPr>
              <w:t>Year</w:t>
            </w:r>
          </w:p>
        </w:tc>
        <w:tc>
          <w:tcPr>
            <w:tcW w:w="1204" w:type="dxa"/>
            <w:tcBorders>
              <w:top w:val="nil"/>
              <w:left w:val="nil"/>
              <w:bottom w:val="single" w:sz="8" w:space="0" w:color="FFD966"/>
              <w:right w:val="single" w:sz="8" w:space="0" w:color="FFD966"/>
            </w:tcBorders>
            <w:shd w:val="clear" w:color="000000" w:fill="D9E1F2"/>
            <w:noWrap/>
            <w:vAlign w:val="center"/>
            <w:hideMark/>
          </w:tcPr>
          <w:p w14:paraId="4F88A601" w14:textId="77777777" w:rsidR="00C41F58" w:rsidRPr="00C41F58" w:rsidRDefault="00C41F58" w:rsidP="00C41F58">
            <w:pPr>
              <w:spacing w:line="240" w:lineRule="auto"/>
              <w:jc w:val="right"/>
              <w:rPr>
                <w:rFonts w:eastAsia="Times New Roman" w:cs="Calibri"/>
              </w:rPr>
            </w:pPr>
            <w:r w:rsidRPr="00C41F58">
              <w:rPr>
                <w:rFonts w:eastAsia="Times New Roman" w:cs="Calibri"/>
              </w:rPr>
              <w:t>2022</w:t>
            </w:r>
          </w:p>
        </w:tc>
        <w:tc>
          <w:tcPr>
            <w:tcW w:w="1204" w:type="dxa"/>
            <w:tcBorders>
              <w:top w:val="nil"/>
              <w:left w:val="nil"/>
              <w:bottom w:val="single" w:sz="8" w:space="0" w:color="FFD966"/>
              <w:right w:val="single" w:sz="8" w:space="0" w:color="FFD966"/>
            </w:tcBorders>
            <w:shd w:val="clear" w:color="000000" w:fill="D9E1F2"/>
            <w:noWrap/>
            <w:vAlign w:val="center"/>
            <w:hideMark/>
          </w:tcPr>
          <w:p w14:paraId="48555240" w14:textId="77777777" w:rsidR="00C41F58" w:rsidRPr="00C41F58" w:rsidRDefault="00C41F58" w:rsidP="00C41F58">
            <w:pPr>
              <w:spacing w:line="240" w:lineRule="auto"/>
              <w:jc w:val="right"/>
              <w:rPr>
                <w:rFonts w:eastAsia="Times New Roman" w:cs="Calibri"/>
              </w:rPr>
            </w:pPr>
            <w:r w:rsidRPr="00C41F58">
              <w:rPr>
                <w:rFonts w:eastAsia="Times New Roman" w:cs="Calibri"/>
              </w:rPr>
              <w:t>2023</w:t>
            </w:r>
          </w:p>
        </w:tc>
        <w:tc>
          <w:tcPr>
            <w:tcW w:w="1204" w:type="dxa"/>
            <w:tcBorders>
              <w:top w:val="nil"/>
              <w:left w:val="nil"/>
              <w:bottom w:val="single" w:sz="8" w:space="0" w:color="FFD966"/>
              <w:right w:val="single" w:sz="8" w:space="0" w:color="FFD966"/>
            </w:tcBorders>
            <w:shd w:val="clear" w:color="000000" w:fill="D9E1F2"/>
            <w:noWrap/>
            <w:vAlign w:val="center"/>
            <w:hideMark/>
          </w:tcPr>
          <w:p w14:paraId="0C412B95" w14:textId="77777777" w:rsidR="00C41F58" w:rsidRPr="00C41F58" w:rsidRDefault="00C41F58" w:rsidP="00C41F58">
            <w:pPr>
              <w:spacing w:line="240" w:lineRule="auto"/>
              <w:jc w:val="right"/>
              <w:rPr>
                <w:rFonts w:eastAsia="Times New Roman" w:cs="Calibri"/>
              </w:rPr>
            </w:pPr>
            <w:r w:rsidRPr="00C41F58">
              <w:rPr>
                <w:rFonts w:eastAsia="Times New Roman" w:cs="Calibri"/>
              </w:rPr>
              <w:t>2024</w:t>
            </w:r>
          </w:p>
        </w:tc>
        <w:tc>
          <w:tcPr>
            <w:tcW w:w="1204" w:type="dxa"/>
            <w:tcBorders>
              <w:top w:val="nil"/>
              <w:left w:val="nil"/>
              <w:bottom w:val="single" w:sz="8" w:space="0" w:color="FFD966"/>
              <w:right w:val="single" w:sz="8" w:space="0" w:color="FFD966"/>
            </w:tcBorders>
            <w:shd w:val="clear" w:color="000000" w:fill="D9E1F2"/>
            <w:noWrap/>
            <w:vAlign w:val="center"/>
            <w:hideMark/>
          </w:tcPr>
          <w:p w14:paraId="3B31ADCC" w14:textId="77777777" w:rsidR="00C41F58" w:rsidRPr="00C41F58" w:rsidRDefault="00C41F58" w:rsidP="00C41F58">
            <w:pPr>
              <w:spacing w:line="240" w:lineRule="auto"/>
              <w:jc w:val="right"/>
              <w:rPr>
                <w:rFonts w:eastAsia="Times New Roman" w:cs="Calibri"/>
              </w:rPr>
            </w:pPr>
            <w:r w:rsidRPr="00C41F58">
              <w:rPr>
                <w:rFonts w:eastAsia="Times New Roman" w:cs="Calibri"/>
              </w:rPr>
              <w:t>2025</w:t>
            </w:r>
          </w:p>
        </w:tc>
        <w:tc>
          <w:tcPr>
            <w:tcW w:w="1204" w:type="dxa"/>
            <w:tcBorders>
              <w:top w:val="nil"/>
              <w:left w:val="nil"/>
              <w:bottom w:val="single" w:sz="8" w:space="0" w:color="FFD966"/>
              <w:right w:val="single" w:sz="8" w:space="0" w:color="FFD966"/>
            </w:tcBorders>
            <w:shd w:val="clear" w:color="000000" w:fill="D9E1F2"/>
            <w:noWrap/>
            <w:vAlign w:val="center"/>
            <w:hideMark/>
          </w:tcPr>
          <w:p w14:paraId="7BE54D90" w14:textId="77777777" w:rsidR="00C41F58" w:rsidRPr="00C41F58" w:rsidRDefault="00C41F58" w:rsidP="00C41F58">
            <w:pPr>
              <w:spacing w:line="240" w:lineRule="auto"/>
              <w:jc w:val="right"/>
              <w:rPr>
                <w:rFonts w:eastAsia="Times New Roman" w:cs="Calibri"/>
              </w:rPr>
            </w:pPr>
            <w:r w:rsidRPr="00C41F58">
              <w:rPr>
                <w:rFonts w:eastAsia="Times New Roman" w:cs="Calibri"/>
              </w:rPr>
              <w:t>2026</w:t>
            </w:r>
          </w:p>
        </w:tc>
        <w:tc>
          <w:tcPr>
            <w:tcW w:w="1204" w:type="dxa"/>
            <w:tcBorders>
              <w:top w:val="nil"/>
              <w:left w:val="nil"/>
              <w:bottom w:val="single" w:sz="8" w:space="0" w:color="FFD966"/>
              <w:right w:val="single" w:sz="8" w:space="0" w:color="FFD966"/>
            </w:tcBorders>
            <w:shd w:val="clear" w:color="000000" w:fill="D9E1F2"/>
            <w:noWrap/>
            <w:vAlign w:val="center"/>
            <w:hideMark/>
          </w:tcPr>
          <w:p w14:paraId="26DD8114" w14:textId="77777777" w:rsidR="00C41F58" w:rsidRPr="00C41F58" w:rsidRDefault="00C41F58" w:rsidP="00C41F58">
            <w:pPr>
              <w:spacing w:line="240" w:lineRule="auto"/>
              <w:jc w:val="right"/>
              <w:rPr>
                <w:rFonts w:eastAsia="Times New Roman" w:cs="Calibri"/>
              </w:rPr>
            </w:pPr>
            <w:r w:rsidRPr="00C41F58">
              <w:rPr>
                <w:rFonts w:eastAsia="Times New Roman" w:cs="Calibri"/>
              </w:rPr>
              <w:t>2027</w:t>
            </w:r>
          </w:p>
        </w:tc>
        <w:tc>
          <w:tcPr>
            <w:tcW w:w="1241" w:type="dxa"/>
            <w:tcBorders>
              <w:top w:val="nil"/>
              <w:left w:val="nil"/>
              <w:bottom w:val="single" w:sz="8" w:space="0" w:color="FFD966"/>
              <w:right w:val="single" w:sz="12" w:space="0" w:color="FFD966"/>
            </w:tcBorders>
            <w:shd w:val="clear" w:color="000000" w:fill="D9E1F2"/>
            <w:noWrap/>
            <w:vAlign w:val="center"/>
            <w:hideMark/>
          </w:tcPr>
          <w:p w14:paraId="1AADA82C" w14:textId="77777777" w:rsidR="00C41F58" w:rsidRPr="00C41F58" w:rsidRDefault="00C41F58" w:rsidP="00C41F58">
            <w:pPr>
              <w:spacing w:line="240" w:lineRule="auto"/>
              <w:jc w:val="right"/>
              <w:rPr>
                <w:rFonts w:eastAsia="Times New Roman" w:cs="Calibri"/>
                <w:b/>
                <w:bCs/>
                <w:i/>
                <w:iCs/>
              </w:rPr>
            </w:pPr>
            <w:r w:rsidRPr="00C41F58">
              <w:rPr>
                <w:rFonts w:eastAsia="Times New Roman" w:cs="Calibri"/>
                <w:b/>
                <w:bCs/>
                <w:i/>
                <w:iCs/>
              </w:rPr>
              <w:t>Total</w:t>
            </w:r>
          </w:p>
        </w:tc>
      </w:tr>
      <w:tr w:rsidR="00C41F58" w:rsidRPr="00C41F58" w14:paraId="237AD1A4" w14:textId="77777777" w:rsidTr="000A3D63">
        <w:trPr>
          <w:trHeight w:val="321"/>
        </w:trPr>
        <w:tc>
          <w:tcPr>
            <w:tcW w:w="985" w:type="dxa"/>
            <w:tcBorders>
              <w:top w:val="nil"/>
              <w:left w:val="single" w:sz="12" w:space="0" w:color="FFD966"/>
              <w:bottom w:val="single" w:sz="12" w:space="0" w:color="FFD966"/>
              <w:right w:val="single" w:sz="8" w:space="0" w:color="FFD966"/>
            </w:tcBorders>
            <w:shd w:val="clear" w:color="auto" w:fill="auto"/>
            <w:noWrap/>
            <w:vAlign w:val="center"/>
            <w:hideMark/>
          </w:tcPr>
          <w:p w14:paraId="4DA68769" w14:textId="77777777" w:rsidR="00C41F58" w:rsidRPr="00C41F58" w:rsidRDefault="00C41F58" w:rsidP="00C41F58">
            <w:pPr>
              <w:spacing w:line="240" w:lineRule="auto"/>
              <w:rPr>
                <w:rFonts w:eastAsia="Times New Roman" w:cs="Calibri"/>
                <w:b/>
                <w:bCs/>
                <w:i/>
                <w:iCs/>
                <w:color w:val="000000"/>
              </w:rPr>
            </w:pPr>
            <w:r w:rsidRPr="00C41F58">
              <w:rPr>
                <w:rFonts w:eastAsia="Times New Roman" w:cs="Calibri"/>
                <w:b/>
                <w:bCs/>
                <w:i/>
                <w:iCs/>
                <w:color w:val="000000"/>
              </w:rPr>
              <w:t>Amount</w:t>
            </w:r>
          </w:p>
        </w:tc>
        <w:tc>
          <w:tcPr>
            <w:tcW w:w="1204" w:type="dxa"/>
            <w:tcBorders>
              <w:top w:val="nil"/>
              <w:left w:val="nil"/>
              <w:bottom w:val="single" w:sz="12" w:space="0" w:color="FFD966"/>
              <w:right w:val="single" w:sz="8" w:space="0" w:color="FFD966"/>
            </w:tcBorders>
            <w:shd w:val="clear" w:color="auto" w:fill="auto"/>
            <w:noWrap/>
            <w:vAlign w:val="center"/>
            <w:hideMark/>
          </w:tcPr>
          <w:p w14:paraId="08A59C6B"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$1,310,000 </w:t>
            </w:r>
          </w:p>
        </w:tc>
        <w:tc>
          <w:tcPr>
            <w:tcW w:w="1204" w:type="dxa"/>
            <w:tcBorders>
              <w:top w:val="nil"/>
              <w:left w:val="nil"/>
              <w:bottom w:val="single" w:sz="12" w:space="0" w:color="FFD966"/>
              <w:right w:val="single" w:sz="8" w:space="0" w:color="FFD966"/>
            </w:tcBorders>
            <w:shd w:val="clear" w:color="auto" w:fill="auto"/>
            <w:noWrap/>
            <w:vAlign w:val="center"/>
            <w:hideMark/>
          </w:tcPr>
          <w:p w14:paraId="546E5D1B"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$1,339,000 </w:t>
            </w:r>
          </w:p>
        </w:tc>
        <w:tc>
          <w:tcPr>
            <w:tcW w:w="1204" w:type="dxa"/>
            <w:tcBorders>
              <w:top w:val="nil"/>
              <w:left w:val="nil"/>
              <w:bottom w:val="single" w:sz="12" w:space="0" w:color="FFD966"/>
              <w:right w:val="single" w:sz="8" w:space="0" w:color="FFD966"/>
            </w:tcBorders>
            <w:shd w:val="clear" w:color="auto" w:fill="auto"/>
            <w:noWrap/>
            <w:vAlign w:val="center"/>
            <w:hideMark/>
          </w:tcPr>
          <w:p w14:paraId="28F6C368"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$1,368,000 </w:t>
            </w:r>
          </w:p>
        </w:tc>
        <w:tc>
          <w:tcPr>
            <w:tcW w:w="1204" w:type="dxa"/>
            <w:tcBorders>
              <w:top w:val="nil"/>
              <w:left w:val="nil"/>
              <w:bottom w:val="single" w:sz="12" w:space="0" w:color="FFD966"/>
              <w:right w:val="single" w:sz="8" w:space="0" w:color="FFD966"/>
            </w:tcBorders>
            <w:shd w:val="clear" w:color="auto" w:fill="auto"/>
            <w:noWrap/>
            <w:vAlign w:val="center"/>
            <w:hideMark/>
          </w:tcPr>
          <w:p w14:paraId="1DB32428"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$1,398,000 </w:t>
            </w:r>
          </w:p>
        </w:tc>
        <w:tc>
          <w:tcPr>
            <w:tcW w:w="1204" w:type="dxa"/>
            <w:tcBorders>
              <w:top w:val="nil"/>
              <w:left w:val="nil"/>
              <w:bottom w:val="single" w:sz="12" w:space="0" w:color="FFD966"/>
              <w:right w:val="single" w:sz="8" w:space="0" w:color="FFD966"/>
            </w:tcBorders>
            <w:shd w:val="clear" w:color="auto" w:fill="auto"/>
            <w:noWrap/>
            <w:vAlign w:val="center"/>
            <w:hideMark/>
          </w:tcPr>
          <w:p w14:paraId="7C7ECEEC"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$1,429,000 </w:t>
            </w:r>
          </w:p>
        </w:tc>
        <w:tc>
          <w:tcPr>
            <w:tcW w:w="1204" w:type="dxa"/>
            <w:tcBorders>
              <w:top w:val="nil"/>
              <w:left w:val="nil"/>
              <w:bottom w:val="single" w:sz="12" w:space="0" w:color="FFD966"/>
              <w:right w:val="single" w:sz="8" w:space="0" w:color="FFD966"/>
            </w:tcBorders>
            <w:shd w:val="clear" w:color="auto" w:fill="auto"/>
            <w:noWrap/>
            <w:vAlign w:val="center"/>
            <w:hideMark/>
          </w:tcPr>
          <w:p w14:paraId="27D51D03"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$1,461,000 </w:t>
            </w:r>
          </w:p>
        </w:tc>
        <w:tc>
          <w:tcPr>
            <w:tcW w:w="1241" w:type="dxa"/>
            <w:tcBorders>
              <w:top w:val="nil"/>
              <w:left w:val="nil"/>
              <w:bottom w:val="single" w:sz="12" w:space="0" w:color="FFD966"/>
              <w:right w:val="single" w:sz="12" w:space="0" w:color="FFD966"/>
            </w:tcBorders>
            <w:shd w:val="clear" w:color="auto" w:fill="auto"/>
            <w:noWrap/>
            <w:vAlign w:val="center"/>
            <w:hideMark/>
          </w:tcPr>
          <w:p w14:paraId="35C6B782" w14:textId="77777777" w:rsidR="00C41F58" w:rsidRPr="00C41F58" w:rsidRDefault="00C41F58" w:rsidP="00C41F58">
            <w:pPr>
              <w:spacing w:line="240" w:lineRule="auto"/>
              <w:jc w:val="right"/>
              <w:rPr>
                <w:rFonts w:eastAsia="Times New Roman" w:cs="Calibri"/>
                <w:b/>
                <w:bCs/>
                <w:color w:val="000000"/>
              </w:rPr>
            </w:pPr>
            <w:r w:rsidRPr="00C41F58">
              <w:rPr>
                <w:rFonts w:eastAsia="Times New Roman" w:cs="Calibri"/>
                <w:b/>
                <w:bCs/>
                <w:color w:val="000000"/>
              </w:rPr>
              <w:t xml:space="preserve">$8,305,000 </w:t>
            </w:r>
          </w:p>
        </w:tc>
      </w:tr>
    </w:tbl>
    <w:p w14:paraId="60037E8A" w14:textId="77777777" w:rsidR="00944B8E" w:rsidRDefault="00944B8E" w:rsidP="00FD05E6">
      <w:pPr>
        <w:pStyle w:val="paragraph"/>
        <w:spacing w:beforeAutospacing="0" w:after="0" w:afterAutospacing="0"/>
        <w:textAlignment w:val="baseline"/>
        <w:rPr>
          <w:rFonts w:cs="Calibri"/>
          <w:b/>
          <w:bCs/>
          <w:szCs w:val="22"/>
        </w:rPr>
      </w:pPr>
    </w:p>
    <w:p w14:paraId="72DCB5C4" w14:textId="3E6BEA35" w:rsidR="00FD05E6" w:rsidRPr="00662C58" w:rsidRDefault="00FD05E6" w:rsidP="00FD05E6">
      <w:pPr>
        <w:pStyle w:val="paragraph"/>
        <w:spacing w:beforeAutospacing="0" w:after="0" w:afterAutospacing="0"/>
        <w:textAlignment w:val="baseline"/>
        <w:rPr>
          <w:rFonts w:ascii="Segoe UI" w:hAnsi="Segoe UI" w:cs="Segoe UI"/>
          <w:sz w:val="18"/>
          <w:szCs w:val="18"/>
        </w:rPr>
      </w:pPr>
      <w:r>
        <w:rPr>
          <w:rFonts w:cs="Calibri"/>
          <w:b/>
          <w:bCs/>
          <w:szCs w:val="22"/>
        </w:rPr>
        <w:t>D</w:t>
      </w:r>
      <w:r w:rsidRPr="00662C58">
        <w:rPr>
          <w:rFonts w:cs="Calibri"/>
          <w:b/>
          <w:bCs/>
          <w:szCs w:val="22"/>
        </w:rPr>
        <w:t>escription: </w:t>
      </w:r>
      <w:r w:rsidRPr="00662C58">
        <w:rPr>
          <w:rFonts w:cs="Calibri"/>
          <w:szCs w:val="22"/>
        </w:rPr>
        <w:t> </w:t>
      </w:r>
    </w:p>
    <w:p w14:paraId="0D20E0B2" w14:textId="38235BF7" w:rsidR="00BC06AE" w:rsidRPr="00B635FA" w:rsidRDefault="00FD05E6" w:rsidP="003420B4">
      <w:pPr>
        <w:textAlignment w:val="baseline"/>
        <w:rPr>
          <w:rFonts w:ascii="Segoe UI" w:eastAsia="Times New Roman" w:hAnsi="Segoe UI" w:cs="Segoe UI"/>
          <w:sz w:val="18"/>
          <w:szCs w:val="18"/>
        </w:rPr>
      </w:pPr>
      <w:r>
        <w:rPr>
          <w:rFonts w:eastAsia="Times New Roman" w:cs="Calibri"/>
          <w:color w:val="1D1D1D"/>
        </w:rPr>
        <w:t xml:space="preserve">The </w:t>
      </w:r>
      <w:r w:rsidRPr="00662C58">
        <w:rPr>
          <w:rFonts w:eastAsia="Times New Roman" w:cs="Calibri"/>
          <w:color w:val="1D1D1D"/>
        </w:rPr>
        <w:t xml:space="preserve">Workforce Development (WFD) </w:t>
      </w:r>
      <w:r>
        <w:rPr>
          <w:rFonts w:eastAsia="Times New Roman" w:cs="Calibri"/>
          <w:color w:val="1D1D1D"/>
        </w:rPr>
        <w:t>strategy provides</w:t>
      </w:r>
      <w:r w:rsidRPr="00662C58">
        <w:rPr>
          <w:rFonts w:eastAsia="Times New Roman" w:cs="Calibri"/>
          <w:color w:val="1D1D1D"/>
        </w:rPr>
        <w:t xml:space="preserve"> training, technical assistance, and peer learning opportunities </w:t>
      </w:r>
      <w:r>
        <w:rPr>
          <w:rFonts w:eastAsia="Times New Roman" w:cs="Calibri"/>
          <w:color w:val="1D1D1D"/>
        </w:rPr>
        <w:t>to build the knowledge and skills of</w:t>
      </w:r>
      <w:r w:rsidRPr="00662C58">
        <w:rPr>
          <w:rFonts w:eastAsia="Times New Roman" w:cs="Calibri"/>
          <w:color w:val="1D1D1D"/>
        </w:rPr>
        <w:t xml:space="preserve"> early childhood practitioners</w:t>
      </w:r>
      <w:r>
        <w:rPr>
          <w:rFonts w:eastAsia="Times New Roman" w:cs="Calibri"/>
          <w:color w:val="1D1D1D"/>
        </w:rPr>
        <w:t xml:space="preserve"> </w:t>
      </w:r>
      <w:r w:rsidRPr="00662C58">
        <w:rPr>
          <w:rFonts w:eastAsia="Times New Roman" w:cs="Calibri"/>
          <w:color w:val="1D1D1D"/>
        </w:rPr>
        <w:t>in three content areas: racial equity, infant and early childhood mental health, and healthy child development.</w:t>
      </w:r>
      <w:r w:rsidR="0036549F" w:rsidRPr="0036549F">
        <w:rPr>
          <w:rStyle w:val="FootnoteReference"/>
          <w:rFonts w:eastAsia="Times New Roman" w:cs="Calibri"/>
          <w:color w:val="1D1D1D"/>
        </w:rPr>
        <w:t xml:space="preserve"> </w:t>
      </w:r>
      <w:r w:rsidR="0036549F">
        <w:rPr>
          <w:rStyle w:val="FootnoteReference"/>
          <w:rFonts w:eastAsia="Times New Roman" w:cs="Calibri"/>
          <w:color w:val="1D1D1D"/>
        </w:rPr>
        <w:footnoteReference w:id="152"/>
      </w:r>
      <w:r w:rsidRPr="00662C58">
        <w:rPr>
          <w:rFonts w:eastAsia="Times New Roman" w:cs="Calibri"/>
          <w:color w:val="1D1D1D"/>
        </w:rPr>
        <w:t xml:space="preserve"> WFD </w:t>
      </w:r>
      <w:r>
        <w:rPr>
          <w:rFonts w:eastAsia="Times New Roman" w:cs="Calibri"/>
          <w:color w:val="1D1D1D"/>
        </w:rPr>
        <w:t xml:space="preserve">strengthens the </w:t>
      </w:r>
      <w:r w:rsidRPr="00662C58">
        <w:rPr>
          <w:rFonts w:eastAsia="Times New Roman" w:cs="Calibri"/>
          <w:color w:val="1D1D1D"/>
        </w:rPr>
        <w:t>professional development system for early childhood practitioners</w:t>
      </w:r>
      <w:r w:rsidR="00D917B1" w:rsidRPr="003E483D">
        <w:rPr>
          <w:rFonts w:eastAsia="Times New Roman" w:cs="Calibri"/>
          <w:color w:val="1D1D1D"/>
        </w:rPr>
        <w:t>.</w:t>
      </w:r>
      <w:r w:rsidR="00BC06AE" w:rsidRPr="003E483D">
        <w:rPr>
          <w:rFonts w:eastAsia="Times New Roman" w:cs="Calibri"/>
          <w:color w:val="1D1D1D"/>
        </w:rPr>
        <w:t xml:space="preserve"> </w:t>
      </w:r>
      <w:r w:rsidR="00D57002" w:rsidRPr="003E483D">
        <w:rPr>
          <w:rFonts w:eastAsia="Times New Roman" w:cs="Calibri"/>
          <w:color w:val="1D1D1D"/>
        </w:rPr>
        <w:t xml:space="preserve">Public workshops </w:t>
      </w:r>
      <w:r w:rsidR="00184ABB" w:rsidRPr="003E483D">
        <w:rPr>
          <w:rFonts w:eastAsia="Times New Roman" w:cs="Calibri"/>
          <w:color w:val="1D1D1D"/>
        </w:rPr>
        <w:t xml:space="preserve">teach practitioners </w:t>
      </w:r>
      <w:r w:rsidR="00D024CE" w:rsidRPr="003E483D">
        <w:rPr>
          <w:rFonts w:eastAsia="Times New Roman" w:cs="Calibri"/>
          <w:color w:val="1D1D1D"/>
        </w:rPr>
        <w:t>foundational topics, such as healthy child development</w:t>
      </w:r>
      <w:r w:rsidR="00D47C7F" w:rsidRPr="003E483D">
        <w:rPr>
          <w:rFonts w:eastAsia="Times New Roman" w:cs="Calibri"/>
          <w:color w:val="1D1D1D"/>
        </w:rPr>
        <w:t xml:space="preserve">, </w:t>
      </w:r>
      <w:r w:rsidR="00995652" w:rsidRPr="003E483D">
        <w:rPr>
          <w:rFonts w:eastAsia="Times New Roman" w:cs="Calibri"/>
          <w:color w:val="1D1D1D"/>
        </w:rPr>
        <w:t>and trauma-informed engagement</w:t>
      </w:r>
      <w:r w:rsidR="005D0148" w:rsidRPr="003E483D">
        <w:rPr>
          <w:rFonts w:eastAsia="Times New Roman" w:cs="Calibri"/>
          <w:color w:val="1D1D1D"/>
        </w:rPr>
        <w:t xml:space="preserve">, and </w:t>
      </w:r>
      <w:r w:rsidR="00D917B1" w:rsidRPr="003E483D">
        <w:rPr>
          <w:rFonts w:eastAsia="Times New Roman" w:cs="Calibri"/>
          <w:color w:val="1D1D1D"/>
        </w:rPr>
        <w:t xml:space="preserve">workshop facilitators are partnered with trainers </w:t>
      </w:r>
      <w:r w:rsidR="00D917B1" w:rsidRPr="00B635FA">
        <w:rPr>
          <w:rFonts w:eastAsia="Times New Roman" w:cs="Calibri"/>
          <w:color w:val="1D1D1D"/>
        </w:rPr>
        <w:t>who have content knowledge and expertise in racial equity.</w:t>
      </w:r>
      <w:r w:rsidR="00D917B1" w:rsidRPr="003E483D">
        <w:rPr>
          <w:rFonts w:eastAsia="Times New Roman" w:cs="Calibri"/>
          <w:color w:val="1D1D1D"/>
        </w:rPr>
        <w:t xml:space="preserve"> </w:t>
      </w:r>
      <w:r w:rsidR="003E483D" w:rsidRPr="003E483D">
        <w:rPr>
          <w:rFonts w:eastAsia="Times New Roman" w:cs="Calibri"/>
          <w:color w:val="1D1D1D"/>
        </w:rPr>
        <w:t xml:space="preserve">WFD also invests in mentorship, networking, and technical assistance opportunities focused on BIPOC participants, and coordinates communities of practice for affinity groups of </w:t>
      </w:r>
      <w:r w:rsidR="003E483D" w:rsidRPr="003E483D">
        <w:rPr>
          <w:rFonts w:eastAsia="Times New Roman" w:cs="Calibri"/>
          <w:i/>
          <w:iCs/>
          <w:color w:val="1D1D1D"/>
        </w:rPr>
        <w:t>Best Starts-</w:t>
      </w:r>
      <w:r w:rsidR="003E483D" w:rsidRPr="003E483D">
        <w:rPr>
          <w:rFonts w:eastAsia="Times New Roman" w:cs="Calibri"/>
          <w:color w:val="1D1D1D"/>
        </w:rPr>
        <w:t>funded early childhood practitioners</w:t>
      </w:r>
      <w:r w:rsidR="003E483D" w:rsidRPr="003E483D" w:rsidDel="00791013">
        <w:rPr>
          <w:rFonts w:eastAsia="Times New Roman" w:cs="Calibri"/>
          <w:color w:val="1D1D1D"/>
        </w:rPr>
        <w:t>.</w:t>
      </w:r>
    </w:p>
    <w:p w14:paraId="18361851" w14:textId="4158B3DA" w:rsidR="00FD05E6" w:rsidRPr="00662C58" w:rsidRDefault="00FD05E6" w:rsidP="003420B4">
      <w:pPr>
        <w:textAlignment w:val="baseline"/>
        <w:rPr>
          <w:rFonts w:ascii="Segoe UI" w:eastAsia="Times New Roman" w:hAnsi="Segoe UI" w:cs="Segoe UI"/>
          <w:sz w:val="18"/>
          <w:szCs w:val="18"/>
        </w:rPr>
      </w:pPr>
    </w:p>
    <w:p w14:paraId="4E00A669" w14:textId="1FBDF2E9" w:rsidR="00FD05E6" w:rsidRPr="00662C58" w:rsidRDefault="00FD05E6" w:rsidP="003420B4">
      <w:pPr>
        <w:textAlignment w:val="baseline"/>
        <w:rPr>
          <w:rFonts w:ascii="Segoe UI" w:eastAsia="Times New Roman" w:hAnsi="Segoe UI" w:cs="Segoe UI"/>
          <w:sz w:val="18"/>
          <w:szCs w:val="18"/>
        </w:rPr>
      </w:pPr>
      <w:r>
        <w:rPr>
          <w:rFonts w:eastAsia="Times New Roman" w:cs="Calibri"/>
          <w:b/>
          <w:bCs/>
          <w:color w:val="1D1D1D"/>
        </w:rPr>
        <w:t>Planned</w:t>
      </w:r>
      <w:r w:rsidRPr="00662C58">
        <w:rPr>
          <w:rFonts w:eastAsia="Times New Roman" w:cs="Calibri"/>
          <w:b/>
          <w:bCs/>
          <w:color w:val="1D1D1D"/>
        </w:rPr>
        <w:t> Refinements</w:t>
      </w:r>
      <w:r>
        <w:rPr>
          <w:rFonts w:eastAsia="Times New Roman" w:cs="Calibri"/>
          <w:b/>
          <w:bCs/>
          <w:color w:val="1D1D1D"/>
        </w:rPr>
        <w:t xml:space="preserve"> in </w:t>
      </w:r>
      <w:r w:rsidR="00DB64BD">
        <w:rPr>
          <w:rFonts w:eastAsia="Times New Roman" w:cs="Calibri"/>
          <w:b/>
          <w:bCs/>
          <w:i/>
          <w:iCs/>
        </w:rPr>
        <w:t xml:space="preserve">Best Starts for Kids </w:t>
      </w:r>
      <w:r w:rsidR="00DB64BD" w:rsidRPr="00FB0F98">
        <w:rPr>
          <w:rFonts w:eastAsia="Times New Roman" w:cs="Calibri"/>
          <w:b/>
          <w:bCs/>
        </w:rPr>
        <w:t>2022-2027</w:t>
      </w:r>
      <w:r w:rsidR="00513AC4" w:rsidRPr="00FB0F98">
        <w:rPr>
          <w:rFonts w:eastAsia="Times New Roman" w:cs="Calibri"/>
          <w:b/>
          <w:bCs/>
          <w:color w:val="1D1D1D"/>
        </w:rPr>
        <w:t>:</w:t>
      </w:r>
    </w:p>
    <w:p w14:paraId="09FCEEED" w14:textId="77777777" w:rsidR="00FD05E6" w:rsidRPr="00F45085" w:rsidRDefault="00FD05E6" w:rsidP="003420B4">
      <w:pPr>
        <w:pStyle w:val="ListParagraph"/>
        <w:numPr>
          <w:ilvl w:val="0"/>
          <w:numId w:val="35"/>
        </w:numPr>
        <w:contextualSpacing w:val="0"/>
        <w:textAlignment w:val="baseline"/>
        <w:rPr>
          <w:rFonts w:ascii="Segoe UI" w:eastAsia="Times New Roman" w:hAnsi="Segoe UI" w:cs="Segoe UI"/>
          <w:sz w:val="18"/>
          <w:szCs w:val="18"/>
        </w:rPr>
      </w:pPr>
      <w:r>
        <w:rPr>
          <w:rFonts w:eastAsia="Times New Roman" w:cs="Calibri"/>
          <w:color w:val="1D1D1D"/>
        </w:rPr>
        <w:t>Codesign workshops</w:t>
      </w:r>
      <w:r w:rsidRPr="009833CC">
        <w:rPr>
          <w:rFonts w:eastAsia="Times New Roman" w:cs="Calibri"/>
          <w:color w:val="1D1D1D"/>
        </w:rPr>
        <w:t xml:space="preserve"> with BIPOC communities </w:t>
      </w:r>
      <w:r>
        <w:rPr>
          <w:rFonts w:eastAsia="Times New Roman" w:cs="Calibri"/>
          <w:color w:val="1D1D1D"/>
        </w:rPr>
        <w:t>to</w:t>
      </w:r>
      <w:r w:rsidRPr="009833CC">
        <w:rPr>
          <w:rFonts w:eastAsia="Times New Roman" w:cs="Calibri"/>
          <w:color w:val="1D1D1D"/>
        </w:rPr>
        <w:t> reflect the strengths, challenges and interests of specific population</w:t>
      </w:r>
      <w:r>
        <w:rPr>
          <w:rFonts w:eastAsia="Times New Roman" w:cs="Calibri"/>
          <w:color w:val="1D1D1D"/>
        </w:rPr>
        <w:t>s</w:t>
      </w:r>
      <w:r w:rsidRPr="009833CC">
        <w:rPr>
          <w:rFonts w:eastAsia="Times New Roman" w:cs="Calibri"/>
          <w:color w:val="1D1D1D"/>
        </w:rPr>
        <w:t xml:space="preserve"> and geograph</w:t>
      </w:r>
      <w:r>
        <w:rPr>
          <w:rFonts w:eastAsia="Times New Roman" w:cs="Calibri"/>
          <w:color w:val="1D1D1D"/>
        </w:rPr>
        <w:t>ies, focusing on knowledge-sharing and peer-to-peer learning.</w:t>
      </w:r>
    </w:p>
    <w:p w14:paraId="4766B956" w14:textId="70B8BB4B" w:rsidR="00FD05E6" w:rsidRPr="00207F50" w:rsidRDefault="00126F63" w:rsidP="003420B4">
      <w:pPr>
        <w:pStyle w:val="ListParagraph"/>
        <w:numPr>
          <w:ilvl w:val="0"/>
          <w:numId w:val="35"/>
        </w:numPr>
        <w:contextualSpacing w:val="0"/>
        <w:textAlignment w:val="baseline"/>
        <w:rPr>
          <w:rFonts w:ascii="Segoe UI" w:eastAsia="Times New Roman" w:hAnsi="Segoe UI" w:cs="Segoe UI"/>
          <w:sz w:val="18"/>
          <w:szCs w:val="18"/>
        </w:rPr>
      </w:pPr>
      <w:r>
        <w:rPr>
          <w:rFonts w:eastAsia="Times New Roman" w:cs="Calibri"/>
          <w:color w:val="1D1D1D"/>
        </w:rPr>
        <w:t xml:space="preserve">Support </w:t>
      </w:r>
      <w:r w:rsidR="00DD5BAA" w:rsidRPr="00DD5BAA">
        <w:rPr>
          <w:rFonts w:eastAsia="Times New Roman" w:cs="Calibri"/>
          <w:color w:val="1D1D1D"/>
        </w:rPr>
        <w:t>alignment,</w:t>
      </w:r>
      <w:r w:rsidR="00DD5BAA">
        <w:rPr>
          <w:rFonts w:eastAsia="Times New Roman" w:cs="Calibri"/>
          <w:i/>
          <w:iCs/>
          <w:color w:val="1D1D1D"/>
        </w:rPr>
        <w:t xml:space="preserve"> </w:t>
      </w:r>
      <w:r w:rsidR="00FD05E6" w:rsidRPr="009833CC">
        <w:rPr>
          <w:rFonts w:eastAsia="Times New Roman" w:cs="Calibri"/>
          <w:color w:val="1D1D1D"/>
        </w:rPr>
        <w:t>integrate</w:t>
      </w:r>
      <w:r w:rsidR="00E36750">
        <w:rPr>
          <w:rFonts w:eastAsia="Times New Roman" w:cs="Calibri"/>
          <w:color w:val="1D1D1D"/>
        </w:rPr>
        <w:t>d</w:t>
      </w:r>
      <w:r w:rsidR="00FD05E6" w:rsidRPr="009833CC">
        <w:rPr>
          <w:rFonts w:eastAsia="Times New Roman" w:cs="Calibri"/>
          <w:color w:val="1D1D1D"/>
        </w:rPr>
        <w:t> equity</w:t>
      </w:r>
      <w:r w:rsidR="00DD5BAA">
        <w:rPr>
          <w:rFonts w:eastAsia="Times New Roman" w:cs="Calibri"/>
          <w:color w:val="1D1D1D"/>
        </w:rPr>
        <w:t>,</w:t>
      </w:r>
      <w:r w:rsidR="00FD05E6" w:rsidRPr="009833CC">
        <w:rPr>
          <w:rFonts w:eastAsia="Times New Roman" w:cs="Calibri"/>
          <w:color w:val="1D1D1D"/>
        </w:rPr>
        <w:t xml:space="preserve"> and inclusive methods of deliveries (adult learning) for all funded </w:t>
      </w:r>
      <w:r w:rsidR="00DD5BAA" w:rsidRPr="00DD5BAA">
        <w:rPr>
          <w:rFonts w:eastAsia="Times New Roman" w:cs="Calibri"/>
          <w:i/>
          <w:iCs/>
          <w:color w:val="1D1D1D"/>
        </w:rPr>
        <w:t>Best Starts</w:t>
      </w:r>
      <w:r w:rsidR="00DD5BAA">
        <w:rPr>
          <w:rFonts w:eastAsia="Times New Roman" w:cs="Calibri"/>
          <w:color w:val="1D1D1D"/>
        </w:rPr>
        <w:t xml:space="preserve"> </w:t>
      </w:r>
      <w:r w:rsidR="00FD05E6" w:rsidRPr="009833CC">
        <w:rPr>
          <w:rFonts w:eastAsia="Times New Roman" w:cs="Calibri"/>
          <w:color w:val="1D1D1D"/>
        </w:rPr>
        <w:t>programs</w:t>
      </w:r>
      <w:r w:rsidR="00FD05E6" w:rsidRPr="009833CC" w:rsidDel="00791013">
        <w:rPr>
          <w:rFonts w:eastAsia="Times New Roman" w:cs="Calibri"/>
          <w:color w:val="1D1D1D"/>
        </w:rPr>
        <w:t>.</w:t>
      </w:r>
    </w:p>
    <w:p w14:paraId="4AE0FDC5" w14:textId="77777777" w:rsidR="00FD05E6" w:rsidRPr="00662C58" w:rsidRDefault="00FD05E6" w:rsidP="003420B4">
      <w:pPr>
        <w:textAlignment w:val="baseline"/>
        <w:rPr>
          <w:rFonts w:ascii="Segoe UI" w:eastAsia="Times New Roman" w:hAnsi="Segoe UI" w:cs="Segoe UI"/>
          <w:sz w:val="18"/>
          <w:szCs w:val="18"/>
        </w:rPr>
      </w:pPr>
      <w:r w:rsidRPr="00662C58">
        <w:rPr>
          <w:rFonts w:eastAsia="Times New Roman" w:cs="Calibri"/>
          <w:color w:val="1D1D1D"/>
        </w:rPr>
        <w:t>  </w:t>
      </w:r>
    </w:p>
    <w:p w14:paraId="7F650144" w14:textId="347B3737" w:rsidR="00D250AD" w:rsidRPr="00826B8B" w:rsidRDefault="00FD05E6" w:rsidP="00D250AD">
      <w:r>
        <w:rPr>
          <w:rFonts w:eastAsia="Times New Roman" w:cs="Calibri"/>
          <w:b/>
          <w:bCs/>
          <w:color w:val="1D1D1D"/>
        </w:rPr>
        <w:t xml:space="preserve">Approximate </w:t>
      </w:r>
      <w:r w:rsidR="00BA36DC">
        <w:rPr>
          <w:rFonts w:eastAsia="Times New Roman" w:cs="Calibri"/>
          <w:b/>
          <w:bCs/>
          <w:color w:val="1D1D1D"/>
        </w:rPr>
        <w:t>Scope</w:t>
      </w:r>
      <w:r>
        <w:rPr>
          <w:rFonts w:eastAsia="Times New Roman" w:cs="Calibri"/>
          <w:b/>
          <w:bCs/>
          <w:color w:val="1D1D1D"/>
        </w:rPr>
        <w:t>:</w:t>
      </w:r>
      <w:r>
        <w:rPr>
          <w:rFonts w:eastAsia="Times New Roman" w:cs="Calibri"/>
          <w:color w:val="1D1D1D"/>
        </w:rPr>
        <w:t xml:space="preserve"> </w:t>
      </w:r>
      <w:r w:rsidR="00F54721" w:rsidRPr="00F54721">
        <w:rPr>
          <w:rFonts w:eastAsia="Calibri" w:cs="Calibri"/>
          <w:color w:val="1D1D1D"/>
        </w:rPr>
        <w:t>WFD</w:t>
      </w:r>
      <w:r w:rsidR="00DD5BAA" w:rsidRPr="00DD5BAA">
        <w:rPr>
          <w:rFonts w:eastAsia="Calibri" w:cs="Calibri"/>
          <w:color w:val="1D1D1D"/>
        </w:rPr>
        <w:t xml:space="preserve"> </w:t>
      </w:r>
      <w:r w:rsidR="00D250AD">
        <w:t xml:space="preserve">anticipates </w:t>
      </w:r>
      <w:r w:rsidR="00D250AD" w:rsidRPr="005F2E14">
        <w:t>900</w:t>
      </w:r>
      <w:r w:rsidR="00FB0F98">
        <w:t xml:space="preserve"> to 1,</w:t>
      </w:r>
      <w:r w:rsidR="00D250AD" w:rsidRPr="005F2E14">
        <w:t>100 unduplicated</w:t>
      </w:r>
      <w:r w:rsidR="00D250AD">
        <w:t xml:space="preserve"> providers participating in one or more large group trainings.</w:t>
      </w:r>
    </w:p>
    <w:p w14:paraId="6CBFA74E" w14:textId="77777777" w:rsidR="00FD05E6" w:rsidRDefault="00FD05E6" w:rsidP="003420B4">
      <w:pPr>
        <w:contextualSpacing/>
        <w:rPr>
          <w:rFonts w:eastAsia="Times New Roman" w:cs="Calibri"/>
          <w:color w:val="1D1D1D"/>
        </w:rPr>
      </w:pPr>
    </w:p>
    <w:p w14:paraId="0F823DA5" w14:textId="4E3ECC37" w:rsidR="00FD05E6" w:rsidRPr="00B246B9" w:rsidRDefault="00FD05E6" w:rsidP="00826B8B">
      <w:r>
        <w:rPr>
          <w:rFonts w:eastAsia="Times New Roman" w:cs="Calibri"/>
          <w:b/>
          <w:bCs/>
          <w:color w:val="1D1D1D"/>
        </w:rPr>
        <w:t>Anticipated Timeline:</w:t>
      </w:r>
      <w:r w:rsidR="00DD5BAA">
        <w:rPr>
          <w:rFonts w:eastAsia="Times New Roman" w:cs="Calibri"/>
          <w:b/>
          <w:bCs/>
          <w:color w:val="1D1D1D"/>
        </w:rPr>
        <w:t xml:space="preserve"> </w:t>
      </w:r>
      <w:r w:rsidR="00B246B9">
        <w:rPr>
          <w:rFonts w:eastAsia="Times New Roman" w:cs="Calibri"/>
          <w:color w:val="1D1D1D"/>
        </w:rPr>
        <w:t xml:space="preserve">RFP will </w:t>
      </w:r>
      <w:r w:rsidR="00994ECF">
        <w:rPr>
          <w:rFonts w:eastAsia="Times New Roman" w:cs="Calibri"/>
          <w:color w:val="1D1D1D"/>
        </w:rPr>
        <w:t xml:space="preserve">be released </w:t>
      </w:r>
      <w:r w:rsidR="00B246B9">
        <w:rPr>
          <w:rFonts w:eastAsia="Times New Roman" w:cs="Calibri"/>
          <w:color w:val="1D1D1D"/>
        </w:rPr>
        <w:t xml:space="preserve">by </w:t>
      </w:r>
      <w:r w:rsidR="007A634D">
        <w:rPr>
          <w:rFonts w:eastAsia="Times New Roman" w:cs="Calibri"/>
          <w:color w:val="1D1D1D"/>
        </w:rPr>
        <w:t>Q</w:t>
      </w:r>
      <w:r w:rsidR="00CE1051">
        <w:rPr>
          <w:rFonts w:eastAsia="Times New Roman" w:cs="Calibri"/>
          <w:color w:val="1D1D1D"/>
        </w:rPr>
        <w:t>4</w:t>
      </w:r>
      <w:r w:rsidR="007A634D">
        <w:rPr>
          <w:rFonts w:eastAsia="Times New Roman" w:cs="Calibri"/>
          <w:color w:val="1D1D1D"/>
        </w:rPr>
        <w:t xml:space="preserve"> 2021</w:t>
      </w:r>
      <w:r w:rsidR="00802B58">
        <w:rPr>
          <w:rFonts w:eastAsia="Times New Roman" w:cs="Calibri"/>
          <w:color w:val="1D1D1D"/>
        </w:rPr>
        <w:t xml:space="preserve">. </w:t>
      </w:r>
    </w:p>
    <w:p w14:paraId="5AB742F7" w14:textId="0113FA57" w:rsidR="00DF4FB5" w:rsidRPr="00385CBB" w:rsidRDefault="00DF4FB5" w:rsidP="00385CBB">
      <w:pPr>
        <w:spacing w:line="240" w:lineRule="auto"/>
        <w:textAlignment w:val="baseline"/>
        <w:rPr>
          <w:rFonts w:ascii="Segoe UI" w:eastAsia="Times New Roman" w:hAnsi="Segoe UI" w:cs="Segoe UI"/>
          <w:sz w:val="18"/>
          <w:szCs w:val="18"/>
        </w:rPr>
      </w:pPr>
      <w:r w:rsidRPr="00662C58">
        <w:rPr>
          <w:rFonts w:eastAsia="Times New Roman" w:cs="Calibri"/>
        </w:rPr>
        <w:t> </w:t>
      </w:r>
    </w:p>
    <w:p w14:paraId="025856E2" w14:textId="77777777" w:rsidR="007B6484" w:rsidRDefault="007B6484">
      <w:bookmarkStart w:id="62" w:name="Innovation_Supports"/>
      <w:r>
        <w:br w:type="page"/>
      </w:r>
    </w:p>
    <w:tbl>
      <w:tblPr>
        <w:tblStyle w:val="TableGrid"/>
        <w:tblpPr w:leftFromText="180" w:rightFromText="180" w:vertAnchor="text" w:horzAnchor="margin" w:tblpY="121"/>
        <w:tblW w:w="9420" w:type="dxa"/>
        <w:tblLook w:val="04A0" w:firstRow="1" w:lastRow="0" w:firstColumn="1" w:lastColumn="0" w:noHBand="0" w:noVBand="1"/>
      </w:tblPr>
      <w:tblGrid>
        <w:gridCol w:w="9420"/>
      </w:tblGrid>
      <w:tr w:rsidR="00DF4FB5" w:rsidRPr="00D03F1F" w14:paraId="449C0BB6" w14:textId="77777777" w:rsidTr="005E6FD3">
        <w:trPr>
          <w:trHeight w:val="400"/>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268B2F23" w14:textId="16835999" w:rsidR="009C259C" w:rsidRPr="00EE121B" w:rsidRDefault="00DF4FB5" w:rsidP="00A80A04">
            <w:pPr>
              <w:contextualSpacing/>
              <w:rPr>
                <w:sz w:val="28"/>
                <w:szCs w:val="28"/>
              </w:rPr>
            </w:pPr>
            <w:r w:rsidRPr="00EE121B">
              <w:rPr>
                <w:b/>
                <w:sz w:val="28"/>
                <w:szCs w:val="28"/>
              </w:rPr>
              <w:lastRenderedPageBreak/>
              <w:t xml:space="preserve">Innovation </w:t>
            </w:r>
            <w:r w:rsidR="000A2F08" w:rsidRPr="00EE121B">
              <w:rPr>
                <w:b/>
                <w:sz w:val="28"/>
                <w:szCs w:val="28"/>
              </w:rPr>
              <w:t>Supports</w:t>
            </w:r>
            <w:r w:rsidRPr="00EE121B">
              <w:rPr>
                <w:sz w:val="28"/>
                <w:szCs w:val="28"/>
              </w:rPr>
              <w:t xml:space="preserve"> </w:t>
            </w:r>
            <w:bookmarkEnd w:id="62"/>
          </w:p>
        </w:tc>
      </w:tr>
    </w:tbl>
    <w:p w14:paraId="31F169D4" w14:textId="77777777" w:rsidR="00A80A04" w:rsidRDefault="00A80A04" w:rsidP="00DF4FB5">
      <w:pPr>
        <w:spacing w:line="240" w:lineRule="auto"/>
        <w:textAlignment w:val="baseline"/>
        <w:rPr>
          <w:rFonts w:eastAsia="Times New Roman" w:cs="Calibri"/>
          <w:b/>
          <w:bCs/>
          <w:color w:val="1D1D1D"/>
        </w:rPr>
      </w:pPr>
    </w:p>
    <w:tbl>
      <w:tblPr>
        <w:tblW w:w="9450" w:type="dxa"/>
        <w:tblLook w:val="04A0" w:firstRow="1" w:lastRow="0" w:firstColumn="1" w:lastColumn="0" w:noHBand="0" w:noVBand="1"/>
      </w:tblPr>
      <w:tblGrid>
        <w:gridCol w:w="986"/>
        <w:gridCol w:w="1205"/>
        <w:gridCol w:w="1206"/>
        <w:gridCol w:w="1206"/>
        <w:gridCol w:w="1206"/>
        <w:gridCol w:w="1206"/>
        <w:gridCol w:w="1206"/>
        <w:gridCol w:w="1229"/>
      </w:tblGrid>
      <w:tr w:rsidR="00502484" w:rsidRPr="00502484" w14:paraId="54D8B9CD" w14:textId="77777777" w:rsidTr="000A3D63">
        <w:trPr>
          <w:trHeight w:val="304"/>
        </w:trPr>
        <w:tc>
          <w:tcPr>
            <w:tcW w:w="9450" w:type="dxa"/>
            <w:gridSpan w:val="8"/>
            <w:tcBorders>
              <w:top w:val="nil"/>
              <w:left w:val="nil"/>
              <w:bottom w:val="single" w:sz="12" w:space="0" w:color="FFD966"/>
              <w:right w:val="nil"/>
            </w:tcBorders>
            <w:shd w:val="clear" w:color="auto" w:fill="auto"/>
            <w:noWrap/>
            <w:vAlign w:val="bottom"/>
            <w:hideMark/>
          </w:tcPr>
          <w:p w14:paraId="407147B5" w14:textId="77777777" w:rsidR="00502484" w:rsidRPr="00502484" w:rsidRDefault="00502484" w:rsidP="00502484">
            <w:pPr>
              <w:spacing w:line="240" w:lineRule="auto"/>
              <w:rPr>
                <w:rFonts w:eastAsia="Times New Roman" w:cs="Calibri"/>
                <w:b/>
                <w:bCs/>
                <w:i/>
                <w:iCs/>
                <w:color w:val="000000"/>
              </w:rPr>
            </w:pPr>
            <w:r w:rsidRPr="00502484">
              <w:rPr>
                <w:rFonts w:eastAsia="Times New Roman" w:cs="Calibri"/>
                <w:b/>
                <w:bCs/>
                <w:i/>
                <w:iCs/>
                <w:color w:val="000000"/>
              </w:rPr>
              <w:t>Funding Estimate:</w:t>
            </w:r>
          </w:p>
        </w:tc>
      </w:tr>
      <w:tr w:rsidR="00502484" w:rsidRPr="00502484" w14:paraId="00CE0CA8" w14:textId="77777777" w:rsidTr="000A3D63">
        <w:trPr>
          <w:trHeight w:val="406"/>
        </w:trPr>
        <w:tc>
          <w:tcPr>
            <w:tcW w:w="986" w:type="dxa"/>
            <w:tcBorders>
              <w:top w:val="nil"/>
              <w:left w:val="single" w:sz="12" w:space="0" w:color="FFD966"/>
              <w:bottom w:val="single" w:sz="8" w:space="0" w:color="FFD966"/>
              <w:right w:val="single" w:sz="8" w:space="0" w:color="FFD966"/>
            </w:tcBorders>
            <w:shd w:val="clear" w:color="000000" w:fill="D9E1F2"/>
            <w:noWrap/>
            <w:vAlign w:val="center"/>
            <w:hideMark/>
          </w:tcPr>
          <w:p w14:paraId="195CDF84" w14:textId="77777777" w:rsidR="00502484" w:rsidRPr="00502484" w:rsidRDefault="00502484" w:rsidP="00502484">
            <w:pPr>
              <w:spacing w:line="240" w:lineRule="auto"/>
              <w:rPr>
                <w:rFonts w:eastAsia="Times New Roman" w:cs="Calibri"/>
                <w:b/>
                <w:bCs/>
                <w:i/>
                <w:iCs/>
              </w:rPr>
            </w:pPr>
            <w:r w:rsidRPr="00502484">
              <w:rPr>
                <w:rFonts w:eastAsia="Times New Roman" w:cs="Calibri"/>
                <w:b/>
                <w:bCs/>
                <w:i/>
                <w:iCs/>
              </w:rPr>
              <w:t>Year</w:t>
            </w:r>
          </w:p>
        </w:tc>
        <w:tc>
          <w:tcPr>
            <w:tcW w:w="1205" w:type="dxa"/>
            <w:tcBorders>
              <w:top w:val="nil"/>
              <w:left w:val="nil"/>
              <w:bottom w:val="single" w:sz="8" w:space="0" w:color="FFD966"/>
              <w:right w:val="single" w:sz="8" w:space="0" w:color="FFD966"/>
            </w:tcBorders>
            <w:shd w:val="clear" w:color="000000" w:fill="D9E1F2"/>
            <w:noWrap/>
            <w:vAlign w:val="center"/>
            <w:hideMark/>
          </w:tcPr>
          <w:p w14:paraId="1AF78FF7" w14:textId="77777777" w:rsidR="00502484" w:rsidRPr="00502484" w:rsidRDefault="00502484" w:rsidP="00502484">
            <w:pPr>
              <w:spacing w:line="240" w:lineRule="auto"/>
              <w:jc w:val="right"/>
              <w:rPr>
                <w:rFonts w:eastAsia="Times New Roman" w:cs="Calibri"/>
              </w:rPr>
            </w:pPr>
            <w:r w:rsidRPr="00502484">
              <w:rPr>
                <w:rFonts w:eastAsia="Times New Roman" w:cs="Calibri"/>
              </w:rPr>
              <w:t>2022</w:t>
            </w:r>
          </w:p>
        </w:tc>
        <w:tc>
          <w:tcPr>
            <w:tcW w:w="1206" w:type="dxa"/>
            <w:tcBorders>
              <w:top w:val="nil"/>
              <w:left w:val="nil"/>
              <w:bottom w:val="single" w:sz="8" w:space="0" w:color="FFD966"/>
              <w:right w:val="single" w:sz="8" w:space="0" w:color="FFD966"/>
            </w:tcBorders>
            <w:shd w:val="clear" w:color="000000" w:fill="D9E1F2"/>
            <w:noWrap/>
            <w:vAlign w:val="center"/>
            <w:hideMark/>
          </w:tcPr>
          <w:p w14:paraId="265AB55F" w14:textId="77777777" w:rsidR="00502484" w:rsidRPr="00502484" w:rsidRDefault="00502484" w:rsidP="00502484">
            <w:pPr>
              <w:spacing w:line="240" w:lineRule="auto"/>
              <w:jc w:val="right"/>
              <w:rPr>
                <w:rFonts w:eastAsia="Times New Roman" w:cs="Calibri"/>
              </w:rPr>
            </w:pPr>
            <w:r w:rsidRPr="00502484">
              <w:rPr>
                <w:rFonts w:eastAsia="Times New Roman" w:cs="Calibri"/>
              </w:rPr>
              <w:t>2023</w:t>
            </w:r>
          </w:p>
        </w:tc>
        <w:tc>
          <w:tcPr>
            <w:tcW w:w="1206" w:type="dxa"/>
            <w:tcBorders>
              <w:top w:val="nil"/>
              <w:left w:val="nil"/>
              <w:bottom w:val="single" w:sz="8" w:space="0" w:color="FFD966"/>
              <w:right w:val="single" w:sz="8" w:space="0" w:color="FFD966"/>
            </w:tcBorders>
            <w:shd w:val="clear" w:color="000000" w:fill="D9E1F2"/>
            <w:noWrap/>
            <w:vAlign w:val="center"/>
            <w:hideMark/>
          </w:tcPr>
          <w:p w14:paraId="00ECD1A9" w14:textId="77777777" w:rsidR="00502484" w:rsidRPr="00502484" w:rsidRDefault="00502484" w:rsidP="00502484">
            <w:pPr>
              <w:spacing w:line="240" w:lineRule="auto"/>
              <w:jc w:val="right"/>
              <w:rPr>
                <w:rFonts w:eastAsia="Times New Roman" w:cs="Calibri"/>
              </w:rPr>
            </w:pPr>
            <w:r w:rsidRPr="00502484">
              <w:rPr>
                <w:rFonts w:eastAsia="Times New Roman" w:cs="Calibri"/>
              </w:rPr>
              <w:t>2024</w:t>
            </w:r>
          </w:p>
        </w:tc>
        <w:tc>
          <w:tcPr>
            <w:tcW w:w="1206" w:type="dxa"/>
            <w:tcBorders>
              <w:top w:val="nil"/>
              <w:left w:val="nil"/>
              <w:bottom w:val="single" w:sz="8" w:space="0" w:color="FFD966"/>
              <w:right w:val="single" w:sz="8" w:space="0" w:color="FFD966"/>
            </w:tcBorders>
            <w:shd w:val="clear" w:color="000000" w:fill="D9E1F2"/>
            <w:noWrap/>
            <w:vAlign w:val="center"/>
            <w:hideMark/>
          </w:tcPr>
          <w:p w14:paraId="1833F333" w14:textId="77777777" w:rsidR="00502484" w:rsidRPr="00502484" w:rsidRDefault="00502484" w:rsidP="00502484">
            <w:pPr>
              <w:spacing w:line="240" w:lineRule="auto"/>
              <w:jc w:val="right"/>
              <w:rPr>
                <w:rFonts w:eastAsia="Times New Roman" w:cs="Calibri"/>
              </w:rPr>
            </w:pPr>
            <w:r w:rsidRPr="00502484">
              <w:rPr>
                <w:rFonts w:eastAsia="Times New Roman" w:cs="Calibri"/>
              </w:rPr>
              <w:t>2025</w:t>
            </w:r>
          </w:p>
        </w:tc>
        <w:tc>
          <w:tcPr>
            <w:tcW w:w="1206" w:type="dxa"/>
            <w:tcBorders>
              <w:top w:val="nil"/>
              <w:left w:val="nil"/>
              <w:bottom w:val="single" w:sz="8" w:space="0" w:color="FFD966"/>
              <w:right w:val="single" w:sz="8" w:space="0" w:color="FFD966"/>
            </w:tcBorders>
            <w:shd w:val="clear" w:color="000000" w:fill="D9E1F2"/>
            <w:noWrap/>
            <w:vAlign w:val="center"/>
            <w:hideMark/>
          </w:tcPr>
          <w:p w14:paraId="1C05A4DA" w14:textId="77777777" w:rsidR="00502484" w:rsidRPr="00502484" w:rsidRDefault="00502484" w:rsidP="00502484">
            <w:pPr>
              <w:spacing w:line="240" w:lineRule="auto"/>
              <w:jc w:val="right"/>
              <w:rPr>
                <w:rFonts w:eastAsia="Times New Roman" w:cs="Calibri"/>
              </w:rPr>
            </w:pPr>
            <w:r w:rsidRPr="00502484">
              <w:rPr>
                <w:rFonts w:eastAsia="Times New Roman" w:cs="Calibri"/>
              </w:rPr>
              <w:t>2026</w:t>
            </w:r>
          </w:p>
        </w:tc>
        <w:tc>
          <w:tcPr>
            <w:tcW w:w="1206" w:type="dxa"/>
            <w:tcBorders>
              <w:top w:val="nil"/>
              <w:left w:val="nil"/>
              <w:bottom w:val="single" w:sz="8" w:space="0" w:color="FFD966"/>
              <w:right w:val="single" w:sz="8" w:space="0" w:color="FFD966"/>
            </w:tcBorders>
            <w:shd w:val="clear" w:color="000000" w:fill="D9E1F2"/>
            <w:noWrap/>
            <w:vAlign w:val="center"/>
            <w:hideMark/>
          </w:tcPr>
          <w:p w14:paraId="1F91FC74" w14:textId="77777777" w:rsidR="00502484" w:rsidRPr="00502484" w:rsidRDefault="00502484" w:rsidP="00502484">
            <w:pPr>
              <w:spacing w:line="240" w:lineRule="auto"/>
              <w:jc w:val="right"/>
              <w:rPr>
                <w:rFonts w:eastAsia="Times New Roman" w:cs="Calibri"/>
              </w:rPr>
            </w:pPr>
            <w:r w:rsidRPr="00502484">
              <w:rPr>
                <w:rFonts w:eastAsia="Times New Roman" w:cs="Calibri"/>
              </w:rPr>
              <w:t>2027</w:t>
            </w:r>
          </w:p>
        </w:tc>
        <w:tc>
          <w:tcPr>
            <w:tcW w:w="1229" w:type="dxa"/>
            <w:tcBorders>
              <w:top w:val="nil"/>
              <w:left w:val="nil"/>
              <w:bottom w:val="single" w:sz="8" w:space="0" w:color="FFD966"/>
              <w:right w:val="single" w:sz="12" w:space="0" w:color="FFD966"/>
            </w:tcBorders>
            <w:shd w:val="clear" w:color="000000" w:fill="D9E1F2"/>
            <w:noWrap/>
            <w:vAlign w:val="center"/>
            <w:hideMark/>
          </w:tcPr>
          <w:p w14:paraId="3E8EA148" w14:textId="77777777" w:rsidR="00502484" w:rsidRPr="00502484" w:rsidRDefault="00502484" w:rsidP="00502484">
            <w:pPr>
              <w:spacing w:line="240" w:lineRule="auto"/>
              <w:jc w:val="right"/>
              <w:rPr>
                <w:rFonts w:eastAsia="Times New Roman" w:cs="Calibri"/>
                <w:b/>
                <w:bCs/>
                <w:i/>
                <w:iCs/>
              </w:rPr>
            </w:pPr>
            <w:r w:rsidRPr="00502484">
              <w:rPr>
                <w:rFonts w:eastAsia="Times New Roman" w:cs="Calibri"/>
                <w:b/>
                <w:bCs/>
                <w:i/>
                <w:iCs/>
              </w:rPr>
              <w:t>Total</w:t>
            </w:r>
          </w:p>
        </w:tc>
      </w:tr>
      <w:tr w:rsidR="00502484" w:rsidRPr="00502484" w14:paraId="1CA3B35C" w14:textId="77777777" w:rsidTr="000A3D63">
        <w:trPr>
          <w:trHeight w:val="406"/>
        </w:trPr>
        <w:tc>
          <w:tcPr>
            <w:tcW w:w="986" w:type="dxa"/>
            <w:tcBorders>
              <w:top w:val="nil"/>
              <w:left w:val="single" w:sz="12" w:space="0" w:color="FFD966"/>
              <w:bottom w:val="single" w:sz="12" w:space="0" w:color="FFD966"/>
              <w:right w:val="single" w:sz="8" w:space="0" w:color="FFD966"/>
            </w:tcBorders>
            <w:shd w:val="clear" w:color="auto" w:fill="auto"/>
            <w:noWrap/>
            <w:vAlign w:val="center"/>
            <w:hideMark/>
          </w:tcPr>
          <w:p w14:paraId="7BC83B61" w14:textId="77777777" w:rsidR="00502484" w:rsidRPr="00502484" w:rsidRDefault="00502484" w:rsidP="00502484">
            <w:pPr>
              <w:spacing w:line="240" w:lineRule="auto"/>
              <w:rPr>
                <w:rFonts w:eastAsia="Times New Roman" w:cs="Calibri"/>
                <w:b/>
                <w:bCs/>
                <w:i/>
                <w:iCs/>
                <w:color w:val="000000"/>
              </w:rPr>
            </w:pPr>
            <w:r w:rsidRPr="00502484">
              <w:rPr>
                <w:rFonts w:eastAsia="Times New Roman" w:cs="Calibri"/>
                <w:b/>
                <w:bCs/>
                <w:i/>
                <w:iCs/>
                <w:color w:val="000000"/>
              </w:rPr>
              <w:t>Amount</w:t>
            </w:r>
          </w:p>
        </w:tc>
        <w:tc>
          <w:tcPr>
            <w:tcW w:w="1205" w:type="dxa"/>
            <w:tcBorders>
              <w:top w:val="nil"/>
              <w:left w:val="nil"/>
              <w:bottom w:val="single" w:sz="12" w:space="0" w:color="FFD966"/>
              <w:right w:val="single" w:sz="8" w:space="0" w:color="FFD966"/>
            </w:tcBorders>
            <w:shd w:val="clear" w:color="auto" w:fill="auto"/>
            <w:noWrap/>
            <w:vAlign w:val="center"/>
            <w:hideMark/>
          </w:tcPr>
          <w:p w14:paraId="4B9AFAD7"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$1,000,000 </w:t>
            </w:r>
          </w:p>
        </w:tc>
        <w:tc>
          <w:tcPr>
            <w:tcW w:w="1206" w:type="dxa"/>
            <w:tcBorders>
              <w:top w:val="nil"/>
              <w:left w:val="nil"/>
              <w:bottom w:val="single" w:sz="12" w:space="0" w:color="FFD966"/>
              <w:right w:val="single" w:sz="8" w:space="0" w:color="FFD966"/>
            </w:tcBorders>
            <w:shd w:val="clear" w:color="auto" w:fill="auto"/>
            <w:noWrap/>
            <w:vAlign w:val="center"/>
            <w:hideMark/>
          </w:tcPr>
          <w:p w14:paraId="1395E033"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$1,022,000 </w:t>
            </w:r>
          </w:p>
        </w:tc>
        <w:tc>
          <w:tcPr>
            <w:tcW w:w="1206" w:type="dxa"/>
            <w:tcBorders>
              <w:top w:val="nil"/>
              <w:left w:val="nil"/>
              <w:bottom w:val="single" w:sz="12" w:space="0" w:color="FFD966"/>
              <w:right w:val="single" w:sz="8" w:space="0" w:color="FFD966"/>
            </w:tcBorders>
            <w:shd w:val="clear" w:color="auto" w:fill="auto"/>
            <w:noWrap/>
            <w:vAlign w:val="center"/>
            <w:hideMark/>
          </w:tcPr>
          <w:p w14:paraId="77C6D30D"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$1,044,000 </w:t>
            </w:r>
          </w:p>
        </w:tc>
        <w:tc>
          <w:tcPr>
            <w:tcW w:w="1206" w:type="dxa"/>
            <w:tcBorders>
              <w:top w:val="nil"/>
              <w:left w:val="nil"/>
              <w:bottom w:val="single" w:sz="12" w:space="0" w:color="FFD966"/>
              <w:right w:val="single" w:sz="8" w:space="0" w:color="FFD966"/>
            </w:tcBorders>
            <w:shd w:val="clear" w:color="auto" w:fill="auto"/>
            <w:noWrap/>
            <w:vAlign w:val="center"/>
            <w:hideMark/>
          </w:tcPr>
          <w:p w14:paraId="219B815A"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$1,067,000 </w:t>
            </w:r>
          </w:p>
        </w:tc>
        <w:tc>
          <w:tcPr>
            <w:tcW w:w="1206" w:type="dxa"/>
            <w:tcBorders>
              <w:top w:val="nil"/>
              <w:left w:val="nil"/>
              <w:bottom w:val="single" w:sz="12" w:space="0" w:color="FFD966"/>
              <w:right w:val="single" w:sz="8" w:space="0" w:color="FFD966"/>
            </w:tcBorders>
            <w:shd w:val="clear" w:color="auto" w:fill="auto"/>
            <w:noWrap/>
            <w:vAlign w:val="center"/>
            <w:hideMark/>
          </w:tcPr>
          <w:p w14:paraId="65BE1543"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$1,091,000 </w:t>
            </w:r>
          </w:p>
        </w:tc>
        <w:tc>
          <w:tcPr>
            <w:tcW w:w="1206" w:type="dxa"/>
            <w:tcBorders>
              <w:top w:val="nil"/>
              <w:left w:val="nil"/>
              <w:bottom w:val="single" w:sz="12" w:space="0" w:color="FFD966"/>
              <w:right w:val="single" w:sz="8" w:space="0" w:color="FFD966"/>
            </w:tcBorders>
            <w:shd w:val="clear" w:color="auto" w:fill="auto"/>
            <w:noWrap/>
            <w:vAlign w:val="center"/>
            <w:hideMark/>
          </w:tcPr>
          <w:p w14:paraId="484294B0"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$1,115,000 </w:t>
            </w:r>
          </w:p>
        </w:tc>
        <w:tc>
          <w:tcPr>
            <w:tcW w:w="1229" w:type="dxa"/>
            <w:tcBorders>
              <w:top w:val="nil"/>
              <w:left w:val="nil"/>
              <w:bottom w:val="single" w:sz="12" w:space="0" w:color="FFD966"/>
              <w:right w:val="single" w:sz="12" w:space="0" w:color="FFD966"/>
            </w:tcBorders>
            <w:shd w:val="clear" w:color="auto" w:fill="auto"/>
            <w:noWrap/>
            <w:vAlign w:val="center"/>
            <w:hideMark/>
          </w:tcPr>
          <w:p w14:paraId="3D4F0C9D" w14:textId="77777777" w:rsidR="00502484" w:rsidRPr="00502484" w:rsidRDefault="00502484" w:rsidP="00502484">
            <w:pPr>
              <w:spacing w:line="240" w:lineRule="auto"/>
              <w:jc w:val="right"/>
              <w:rPr>
                <w:rFonts w:eastAsia="Times New Roman" w:cs="Calibri"/>
                <w:b/>
                <w:bCs/>
                <w:color w:val="000000"/>
              </w:rPr>
            </w:pPr>
            <w:r w:rsidRPr="00502484">
              <w:rPr>
                <w:rFonts w:eastAsia="Times New Roman" w:cs="Calibri"/>
                <w:b/>
                <w:bCs/>
                <w:color w:val="000000"/>
              </w:rPr>
              <w:t xml:space="preserve">$6,340,000 </w:t>
            </w:r>
          </w:p>
        </w:tc>
      </w:tr>
    </w:tbl>
    <w:p w14:paraId="2534C9B6" w14:textId="77777777" w:rsidR="00502484" w:rsidRDefault="00502484" w:rsidP="0064506E">
      <w:pPr>
        <w:spacing w:line="240" w:lineRule="auto"/>
        <w:textAlignment w:val="baseline"/>
        <w:rPr>
          <w:rFonts w:eastAsia="Times New Roman" w:cs="Calibri"/>
          <w:b/>
          <w:bCs/>
          <w:color w:val="1D1D1D"/>
        </w:rPr>
      </w:pPr>
    </w:p>
    <w:p w14:paraId="71905764" w14:textId="4D04C2E7" w:rsidR="00E82344" w:rsidRPr="00662C58" w:rsidRDefault="00E82344" w:rsidP="003420B4">
      <w:pPr>
        <w:textAlignment w:val="baseline"/>
        <w:rPr>
          <w:rFonts w:ascii="Segoe UI" w:eastAsia="Times New Roman" w:hAnsi="Segoe UI" w:cs="Segoe UI"/>
          <w:sz w:val="18"/>
          <w:szCs w:val="18"/>
        </w:rPr>
      </w:pPr>
      <w:r w:rsidRPr="00662C58">
        <w:rPr>
          <w:rFonts w:eastAsia="Times New Roman" w:cs="Calibri"/>
          <w:b/>
          <w:bCs/>
          <w:color w:val="1D1D1D"/>
        </w:rPr>
        <w:t>Description</w:t>
      </w:r>
      <w:r w:rsidRPr="00662C58">
        <w:rPr>
          <w:rFonts w:eastAsia="Times New Roman" w:cs="Calibri"/>
          <w:color w:val="1D1D1D"/>
        </w:rPr>
        <w:t> </w:t>
      </w:r>
    </w:p>
    <w:p w14:paraId="49758AB8" w14:textId="7DE9D727" w:rsidR="00E82344" w:rsidRDefault="00E82344" w:rsidP="003420B4">
      <w:pPr>
        <w:textAlignment w:val="baseline"/>
        <w:rPr>
          <w:rFonts w:eastAsia="Times New Roman" w:cs="Calibri"/>
          <w:color w:val="1D1D1D"/>
        </w:rPr>
      </w:pPr>
      <w:r w:rsidRPr="00274B4F">
        <w:rPr>
          <w:rFonts w:eastAsia="Times New Roman" w:cs="Calibri"/>
          <w:i/>
          <w:iCs/>
          <w:color w:val="1D1D1D"/>
        </w:rPr>
        <w:t>Best Starts’</w:t>
      </w:r>
      <w:r>
        <w:rPr>
          <w:rFonts w:eastAsia="Times New Roman" w:cs="Calibri"/>
          <w:color w:val="1D1D1D"/>
        </w:rPr>
        <w:t xml:space="preserve"> </w:t>
      </w:r>
      <w:r w:rsidRPr="00662C58">
        <w:rPr>
          <w:rFonts w:eastAsia="Times New Roman" w:cs="Calibri"/>
          <w:color w:val="1D1D1D"/>
        </w:rPr>
        <w:t>Innovation Supports strategy leverag</w:t>
      </w:r>
      <w:r w:rsidR="00D809CA">
        <w:rPr>
          <w:rFonts w:eastAsia="Times New Roman" w:cs="Calibri"/>
          <w:color w:val="1D1D1D"/>
        </w:rPr>
        <w:t>es</w:t>
      </w:r>
      <w:r w:rsidRPr="00662C58">
        <w:rPr>
          <w:rFonts w:eastAsia="Times New Roman" w:cs="Calibri"/>
          <w:color w:val="1D1D1D"/>
        </w:rPr>
        <w:t xml:space="preserve"> the expertise and creativity of community to design</w:t>
      </w:r>
      <w:r>
        <w:rPr>
          <w:rFonts w:eastAsia="Times New Roman" w:cs="Calibri"/>
          <w:color w:val="1D1D1D"/>
        </w:rPr>
        <w:t xml:space="preserve">, </w:t>
      </w:r>
      <w:r w:rsidRPr="00662C58">
        <w:rPr>
          <w:rFonts w:eastAsia="Times New Roman" w:cs="Calibri"/>
          <w:color w:val="1D1D1D"/>
        </w:rPr>
        <w:t>develop</w:t>
      </w:r>
      <w:r>
        <w:rPr>
          <w:rFonts w:eastAsia="Times New Roman" w:cs="Calibri"/>
          <w:color w:val="1D1D1D"/>
        </w:rPr>
        <w:t>,</w:t>
      </w:r>
      <w:r w:rsidRPr="00662C58">
        <w:rPr>
          <w:rFonts w:eastAsia="Times New Roman" w:cs="Calibri"/>
          <w:color w:val="1D1D1D"/>
        </w:rPr>
        <w:t xml:space="preserve"> and lead </w:t>
      </w:r>
      <w:r>
        <w:rPr>
          <w:rFonts w:eastAsia="Times New Roman" w:cs="Calibri"/>
          <w:color w:val="1D1D1D"/>
        </w:rPr>
        <w:t xml:space="preserve">effective </w:t>
      </w:r>
      <w:r w:rsidRPr="00662C58">
        <w:rPr>
          <w:rFonts w:eastAsia="Times New Roman" w:cs="Calibri"/>
          <w:color w:val="1D1D1D"/>
        </w:rPr>
        <w:t>programs and interventions</w:t>
      </w:r>
      <w:r>
        <w:rPr>
          <w:rFonts w:eastAsia="Times New Roman" w:cs="Calibri"/>
          <w:color w:val="1D1D1D"/>
        </w:rPr>
        <w:t xml:space="preserve"> serving children</w:t>
      </w:r>
      <w:r w:rsidR="00F249F4">
        <w:rPr>
          <w:rFonts w:eastAsia="Times New Roman" w:cs="Calibri"/>
          <w:color w:val="1D1D1D"/>
        </w:rPr>
        <w:t>,</w:t>
      </w:r>
      <w:r>
        <w:rPr>
          <w:rFonts w:eastAsia="Times New Roman" w:cs="Calibri"/>
          <w:color w:val="1D1D1D"/>
        </w:rPr>
        <w:t xml:space="preserve"> aged birth to five</w:t>
      </w:r>
      <w:r w:rsidR="00F249F4">
        <w:rPr>
          <w:rFonts w:eastAsia="Times New Roman" w:cs="Calibri"/>
          <w:color w:val="1D1D1D"/>
        </w:rPr>
        <w:t>,</w:t>
      </w:r>
      <w:r>
        <w:rPr>
          <w:rFonts w:eastAsia="Times New Roman" w:cs="Calibri"/>
          <w:color w:val="1D1D1D"/>
        </w:rPr>
        <w:t xml:space="preserve"> and their families.</w:t>
      </w:r>
      <w:r w:rsidRPr="00662C58">
        <w:rPr>
          <w:rFonts w:eastAsia="Times New Roman" w:cs="Calibri"/>
          <w:color w:val="1D1D1D"/>
        </w:rPr>
        <w:t xml:space="preserve"> Innovation </w:t>
      </w:r>
      <w:r w:rsidR="00D935DE">
        <w:rPr>
          <w:rFonts w:eastAsia="Times New Roman" w:cs="Calibri"/>
          <w:color w:val="1D1D1D"/>
        </w:rPr>
        <w:t>Supports</w:t>
      </w:r>
      <w:r w:rsidRPr="00662C58">
        <w:rPr>
          <w:rFonts w:eastAsia="Times New Roman" w:cs="Calibri"/>
          <w:color w:val="1D1D1D"/>
        </w:rPr>
        <w:t xml:space="preserve"> </w:t>
      </w:r>
      <w:r>
        <w:rPr>
          <w:rFonts w:eastAsia="Times New Roman" w:cs="Calibri"/>
          <w:color w:val="1D1D1D"/>
        </w:rPr>
        <w:t>provide</w:t>
      </w:r>
      <w:r w:rsidR="006037C9">
        <w:rPr>
          <w:rFonts w:eastAsia="Times New Roman" w:cs="Calibri"/>
          <w:color w:val="1D1D1D"/>
        </w:rPr>
        <w:t>s</w:t>
      </w:r>
      <w:r w:rsidRPr="00662C58">
        <w:rPr>
          <w:rFonts w:eastAsia="Times New Roman" w:cs="Calibri"/>
          <w:color w:val="1D1D1D"/>
        </w:rPr>
        <w:t xml:space="preserve"> capacity building supports to </w:t>
      </w:r>
      <w:r>
        <w:rPr>
          <w:rFonts w:eastAsia="Times New Roman" w:cs="Calibri"/>
          <w:color w:val="1D1D1D"/>
        </w:rPr>
        <w:t xml:space="preserve">select </w:t>
      </w:r>
      <w:r w:rsidRPr="00B46B60">
        <w:rPr>
          <w:rFonts w:eastAsia="Times New Roman" w:cs="Calibri"/>
          <w:i/>
          <w:iCs/>
          <w:color w:val="1D1D1D"/>
        </w:rPr>
        <w:t>Best Starts</w:t>
      </w:r>
      <w:r>
        <w:rPr>
          <w:rFonts w:eastAsia="Times New Roman" w:cs="Calibri"/>
          <w:color w:val="1D1D1D"/>
        </w:rPr>
        <w:t xml:space="preserve"> </w:t>
      </w:r>
      <w:r w:rsidRPr="00662C58">
        <w:rPr>
          <w:rFonts w:eastAsia="Times New Roman" w:cs="Calibri"/>
          <w:color w:val="1D1D1D"/>
        </w:rPr>
        <w:t>partners piloting innovative programs and approaches</w:t>
      </w:r>
      <w:r>
        <w:rPr>
          <w:rFonts w:eastAsia="Times New Roman" w:cs="Calibri"/>
          <w:color w:val="1D1D1D"/>
        </w:rPr>
        <w:t>, from initial</w:t>
      </w:r>
      <w:r w:rsidRPr="00662C58">
        <w:rPr>
          <w:rFonts w:eastAsia="Times New Roman" w:cs="Calibri"/>
          <w:color w:val="1D1D1D"/>
        </w:rPr>
        <w:t xml:space="preserve"> design and idea development</w:t>
      </w:r>
      <w:r>
        <w:rPr>
          <w:rFonts w:eastAsia="Times New Roman" w:cs="Calibri"/>
          <w:color w:val="1D1D1D"/>
        </w:rPr>
        <w:t xml:space="preserve"> to</w:t>
      </w:r>
      <w:r w:rsidRPr="00662C58">
        <w:rPr>
          <w:rFonts w:eastAsia="Times New Roman" w:cs="Calibri"/>
          <w:color w:val="1D1D1D"/>
        </w:rPr>
        <w:t xml:space="preserve"> full implementation. </w:t>
      </w:r>
      <w:r>
        <w:rPr>
          <w:rFonts w:eastAsia="Times New Roman" w:cs="Calibri"/>
          <w:color w:val="1D1D1D"/>
        </w:rPr>
        <w:t xml:space="preserve">Services typically take place during the first three years of a program or intervention, and include trainings, workshops, communities of practice, and peer supports. </w:t>
      </w:r>
      <w:r w:rsidR="002E61A7">
        <w:rPr>
          <w:rFonts w:eastAsia="Times New Roman" w:cs="Calibri"/>
          <w:color w:val="1D1D1D"/>
        </w:rPr>
        <w:t xml:space="preserve">Peer supports </w:t>
      </w:r>
      <w:r w:rsidR="00B54FFD">
        <w:rPr>
          <w:rFonts w:eastAsia="Times New Roman" w:cs="Calibri"/>
          <w:color w:val="1D1D1D"/>
        </w:rPr>
        <w:t>helps with the dis</w:t>
      </w:r>
      <w:r w:rsidR="00033AA4">
        <w:rPr>
          <w:rFonts w:eastAsia="Times New Roman" w:cs="Calibri"/>
          <w:color w:val="1D1D1D"/>
        </w:rPr>
        <w:t xml:space="preserve">semination and adoption of </w:t>
      </w:r>
      <w:r w:rsidR="00257BF0">
        <w:rPr>
          <w:rFonts w:eastAsia="Times New Roman" w:cs="Calibri"/>
          <w:color w:val="1D1D1D"/>
        </w:rPr>
        <w:t>innovative practices across CBO leads.</w:t>
      </w:r>
    </w:p>
    <w:p w14:paraId="3D578431" w14:textId="77777777" w:rsidR="00E82344" w:rsidRPr="00662C58" w:rsidRDefault="00E82344" w:rsidP="003420B4">
      <w:pPr>
        <w:textAlignment w:val="baseline"/>
        <w:rPr>
          <w:rFonts w:ascii="Segoe UI" w:eastAsia="Times New Roman" w:hAnsi="Segoe UI" w:cs="Segoe UI"/>
          <w:sz w:val="18"/>
          <w:szCs w:val="18"/>
        </w:rPr>
      </w:pPr>
      <w:r w:rsidRPr="00662C58">
        <w:rPr>
          <w:rFonts w:eastAsia="Times New Roman" w:cs="Calibri"/>
          <w:color w:val="1D1D1D"/>
        </w:rPr>
        <w:t>  </w:t>
      </w:r>
    </w:p>
    <w:p w14:paraId="6177335A" w14:textId="3F8BED52" w:rsidR="00E82344" w:rsidRPr="00B46B60" w:rsidRDefault="00E82344" w:rsidP="003420B4">
      <w:pPr>
        <w:textAlignment w:val="baseline"/>
        <w:rPr>
          <w:rFonts w:eastAsia="Times New Roman" w:cs="Calibri"/>
          <w:color w:val="1D1D1D"/>
        </w:rPr>
      </w:pPr>
      <w:r w:rsidRPr="00F862E7">
        <w:rPr>
          <w:rFonts w:eastAsia="Times New Roman" w:cs="Calibri"/>
          <w:i/>
          <w:iCs/>
          <w:color w:val="1D1D1D"/>
        </w:rPr>
        <w:t>Best Starts</w:t>
      </w:r>
      <w:r>
        <w:rPr>
          <w:rFonts w:eastAsia="Times New Roman" w:cs="Calibri"/>
          <w:color w:val="1D1D1D"/>
        </w:rPr>
        <w:t xml:space="preserve"> will contract with a</w:t>
      </w:r>
      <w:r w:rsidR="00D21A9A">
        <w:rPr>
          <w:rFonts w:eastAsia="Times New Roman" w:cs="Calibri"/>
          <w:color w:val="1D1D1D"/>
        </w:rPr>
        <w:t xml:space="preserve">n agency to </w:t>
      </w:r>
      <w:r w:rsidR="006515EC">
        <w:rPr>
          <w:rFonts w:eastAsia="Times New Roman" w:cs="Calibri"/>
          <w:color w:val="1D1D1D"/>
        </w:rPr>
        <w:t xml:space="preserve">codesign </w:t>
      </w:r>
      <w:r>
        <w:rPr>
          <w:rFonts w:eastAsia="Times New Roman" w:cs="Calibri"/>
          <w:color w:val="1D1D1D"/>
        </w:rPr>
        <w:t>capacity build</w:t>
      </w:r>
      <w:r w:rsidR="00D21A9A">
        <w:rPr>
          <w:rFonts w:eastAsia="Times New Roman" w:cs="Calibri"/>
          <w:color w:val="1D1D1D"/>
        </w:rPr>
        <w:t xml:space="preserve">ing </w:t>
      </w:r>
      <w:r w:rsidR="006515EC">
        <w:rPr>
          <w:rFonts w:eastAsia="Times New Roman" w:cs="Calibri"/>
          <w:color w:val="1D1D1D"/>
        </w:rPr>
        <w:t xml:space="preserve">services </w:t>
      </w:r>
      <w:r>
        <w:rPr>
          <w:rFonts w:eastAsia="Times New Roman" w:cs="Calibri"/>
          <w:color w:val="1D1D1D"/>
        </w:rPr>
        <w:t>drawing from existing</w:t>
      </w:r>
      <w:r w:rsidRPr="00662C58">
        <w:rPr>
          <w:rFonts w:eastAsia="Times New Roman" w:cs="Calibri"/>
          <w:color w:val="1D1D1D"/>
        </w:rPr>
        <w:t xml:space="preserve"> frameworks</w:t>
      </w:r>
      <w:r w:rsidR="0081154B">
        <w:rPr>
          <w:rFonts w:eastAsia="Times New Roman" w:cs="Calibri"/>
          <w:color w:val="1D1D1D"/>
        </w:rPr>
        <w:t xml:space="preserve"> </w:t>
      </w:r>
      <w:r w:rsidRPr="00662C58">
        <w:rPr>
          <w:rFonts w:eastAsia="Times New Roman" w:cs="Calibri"/>
          <w:color w:val="1D1D1D"/>
        </w:rPr>
        <w:t xml:space="preserve">to support </w:t>
      </w:r>
      <w:r w:rsidR="009531BF">
        <w:rPr>
          <w:rFonts w:eastAsia="Times New Roman" w:cs="Calibri"/>
          <w:color w:val="1D1D1D"/>
        </w:rPr>
        <w:t xml:space="preserve">existing and </w:t>
      </w:r>
      <w:r w:rsidRPr="00662C58">
        <w:rPr>
          <w:rFonts w:eastAsia="Times New Roman" w:cs="Calibri"/>
          <w:color w:val="1D1D1D"/>
        </w:rPr>
        <w:t xml:space="preserve">potential </w:t>
      </w:r>
      <w:r w:rsidR="009531BF">
        <w:rPr>
          <w:rFonts w:eastAsia="Times New Roman" w:cs="Calibri"/>
          <w:color w:val="1D1D1D"/>
        </w:rPr>
        <w:t>CBO partners.</w:t>
      </w:r>
      <w:r w:rsidR="00282A01">
        <w:rPr>
          <w:rStyle w:val="FootnoteReference"/>
          <w:rFonts w:eastAsia="Times New Roman" w:cs="Calibri"/>
          <w:color w:val="1D1D1D"/>
        </w:rPr>
        <w:footnoteReference w:id="153"/>
      </w:r>
      <w:r w:rsidR="004D09D5">
        <w:rPr>
          <w:rFonts w:eastAsia="Times New Roman" w:cs="Calibri"/>
          <w:color w:val="1D1D1D"/>
          <w:vertAlign w:val="superscript"/>
        </w:rPr>
        <w:t>,</w:t>
      </w:r>
      <w:r w:rsidR="004D09D5">
        <w:rPr>
          <w:rStyle w:val="FootnoteReference"/>
          <w:rFonts w:eastAsia="Times New Roman" w:cs="Calibri"/>
          <w:color w:val="1D1D1D"/>
        </w:rPr>
        <w:footnoteReference w:id="154"/>
      </w:r>
      <w:r w:rsidR="004D09D5">
        <w:rPr>
          <w:rFonts w:eastAsia="Times New Roman" w:cs="Calibri"/>
          <w:color w:val="1D1D1D"/>
          <w:vertAlign w:val="superscript"/>
        </w:rPr>
        <w:t>,</w:t>
      </w:r>
      <w:r w:rsidR="004D09D5">
        <w:rPr>
          <w:rStyle w:val="FootnoteReference"/>
          <w:rFonts w:eastAsia="Times New Roman" w:cs="Calibri"/>
          <w:color w:val="1D1D1D"/>
        </w:rPr>
        <w:footnoteReference w:id="155"/>
      </w:r>
      <w:r w:rsidR="00282A01">
        <w:rPr>
          <w:rFonts w:eastAsia="Times New Roman" w:cs="Calibri"/>
          <w:color w:val="1D1D1D"/>
        </w:rPr>
        <w:t xml:space="preserve"> </w:t>
      </w:r>
      <w:r>
        <w:rPr>
          <w:rFonts w:eastAsia="Times New Roman" w:cs="Calibri"/>
          <w:color w:val="1D1D1D"/>
        </w:rPr>
        <w:t>Participating organizations will receive supplemental funds to support planning and development</w:t>
      </w:r>
      <w:r w:rsidR="00620553">
        <w:rPr>
          <w:rFonts w:eastAsia="Times New Roman" w:cs="Calibri"/>
          <w:color w:val="1D1D1D"/>
        </w:rPr>
        <w:t>,</w:t>
      </w:r>
      <w:r>
        <w:rPr>
          <w:rFonts w:eastAsia="Times New Roman" w:cs="Calibri"/>
          <w:color w:val="1D1D1D"/>
        </w:rPr>
        <w:t xml:space="preserve"> </w:t>
      </w:r>
      <w:r w:rsidR="00620553">
        <w:rPr>
          <w:rFonts w:eastAsia="Times New Roman" w:cs="Calibri"/>
          <w:color w:val="1D1D1D"/>
        </w:rPr>
        <w:t xml:space="preserve">including </w:t>
      </w:r>
      <w:r>
        <w:rPr>
          <w:rFonts w:eastAsia="Times New Roman" w:cs="Calibri"/>
          <w:color w:val="1D1D1D"/>
        </w:rPr>
        <w:t>compensation for staff time to participate in capacity building activities.</w:t>
      </w:r>
    </w:p>
    <w:p w14:paraId="34F9DE96" w14:textId="77777777" w:rsidR="00E82344" w:rsidRDefault="00E82344" w:rsidP="003420B4">
      <w:pPr>
        <w:textAlignment w:val="baseline"/>
        <w:rPr>
          <w:rFonts w:eastAsia="Times New Roman" w:cs="Calibri"/>
          <w:color w:val="1D1D1D"/>
        </w:rPr>
      </w:pPr>
      <w:r w:rsidRPr="00662C58">
        <w:rPr>
          <w:rFonts w:eastAsia="Times New Roman" w:cs="Calibri"/>
          <w:color w:val="1D1D1D"/>
        </w:rPr>
        <w:t> </w:t>
      </w:r>
    </w:p>
    <w:p w14:paraId="70DCE0A1" w14:textId="15249353" w:rsidR="00E82344" w:rsidRPr="00B46B60" w:rsidRDefault="00E82344" w:rsidP="003420B4">
      <w:pPr>
        <w:textAlignment w:val="baseline"/>
        <w:rPr>
          <w:rFonts w:eastAsia="Times New Roman" w:cs="Calibri"/>
          <w:b/>
          <w:bCs/>
          <w:color w:val="1D1D1D"/>
        </w:rPr>
      </w:pPr>
      <w:r w:rsidRPr="00B46B60">
        <w:rPr>
          <w:rFonts w:eastAsia="Times New Roman" w:cs="Calibri"/>
          <w:b/>
          <w:bCs/>
          <w:color w:val="1D1D1D"/>
        </w:rPr>
        <w:t xml:space="preserve">Planned Modifications in </w:t>
      </w:r>
      <w:r w:rsidR="00BD68F0" w:rsidRPr="008D4BCD">
        <w:rPr>
          <w:rFonts w:eastAsia="Times New Roman" w:cs="Calibri"/>
          <w:b/>
          <w:i/>
          <w:color w:val="1D1D1D"/>
        </w:rPr>
        <w:t>Best Starts for Kids</w:t>
      </w:r>
      <w:r w:rsidR="00BD68F0" w:rsidRPr="00BD68F0">
        <w:rPr>
          <w:rFonts w:eastAsia="Times New Roman" w:cs="Calibri"/>
          <w:b/>
          <w:bCs/>
          <w:color w:val="1D1D1D"/>
        </w:rPr>
        <w:t xml:space="preserve"> 2022-2027</w:t>
      </w:r>
      <w:r w:rsidR="00513AC4">
        <w:rPr>
          <w:rFonts w:eastAsia="Times New Roman" w:cs="Calibri"/>
          <w:b/>
          <w:bCs/>
          <w:color w:val="1D1D1D"/>
        </w:rPr>
        <w:t>:</w:t>
      </w:r>
    </w:p>
    <w:p w14:paraId="64A26CE8" w14:textId="2641C482" w:rsidR="00E82344" w:rsidRDefault="00E82344" w:rsidP="003420B4">
      <w:pPr>
        <w:pStyle w:val="ListParagraph"/>
        <w:numPr>
          <w:ilvl w:val="0"/>
          <w:numId w:val="34"/>
        </w:numPr>
        <w:contextualSpacing w:val="0"/>
        <w:textAlignment w:val="baseline"/>
        <w:rPr>
          <w:rFonts w:eastAsia="Times New Roman" w:cs="Calibri"/>
          <w:color w:val="1D1D1D"/>
        </w:rPr>
      </w:pPr>
      <w:r>
        <w:rPr>
          <w:rFonts w:eastAsia="Times New Roman" w:cs="Calibri"/>
          <w:color w:val="1D1D1D"/>
        </w:rPr>
        <w:t xml:space="preserve">Implement key learnings from </w:t>
      </w:r>
      <w:r w:rsidR="006123C8">
        <w:rPr>
          <w:rFonts w:eastAsia="Times New Roman" w:cs="Calibri"/>
          <w:i/>
          <w:iCs/>
          <w:color w:val="1D1D1D"/>
        </w:rPr>
        <w:t>the Best Start</w:t>
      </w:r>
      <w:r w:rsidR="00857744">
        <w:rPr>
          <w:rFonts w:eastAsia="Times New Roman" w:cs="Calibri"/>
          <w:i/>
          <w:iCs/>
          <w:color w:val="1D1D1D"/>
        </w:rPr>
        <w:t>s</w:t>
      </w:r>
      <w:r w:rsidR="006123C8">
        <w:rPr>
          <w:rFonts w:eastAsia="Times New Roman" w:cs="Calibri"/>
          <w:i/>
          <w:iCs/>
          <w:color w:val="1D1D1D"/>
        </w:rPr>
        <w:t xml:space="preserve"> </w:t>
      </w:r>
      <w:r w:rsidR="00857744">
        <w:rPr>
          <w:rFonts w:eastAsia="Times New Roman" w:cs="Calibri"/>
          <w:color w:val="1D1D1D"/>
        </w:rPr>
        <w:t>2016-2021</w:t>
      </w:r>
      <w:r w:rsidRPr="00154C0A">
        <w:rPr>
          <w:rFonts w:eastAsia="Times New Roman" w:cs="Calibri"/>
          <w:i/>
          <w:color w:val="1D1D1D"/>
        </w:rPr>
        <w:t>,</w:t>
      </w:r>
      <w:r>
        <w:rPr>
          <w:rFonts w:eastAsia="Times New Roman" w:cs="Calibri"/>
          <w:color w:val="1D1D1D"/>
        </w:rPr>
        <w:t xml:space="preserve"> including prioritizing multiple levels of support</w:t>
      </w:r>
      <w:r w:rsidR="000B33C9">
        <w:rPr>
          <w:rFonts w:eastAsia="Times New Roman" w:cs="Calibri"/>
          <w:color w:val="1D1D1D"/>
        </w:rPr>
        <w:t xml:space="preserve"> such as</w:t>
      </w:r>
      <w:r>
        <w:rPr>
          <w:rFonts w:eastAsia="Times New Roman" w:cs="Calibri"/>
          <w:color w:val="1D1D1D"/>
        </w:rPr>
        <w:t xml:space="preserve"> group trainings, workshops, communities of practice, and one-on-one, as well as frequent contacts to build trusting relationships.</w:t>
      </w:r>
    </w:p>
    <w:p w14:paraId="4638FA31" w14:textId="199A9027" w:rsidR="00E82344" w:rsidRPr="00B46B60" w:rsidRDefault="00E82344" w:rsidP="003420B4">
      <w:pPr>
        <w:pStyle w:val="ListParagraph"/>
        <w:numPr>
          <w:ilvl w:val="0"/>
          <w:numId w:val="34"/>
        </w:numPr>
        <w:contextualSpacing w:val="0"/>
        <w:textAlignment w:val="baseline"/>
        <w:rPr>
          <w:rFonts w:eastAsia="Times New Roman" w:cs="Calibri"/>
          <w:color w:val="1D1D1D"/>
        </w:rPr>
      </w:pPr>
      <w:r>
        <w:rPr>
          <w:rFonts w:eastAsia="Times New Roman" w:cs="Calibri"/>
          <w:color w:val="1D1D1D"/>
        </w:rPr>
        <w:t xml:space="preserve">Contract with </w:t>
      </w:r>
      <w:r w:rsidR="006123C8">
        <w:rPr>
          <w:rFonts w:eastAsia="Times New Roman" w:cs="Calibri"/>
          <w:i/>
          <w:iCs/>
          <w:color w:val="1D1D1D"/>
        </w:rPr>
        <w:t>the Best Start</w:t>
      </w:r>
      <w:r w:rsidR="008714EE">
        <w:rPr>
          <w:rFonts w:eastAsia="Times New Roman" w:cs="Calibri"/>
          <w:i/>
          <w:iCs/>
          <w:color w:val="1D1D1D"/>
        </w:rPr>
        <w:t>s</w:t>
      </w:r>
      <w:r w:rsidR="006123C8">
        <w:rPr>
          <w:rFonts w:eastAsia="Times New Roman" w:cs="Calibri"/>
          <w:i/>
          <w:iCs/>
          <w:color w:val="1D1D1D"/>
        </w:rPr>
        <w:t xml:space="preserve"> for Kids </w:t>
      </w:r>
      <w:r>
        <w:rPr>
          <w:rFonts w:eastAsia="Times New Roman" w:cs="Calibri"/>
          <w:color w:val="1D1D1D"/>
        </w:rPr>
        <w:t>CBO leads to provide</w:t>
      </w:r>
      <w:r w:rsidRPr="00B46B60">
        <w:rPr>
          <w:rFonts w:eastAsia="Times New Roman" w:cs="Calibri"/>
          <w:color w:val="1D1D1D"/>
        </w:rPr>
        <w:t xml:space="preserve"> peer supports.</w:t>
      </w:r>
    </w:p>
    <w:p w14:paraId="142783DF" w14:textId="77777777" w:rsidR="00554710" w:rsidRDefault="00554710" w:rsidP="003420B4">
      <w:pPr>
        <w:pStyle w:val="ListParagraph"/>
        <w:numPr>
          <w:ilvl w:val="0"/>
          <w:numId w:val="34"/>
        </w:numPr>
        <w:contextualSpacing w:val="0"/>
        <w:textAlignment w:val="baseline"/>
        <w:rPr>
          <w:rFonts w:eastAsia="Times New Roman"/>
          <w:color w:val="1D1D1D"/>
        </w:rPr>
      </w:pPr>
      <w:r>
        <w:rPr>
          <w:rFonts w:eastAsia="Times New Roman"/>
          <w:color w:val="1D1D1D"/>
        </w:rPr>
        <w:t>Opportunities to invest in timely and innovative responses to emergent needs.</w:t>
      </w:r>
    </w:p>
    <w:p w14:paraId="12E2F196" w14:textId="77777777" w:rsidR="00E82344" w:rsidRDefault="00E82344" w:rsidP="003420B4">
      <w:pPr>
        <w:textAlignment w:val="baseline"/>
        <w:rPr>
          <w:rFonts w:eastAsia="Times New Roman" w:cs="Calibri"/>
          <w:color w:val="1D1D1D"/>
        </w:rPr>
      </w:pPr>
    </w:p>
    <w:p w14:paraId="275ABB6B" w14:textId="24C58F8A" w:rsidR="00E82344" w:rsidRPr="00B46B60" w:rsidRDefault="0091362C" w:rsidP="003420B4">
      <w:pPr>
        <w:textAlignment w:val="baseline"/>
        <w:rPr>
          <w:rFonts w:ascii="Segoe UI" w:eastAsia="Times New Roman" w:hAnsi="Segoe UI" w:cs="Segoe UI"/>
          <w:sz w:val="18"/>
          <w:szCs w:val="18"/>
        </w:rPr>
      </w:pPr>
      <w:r>
        <w:rPr>
          <w:rFonts w:eastAsia="Times New Roman" w:cs="Calibri"/>
          <w:b/>
          <w:bCs/>
          <w:color w:val="1D1D1D"/>
        </w:rPr>
        <w:t xml:space="preserve">Approximate </w:t>
      </w:r>
      <w:r w:rsidR="00BA36DC">
        <w:rPr>
          <w:rFonts w:eastAsia="Times New Roman" w:cs="Calibri"/>
          <w:b/>
          <w:bCs/>
          <w:color w:val="1D1D1D"/>
        </w:rPr>
        <w:t>Scope</w:t>
      </w:r>
      <w:r>
        <w:rPr>
          <w:rFonts w:eastAsia="Times New Roman" w:cs="Calibri"/>
          <w:b/>
          <w:bCs/>
          <w:color w:val="1D1D1D"/>
        </w:rPr>
        <w:t xml:space="preserve">:  </w:t>
      </w:r>
      <w:r w:rsidR="00020A25" w:rsidRPr="00DB5A1E">
        <w:rPr>
          <w:rFonts w:eastAsia="Times New Roman" w:cs="Calibri"/>
          <w:i/>
          <w:iCs/>
          <w:color w:val="1D1D1D"/>
        </w:rPr>
        <w:t>Best Starts</w:t>
      </w:r>
      <w:r w:rsidR="00020A25">
        <w:rPr>
          <w:rFonts w:eastAsia="Times New Roman" w:cs="Calibri"/>
          <w:b/>
          <w:bCs/>
          <w:color w:val="1D1D1D"/>
        </w:rPr>
        <w:t xml:space="preserve"> </w:t>
      </w:r>
      <w:r w:rsidR="00D5348B">
        <w:rPr>
          <w:rFonts w:eastAsia="Times New Roman" w:cs="Calibri"/>
          <w:color w:val="1D1D1D"/>
        </w:rPr>
        <w:t xml:space="preserve">anticipates serving </w:t>
      </w:r>
      <w:r w:rsidR="00DB5A1E">
        <w:rPr>
          <w:rFonts w:eastAsia="Times New Roman" w:cs="Calibri"/>
          <w:color w:val="1D1D1D"/>
        </w:rPr>
        <w:t xml:space="preserve">between 10-15 organizations every two to three years. </w:t>
      </w:r>
    </w:p>
    <w:p w14:paraId="5ED4CCFD" w14:textId="77777777" w:rsidR="00E82344" w:rsidRDefault="00E82344" w:rsidP="003420B4">
      <w:pPr>
        <w:textAlignment w:val="baseline"/>
        <w:rPr>
          <w:rFonts w:eastAsia="Times New Roman" w:cs="Calibri"/>
          <w:color w:val="1D1D1D"/>
        </w:rPr>
      </w:pPr>
    </w:p>
    <w:p w14:paraId="24C8ECF0" w14:textId="77777777" w:rsidR="00E82344" w:rsidRPr="0084717B" w:rsidRDefault="00E82344" w:rsidP="003420B4">
      <w:pPr>
        <w:textAlignment w:val="baseline"/>
        <w:rPr>
          <w:rFonts w:ascii="Segoe UI" w:eastAsia="Times New Roman" w:hAnsi="Segoe UI" w:cs="Segoe UI"/>
          <w:b/>
          <w:bCs/>
          <w:sz w:val="18"/>
          <w:szCs w:val="18"/>
        </w:rPr>
      </w:pPr>
      <w:r>
        <w:rPr>
          <w:rFonts w:eastAsia="Times New Roman" w:cs="Calibri"/>
          <w:b/>
          <w:bCs/>
          <w:color w:val="1D1D1D"/>
        </w:rPr>
        <w:t xml:space="preserve">Anticipated </w:t>
      </w:r>
      <w:r w:rsidRPr="0084717B">
        <w:rPr>
          <w:rFonts w:eastAsia="Times New Roman" w:cs="Calibri"/>
          <w:b/>
          <w:bCs/>
          <w:color w:val="1D1D1D"/>
        </w:rPr>
        <w:t>Timeline: </w:t>
      </w:r>
    </w:p>
    <w:p w14:paraId="4B3683A9" w14:textId="0439B66A" w:rsidR="00E82344" w:rsidRPr="00AD7225" w:rsidRDefault="00E82344" w:rsidP="003420B4">
      <w:pPr>
        <w:textAlignment w:val="baseline"/>
      </w:pPr>
      <w:r>
        <w:t xml:space="preserve">Innovation Supports will partner with </w:t>
      </w:r>
      <w:r>
        <w:rPr>
          <w:i/>
          <w:iCs/>
        </w:rPr>
        <w:t xml:space="preserve">Best Starts </w:t>
      </w:r>
      <w:r>
        <w:t xml:space="preserve">strategies investing in innovative program models throughout the life of the </w:t>
      </w:r>
      <w:r w:rsidR="009764FC">
        <w:t>L</w:t>
      </w:r>
      <w:r>
        <w:t>evy</w:t>
      </w:r>
      <w:r w:rsidR="00F06CA8">
        <w:t>. C</w:t>
      </w:r>
      <w:r>
        <w:t xml:space="preserve">apacity building supports </w:t>
      </w:r>
      <w:r w:rsidR="00F06CA8">
        <w:t>will be offered</w:t>
      </w:r>
      <w:r>
        <w:t xml:space="preserve"> during RFP processes and upon award, </w:t>
      </w:r>
      <w:r w:rsidR="008D0B55">
        <w:t>and</w:t>
      </w:r>
      <w:r>
        <w:t xml:space="preserve"> during </w:t>
      </w:r>
      <w:r w:rsidR="000A2F08">
        <w:t xml:space="preserve">other </w:t>
      </w:r>
      <w:r>
        <w:t>critical periods for innovation.</w:t>
      </w:r>
    </w:p>
    <w:p w14:paraId="2F1469DF" w14:textId="77777777" w:rsidR="000A2F08" w:rsidRPr="00AD7225" w:rsidRDefault="000A2F08" w:rsidP="00E82344">
      <w:pPr>
        <w:spacing w:line="240" w:lineRule="auto"/>
        <w:textAlignment w:val="baseline"/>
      </w:pPr>
    </w:p>
    <w:p w14:paraId="1F9239BE" w14:textId="77777777" w:rsidR="007B6484" w:rsidRDefault="007B6484">
      <w:bookmarkStart w:id="63" w:name="Help_Me_Grow"/>
      <w:r>
        <w:br w:type="page"/>
      </w:r>
    </w:p>
    <w:tbl>
      <w:tblPr>
        <w:tblStyle w:val="TableGrid"/>
        <w:tblpPr w:leftFromText="180" w:rightFromText="180" w:vertAnchor="text" w:horzAnchor="margin" w:tblpY="151"/>
        <w:tblW w:w="9420" w:type="dxa"/>
        <w:tblLook w:val="04A0" w:firstRow="1" w:lastRow="0" w:firstColumn="1" w:lastColumn="0" w:noHBand="0" w:noVBand="1"/>
      </w:tblPr>
      <w:tblGrid>
        <w:gridCol w:w="9420"/>
      </w:tblGrid>
      <w:tr w:rsidR="00DF4FB5" w:rsidRPr="00D03F1F" w14:paraId="2A93EEBD" w14:textId="77777777" w:rsidTr="005E6FD3">
        <w:trPr>
          <w:trHeight w:val="217"/>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763CBF2" w14:textId="0CAC9AC7" w:rsidR="00DF4FB5" w:rsidRPr="00EE121B" w:rsidRDefault="00DF4FB5" w:rsidP="00261EA9">
            <w:pPr>
              <w:contextualSpacing/>
              <w:rPr>
                <w:rFonts w:cs="Calibri"/>
                <w:b/>
                <w:sz w:val="28"/>
                <w:szCs w:val="28"/>
              </w:rPr>
            </w:pPr>
            <w:r w:rsidRPr="00EE121B">
              <w:rPr>
                <w:b/>
                <w:sz w:val="28"/>
                <w:szCs w:val="28"/>
              </w:rPr>
              <w:lastRenderedPageBreak/>
              <w:t>Help Me Grow</w:t>
            </w:r>
            <w:bookmarkEnd w:id="63"/>
          </w:p>
        </w:tc>
      </w:tr>
    </w:tbl>
    <w:p w14:paraId="57598C29" w14:textId="58F5D1C5" w:rsidR="00DF4FB5" w:rsidRPr="00662C58" w:rsidRDefault="00DF4FB5" w:rsidP="00DF4FB5">
      <w:pPr>
        <w:spacing w:line="240" w:lineRule="auto"/>
        <w:textAlignment w:val="baseline"/>
        <w:rPr>
          <w:rFonts w:ascii="Segoe UI" w:eastAsia="Times New Roman" w:hAnsi="Segoe UI" w:cs="Segoe UI"/>
          <w:sz w:val="18"/>
          <w:szCs w:val="18"/>
        </w:rPr>
      </w:pPr>
    </w:p>
    <w:tbl>
      <w:tblPr>
        <w:tblW w:w="9450" w:type="dxa"/>
        <w:tblLook w:val="04A0" w:firstRow="1" w:lastRow="0" w:firstColumn="1" w:lastColumn="0" w:noHBand="0" w:noVBand="1"/>
      </w:tblPr>
      <w:tblGrid>
        <w:gridCol w:w="975"/>
        <w:gridCol w:w="1190"/>
        <w:gridCol w:w="1189"/>
        <w:gridCol w:w="1189"/>
        <w:gridCol w:w="1189"/>
        <w:gridCol w:w="1189"/>
        <w:gridCol w:w="1189"/>
        <w:gridCol w:w="1340"/>
      </w:tblGrid>
      <w:tr w:rsidR="00BF7713" w:rsidRPr="00BF7713" w14:paraId="563CBA8A" w14:textId="77777777" w:rsidTr="000A3D63">
        <w:trPr>
          <w:trHeight w:val="210"/>
        </w:trPr>
        <w:tc>
          <w:tcPr>
            <w:tcW w:w="9450" w:type="dxa"/>
            <w:gridSpan w:val="8"/>
            <w:tcBorders>
              <w:top w:val="nil"/>
              <w:left w:val="nil"/>
              <w:bottom w:val="single" w:sz="12" w:space="0" w:color="FFD966"/>
              <w:right w:val="nil"/>
            </w:tcBorders>
            <w:shd w:val="clear" w:color="auto" w:fill="auto"/>
            <w:noWrap/>
            <w:vAlign w:val="bottom"/>
            <w:hideMark/>
          </w:tcPr>
          <w:p w14:paraId="4644BE13" w14:textId="77777777" w:rsidR="00BF7713" w:rsidRPr="00BF7713" w:rsidRDefault="00BF7713" w:rsidP="00BF7713">
            <w:pPr>
              <w:spacing w:line="240" w:lineRule="auto"/>
              <w:rPr>
                <w:rFonts w:eastAsia="Times New Roman" w:cs="Calibri"/>
                <w:b/>
                <w:bCs/>
                <w:i/>
                <w:iCs/>
                <w:color w:val="000000"/>
              </w:rPr>
            </w:pPr>
            <w:r w:rsidRPr="00BF7713">
              <w:rPr>
                <w:rFonts w:eastAsia="Times New Roman" w:cs="Calibri"/>
                <w:b/>
                <w:bCs/>
                <w:i/>
                <w:iCs/>
                <w:color w:val="000000"/>
              </w:rPr>
              <w:t>Funding Estimate:</w:t>
            </w:r>
          </w:p>
        </w:tc>
      </w:tr>
      <w:tr w:rsidR="00BF7713" w:rsidRPr="00BF7713" w14:paraId="7BCF4503" w14:textId="77777777" w:rsidTr="000A3D63">
        <w:trPr>
          <w:trHeight w:val="280"/>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72CD1F97" w14:textId="77777777" w:rsidR="00BF7713" w:rsidRPr="00BF7713" w:rsidRDefault="00BF7713" w:rsidP="00BF7713">
            <w:pPr>
              <w:spacing w:line="240" w:lineRule="auto"/>
              <w:rPr>
                <w:rFonts w:eastAsia="Times New Roman" w:cs="Calibri"/>
                <w:b/>
                <w:bCs/>
                <w:i/>
                <w:iCs/>
              </w:rPr>
            </w:pPr>
            <w:r w:rsidRPr="00BF7713">
              <w:rPr>
                <w:rFonts w:eastAsia="Times New Roman" w:cs="Calibri"/>
                <w:b/>
                <w:bCs/>
                <w:i/>
                <w:iCs/>
              </w:rPr>
              <w:t>Year</w:t>
            </w:r>
          </w:p>
        </w:tc>
        <w:tc>
          <w:tcPr>
            <w:tcW w:w="1190" w:type="dxa"/>
            <w:tcBorders>
              <w:top w:val="nil"/>
              <w:left w:val="nil"/>
              <w:bottom w:val="single" w:sz="8" w:space="0" w:color="FFD966"/>
              <w:right w:val="single" w:sz="8" w:space="0" w:color="FFD966"/>
            </w:tcBorders>
            <w:shd w:val="clear" w:color="000000" w:fill="D9E1F2"/>
            <w:noWrap/>
            <w:vAlign w:val="center"/>
            <w:hideMark/>
          </w:tcPr>
          <w:p w14:paraId="4241CD6E" w14:textId="77777777" w:rsidR="00BF7713" w:rsidRPr="00BF7713" w:rsidRDefault="00BF7713" w:rsidP="00BF7713">
            <w:pPr>
              <w:spacing w:line="240" w:lineRule="auto"/>
              <w:jc w:val="right"/>
              <w:rPr>
                <w:rFonts w:eastAsia="Times New Roman" w:cs="Calibri"/>
              </w:rPr>
            </w:pPr>
            <w:r w:rsidRPr="00BF7713">
              <w:rPr>
                <w:rFonts w:eastAsia="Times New Roman" w:cs="Calibri"/>
              </w:rPr>
              <w:t>2022</w:t>
            </w:r>
          </w:p>
        </w:tc>
        <w:tc>
          <w:tcPr>
            <w:tcW w:w="1189" w:type="dxa"/>
            <w:tcBorders>
              <w:top w:val="nil"/>
              <w:left w:val="nil"/>
              <w:bottom w:val="single" w:sz="8" w:space="0" w:color="FFD966"/>
              <w:right w:val="single" w:sz="8" w:space="0" w:color="FFD966"/>
            </w:tcBorders>
            <w:shd w:val="clear" w:color="000000" w:fill="D9E1F2"/>
            <w:noWrap/>
            <w:vAlign w:val="center"/>
            <w:hideMark/>
          </w:tcPr>
          <w:p w14:paraId="7172CC40" w14:textId="77777777" w:rsidR="00BF7713" w:rsidRPr="00BF7713" w:rsidRDefault="00BF7713" w:rsidP="00BF7713">
            <w:pPr>
              <w:spacing w:line="240" w:lineRule="auto"/>
              <w:jc w:val="right"/>
              <w:rPr>
                <w:rFonts w:eastAsia="Times New Roman" w:cs="Calibri"/>
              </w:rPr>
            </w:pPr>
            <w:r w:rsidRPr="00BF7713">
              <w:rPr>
                <w:rFonts w:eastAsia="Times New Roman" w:cs="Calibri"/>
              </w:rPr>
              <w:t>2023</w:t>
            </w:r>
          </w:p>
        </w:tc>
        <w:tc>
          <w:tcPr>
            <w:tcW w:w="1189" w:type="dxa"/>
            <w:tcBorders>
              <w:top w:val="nil"/>
              <w:left w:val="nil"/>
              <w:bottom w:val="single" w:sz="8" w:space="0" w:color="FFD966"/>
              <w:right w:val="single" w:sz="8" w:space="0" w:color="FFD966"/>
            </w:tcBorders>
            <w:shd w:val="clear" w:color="000000" w:fill="D9E1F2"/>
            <w:noWrap/>
            <w:vAlign w:val="center"/>
            <w:hideMark/>
          </w:tcPr>
          <w:p w14:paraId="5C12A48A" w14:textId="77777777" w:rsidR="00BF7713" w:rsidRPr="00BF7713" w:rsidRDefault="00BF7713" w:rsidP="00BF7713">
            <w:pPr>
              <w:spacing w:line="240" w:lineRule="auto"/>
              <w:jc w:val="right"/>
              <w:rPr>
                <w:rFonts w:eastAsia="Times New Roman" w:cs="Calibri"/>
              </w:rPr>
            </w:pPr>
            <w:r w:rsidRPr="00BF7713">
              <w:rPr>
                <w:rFonts w:eastAsia="Times New Roman" w:cs="Calibri"/>
              </w:rPr>
              <w:t>2024</w:t>
            </w:r>
          </w:p>
        </w:tc>
        <w:tc>
          <w:tcPr>
            <w:tcW w:w="1189" w:type="dxa"/>
            <w:tcBorders>
              <w:top w:val="nil"/>
              <w:left w:val="nil"/>
              <w:bottom w:val="single" w:sz="8" w:space="0" w:color="FFD966"/>
              <w:right w:val="single" w:sz="8" w:space="0" w:color="FFD966"/>
            </w:tcBorders>
            <w:shd w:val="clear" w:color="000000" w:fill="D9E1F2"/>
            <w:noWrap/>
            <w:vAlign w:val="center"/>
            <w:hideMark/>
          </w:tcPr>
          <w:p w14:paraId="523F348C" w14:textId="77777777" w:rsidR="00BF7713" w:rsidRPr="00BF7713" w:rsidRDefault="00BF7713" w:rsidP="00BF7713">
            <w:pPr>
              <w:spacing w:line="240" w:lineRule="auto"/>
              <w:jc w:val="right"/>
              <w:rPr>
                <w:rFonts w:eastAsia="Times New Roman" w:cs="Calibri"/>
              </w:rPr>
            </w:pPr>
            <w:r w:rsidRPr="00BF7713">
              <w:rPr>
                <w:rFonts w:eastAsia="Times New Roman" w:cs="Calibri"/>
              </w:rPr>
              <w:t>2025</w:t>
            </w:r>
          </w:p>
        </w:tc>
        <w:tc>
          <w:tcPr>
            <w:tcW w:w="1189" w:type="dxa"/>
            <w:tcBorders>
              <w:top w:val="nil"/>
              <w:left w:val="nil"/>
              <w:bottom w:val="single" w:sz="8" w:space="0" w:color="FFD966"/>
              <w:right w:val="single" w:sz="8" w:space="0" w:color="FFD966"/>
            </w:tcBorders>
            <w:shd w:val="clear" w:color="000000" w:fill="D9E1F2"/>
            <w:noWrap/>
            <w:vAlign w:val="center"/>
            <w:hideMark/>
          </w:tcPr>
          <w:p w14:paraId="5DCFC6B5" w14:textId="77777777" w:rsidR="00BF7713" w:rsidRPr="00BF7713" w:rsidRDefault="00BF7713" w:rsidP="00BF7713">
            <w:pPr>
              <w:spacing w:line="240" w:lineRule="auto"/>
              <w:jc w:val="right"/>
              <w:rPr>
                <w:rFonts w:eastAsia="Times New Roman" w:cs="Calibri"/>
              </w:rPr>
            </w:pPr>
            <w:r w:rsidRPr="00BF7713">
              <w:rPr>
                <w:rFonts w:eastAsia="Times New Roman" w:cs="Calibri"/>
              </w:rPr>
              <w:t>2026</w:t>
            </w:r>
          </w:p>
        </w:tc>
        <w:tc>
          <w:tcPr>
            <w:tcW w:w="1189" w:type="dxa"/>
            <w:tcBorders>
              <w:top w:val="nil"/>
              <w:left w:val="nil"/>
              <w:bottom w:val="single" w:sz="8" w:space="0" w:color="FFD966"/>
              <w:right w:val="single" w:sz="8" w:space="0" w:color="FFD966"/>
            </w:tcBorders>
            <w:shd w:val="clear" w:color="000000" w:fill="D9E1F2"/>
            <w:noWrap/>
            <w:vAlign w:val="center"/>
            <w:hideMark/>
          </w:tcPr>
          <w:p w14:paraId="07070485" w14:textId="77777777" w:rsidR="00BF7713" w:rsidRPr="00BF7713" w:rsidRDefault="00BF7713" w:rsidP="00BF7713">
            <w:pPr>
              <w:spacing w:line="240" w:lineRule="auto"/>
              <w:jc w:val="right"/>
              <w:rPr>
                <w:rFonts w:eastAsia="Times New Roman" w:cs="Calibri"/>
              </w:rPr>
            </w:pPr>
            <w:r w:rsidRPr="00BF7713">
              <w:rPr>
                <w:rFonts w:eastAsia="Times New Roman" w:cs="Calibri"/>
              </w:rPr>
              <w:t>2027</w:t>
            </w:r>
          </w:p>
        </w:tc>
        <w:tc>
          <w:tcPr>
            <w:tcW w:w="1340" w:type="dxa"/>
            <w:tcBorders>
              <w:top w:val="nil"/>
              <w:left w:val="nil"/>
              <w:bottom w:val="single" w:sz="8" w:space="0" w:color="FFD966"/>
              <w:right w:val="single" w:sz="12" w:space="0" w:color="FFD966"/>
            </w:tcBorders>
            <w:shd w:val="clear" w:color="000000" w:fill="D9E1F2"/>
            <w:noWrap/>
            <w:vAlign w:val="center"/>
            <w:hideMark/>
          </w:tcPr>
          <w:p w14:paraId="334511F9" w14:textId="77777777" w:rsidR="00BF7713" w:rsidRPr="00BF7713" w:rsidRDefault="00BF7713" w:rsidP="00BF7713">
            <w:pPr>
              <w:spacing w:line="240" w:lineRule="auto"/>
              <w:jc w:val="right"/>
              <w:rPr>
                <w:rFonts w:eastAsia="Times New Roman" w:cs="Calibri"/>
                <w:b/>
                <w:bCs/>
                <w:i/>
                <w:iCs/>
              </w:rPr>
            </w:pPr>
            <w:r w:rsidRPr="00BF7713">
              <w:rPr>
                <w:rFonts w:eastAsia="Times New Roman" w:cs="Calibri"/>
                <w:b/>
                <w:bCs/>
                <w:i/>
                <w:iCs/>
              </w:rPr>
              <w:t>Total</w:t>
            </w:r>
          </w:p>
        </w:tc>
      </w:tr>
      <w:tr w:rsidR="00BF7713" w:rsidRPr="00BF7713" w14:paraId="4C158AA1" w14:textId="77777777" w:rsidTr="000A3D63">
        <w:trPr>
          <w:trHeight w:val="280"/>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59976FD6" w14:textId="77777777" w:rsidR="00BF7713" w:rsidRPr="00BF7713" w:rsidRDefault="00BF7713" w:rsidP="00BF7713">
            <w:pPr>
              <w:spacing w:line="240" w:lineRule="auto"/>
              <w:rPr>
                <w:rFonts w:eastAsia="Times New Roman" w:cs="Calibri"/>
                <w:b/>
                <w:bCs/>
                <w:i/>
                <w:iCs/>
                <w:color w:val="000000"/>
              </w:rPr>
            </w:pPr>
            <w:r w:rsidRPr="00BF7713">
              <w:rPr>
                <w:rFonts w:eastAsia="Times New Roman" w:cs="Calibri"/>
                <w:b/>
                <w:bCs/>
                <w:i/>
                <w:iCs/>
                <w:color w:val="000000"/>
              </w:rPr>
              <w:t>Amount</w:t>
            </w:r>
          </w:p>
        </w:tc>
        <w:tc>
          <w:tcPr>
            <w:tcW w:w="1190" w:type="dxa"/>
            <w:tcBorders>
              <w:top w:val="nil"/>
              <w:left w:val="nil"/>
              <w:bottom w:val="single" w:sz="12" w:space="0" w:color="FFD966"/>
              <w:right w:val="single" w:sz="8" w:space="0" w:color="FFD966"/>
            </w:tcBorders>
            <w:shd w:val="clear" w:color="auto" w:fill="auto"/>
            <w:noWrap/>
            <w:vAlign w:val="center"/>
            <w:hideMark/>
          </w:tcPr>
          <w:p w14:paraId="21AA4660"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$2,600,000 </w:t>
            </w:r>
          </w:p>
        </w:tc>
        <w:tc>
          <w:tcPr>
            <w:tcW w:w="1189" w:type="dxa"/>
            <w:tcBorders>
              <w:top w:val="nil"/>
              <w:left w:val="nil"/>
              <w:bottom w:val="single" w:sz="12" w:space="0" w:color="FFD966"/>
              <w:right w:val="single" w:sz="8" w:space="0" w:color="FFD966"/>
            </w:tcBorders>
            <w:shd w:val="clear" w:color="auto" w:fill="auto"/>
            <w:noWrap/>
            <w:vAlign w:val="center"/>
            <w:hideMark/>
          </w:tcPr>
          <w:p w14:paraId="1C5A9E5A"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$2,657,000 </w:t>
            </w:r>
          </w:p>
        </w:tc>
        <w:tc>
          <w:tcPr>
            <w:tcW w:w="1189" w:type="dxa"/>
            <w:tcBorders>
              <w:top w:val="nil"/>
              <w:left w:val="nil"/>
              <w:bottom w:val="single" w:sz="12" w:space="0" w:color="FFD966"/>
              <w:right w:val="single" w:sz="8" w:space="0" w:color="FFD966"/>
            </w:tcBorders>
            <w:shd w:val="clear" w:color="auto" w:fill="auto"/>
            <w:noWrap/>
            <w:vAlign w:val="center"/>
            <w:hideMark/>
          </w:tcPr>
          <w:p w14:paraId="5B79B57D"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$2,716,000 </w:t>
            </w:r>
          </w:p>
        </w:tc>
        <w:tc>
          <w:tcPr>
            <w:tcW w:w="1189" w:type="dxa"/>
            <w:tcBorders>
              <w:top w:val="nil"/>
              <w:left w:val="nil"/>
              <w:bottom w:val="single" w:sz="12" w:space="0" w:color="FFD966"/>
              <w:right w:val="single" w:sz="8" w:space="0" w:color="FFD966"/>
            </w:tcBorders>
            <w:shd w:val="clear" w:color="auto" w:fill="auto"/>
            <w:noWrap/>
            <w:vAlign w:val="center"/>
            <w:hideMark/>
          </w:tcPr>
          <w:p w14:paraId="67347199"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$2,775,000 </w:t>
            </w:r>
          </w:p>
        </w:tc>
        <w:tc>
          <w:tcPr>
            <w:tcW w:w="1189" w:type="dxa"/>
            <w:tcBorders>
              <w:top w:val="nil"/>
              <w:left w:val="nil"/>
              <w:bottom w:val="single" w:sz="12" w:space="0" w:color="FFD966"/>
              <w:right w:val="single" w:sz="8" w:space="0" w:color="FFD966"/>
            </w:tcBorders>
            <w:shd w:val="clear" w:color="auto" w:fill="auto"/>
            <w:noWrap/>
            <w:vAlign w:val="center"/>
            <w:hideMark/>
          </w:tcPr>
          <w:p w14:paraId="61F6D7B7"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$2,836,000 </w:t>
            </w:r>
          </w:p>
        </w:tc>
        <w:tc>
          <w:tcPr>
            <w:tcW w:w="1189" w:type="dxa"/>
            <w:tcBorders>
              <w:top w:val="nil"/>
              <w:left w:val="nil"/>
              <w:bottom w:val="single" w:sz="12" w:space="0" w:color="FFD966"/>
              <w:right w:val="single" w:sz="8" w:space="0" w:color="FFD966"/>
            </w:tcBorders>
            <w:shd w:val="clear" w:color="auto" w:fill="auto"/>
            <w:noWrap/>
            <w:vAlign w:val="center"/>
            <w:hideMark/>
          </w:tcPr>
          <w:p w14:paraId="55BE7F37"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$2,899,000 </w:t>
            </w:r>
          </w:p>
        </w:tc>
        <w:tc>
          <w:tcPr>
            <w:tcW w:w="1340" w:type="dxa"/>
            <w:tcBorders>
              <w:top w:val="nil"/>
              <w:left w:val="nil"/>
              <w:bottom w:val="single" w:sz="12" w:space="0" w:color="FFD966"/>
              <w:right w:val="single" w:sz="12" w:space="0" w:color="FFD966"/>
            </w:tcBorders>
            <w:shd w:val="clear" w:color="auto" w:fill="auto"/>
            <w:noWrap/>
            <w:vAlign w:val="center"/>
            <w:hideMark/>
          </w:tcPr>
          <w:p w14:paraId="082344DD" w14:textId="77777777" w:rsidR="00BF7713" w:rsidRPr="00BF7713" w:rsidRDefault="00BF7713" w:rsidP="00BF7713">
            <w:pPr>
              <w:spacing w:line="240" w:lineRule="auto"/>
              <w:jc w:val="right"/>
              <w:rPr>
                <w:rFonts w:eastAsia="Times New Roman" w:cs="Calibri"/>
                <w:b/>
                <w:bCs/>
                <w:color w:val="000000"/>
              </w:rPr>
            </w:pPr>
            <w:r w:rsidRPr="00BF7713">
              <w:rPr>
                <w:rFonts w:eastAsia="Times New Roman" w:cs="Calibri"/>
                <w:b/>
                <w:bCs/>
                <w:color w:val="000000"/>
              </w:rPr>
              <w:t xml:space="preserve">$16,484,000 </w:t>
            </w:r>
          </w:p>
        </w:tc>
      </w:tr>
    </w:tbl>
    <w:p w14:paraId="7774669F" w14:textId="77777777" w:rsidR="00BF7713" w:rsidRDefault="00BF7713" w:rsidP="00661F3A">
      <w:pPr>
        <w:spacing w:line="240" w:lineRule="auto"/>
        <w:textAlignment w:val="baseline"/>
        <w:rPr>
          <w:rFonts w:asciiTheme="minorHAnsi" w:eastAsia="Times New Roman" w:hAnsiTheme="minorHAnsi" w:cstheme="minorHAnsi"/>
          <w:b/>
          <w:bCs/>
        </w:rPr>
      </w:pPr>
    </w:p>
    <w:p w14:paraId="00080158" w14:textId="4AB5F4FB" w:rsidR="00661F3A" w:rsidRPr="00B62B2F" w:rsidRDefault="00661F3A" w:rsidP="003420B4">
      <w:pPr>
        <w:textAlignment w:val="baseline"/>
        <w:rPr>
          <w:rFonts w:asciiTheme="minorHAnsi" w:eastAsia="Times New Roman" w:hAnsiTheme="minorHAnsi" w:cstheme="minorHAnsi"/>
        </w:rPr>
      </w:pPr>
      <w:r w:rsidRPr="00B62B2F">
        <w:rPr>
          <w:rFonts w:asciiTheme="minorHAnsi" w:eastAsia="Times New Roman" w:hAnsiTheme="minorHAnsi" w:cstheme="minorHAnsi"/>
          <w:b/>
          <w:bCs/>
        </w:rPr>
        <w:t>Description</w:t>
      </w:r>
      <w:r w:rsidRPr="00B62B2F">
        <w:rPr>
          <w:rFonts w:asciiTheme="minorHAnsi" w:eastAsia="Times New Roman" w:hAnsiTheme="minorHAnsi" w:cstheme="minorHAnsi"/>
        </w:rPr>
        <w:t>:  </w:t>
      </w:r>
    </w:p>
    <w:p w14:paraId="4E28361B" w14:textId="295325F4" w:rsidR="00661F3A" w:rsidRPr="001C0237" w:rsidRDefault="00661F3A" w:rsidP="003420B4">
      <w:pPr>
        <w:textAlignment w:val="baseline"/>
        <w:rPr>
          <w:rFonts w:eastAsia="Times New Roman" w:cs="Calibri"/>
          <w:color w:val="000000"/>
        </w:rPr>
      </w:pPr>
      <w:r w:rsidRPr="001C0237">
        <w:rPr>
          <w:rFonts w:eastAsia="Times New Roman" w:cs="Calibri"/>
        </w:rPr>
        <w:t>Help Me Grow</w:t>
      </w:r>
      <w:r>
        <w:rPr>
          <w:rFonts w:eastAsia="Times New Roman" w:cs="Calibri"/>
        </w:rPr>
        <w:t xml:space="preserve"> (HMG)</w:t>
      </w:r>
      <w:r w:rsidR="006E61D4">
        <w:rPr>
          <w:rFonts w:eastAsia="Times New Roman" w:cs="Calibri"/>
        </w:rPr>
        <w:t xml:space="preserve"> </w:t>
      </w:r>
      <w:r w:rsidRPr="00662C58">
        <w:rPr>
          <w:rFonts w:eastAsia="Times New Roman" w:cs="Calibri"/>
        </w:rPr>
        <w:t>is a national</w:t>
      </w:r>
      <w:r w:rsidRPr="00662C58">
        <w:rPr>
          <w:rFonts w:eastAsia="Times New Roman" w:cs="Calibri"/>
          <w:color w:val="000000"/>
        </w:rPr>
        <w:t> model </w:t>
      </w:r>
      <w:r w:rsidRPr="00662C58">
        <w:rPr>
          <w:rFonts w:eastAsia="Times New Roman" w:cs="Calibri"/>
        </w:rPr>
        <w:t xml:space="preserve">designed to </w:t>
      </w:r>
      <w:r>
        <w:rPr>
          <w:rFonts w:eastAsia="Times New Roman" w:cs="Calibri"/>
        </w:rPr>
        <w:t>empower families to</w:t>
      </w:r>
      <w:r w:rsidRPr="00662C58">
        <w:rPr>
          <w:rFonts w:eastAsia="Times New Roman" w:cs="Calibri"/>
        </w:rPr>
        <w:t xml:space="preserve"> support their children’s health by </w:t>
      </w:r>
      <w:r>
        <w:rPr>
          <w:rFonts w:eastAsia="Times New Roman" w:cs="Calibri"/>
        </w:rPr>
        <w:t>connecting them to what they need, when and how they need it.</w:t>
      </w:r>
      <w:r>
        <w:rPr>
          <w:rStyle w:val="FootnoteReference"/>
          <w:rFonts w:eastAsia="Times New Roman" w:cs="Calibri"/>
        </w:rPr>
        <w:footnoteReference w:id="156"/>
      </w:r>
      <w:r w:rsidRPr="00662C58">
        <w:rPr>
          <w:rFonts w:eastAsia="Times New Roman" w:cs="Calibri"/>
          <w:color w:val="000000"/>
        </w:rPr>
        <w:t> Help Me Grow King County</w:t>
      </w:r>
      <w:r>
        <w:rPr>
          <w:rFonts w:eastAsia="Times New Roman" w:cs="Calibri"/>
          <w:color w:val="000000"/>
        </w:rPr>
        <w:t xml:space="preserve"> (HMGKC)</w:t>
      </w:r>
      <w:r w:rsidRPr="00662C58">
        <w:rPr>
          <w:rFonts w:eastAsia="Times New Roman" w:cs="Calibri"/>
          <w:color w:val="000000"/>
        </w:rPr>
        <w:t> </w:t>
      </w:r>
      <w:r>
        <w:rPr>
          <w:rFonts w:eastAsia="Times New Roman" w:cs="Calibri"/>
          <w:color w:val="000000"/>
        </w:rPr>
        <w:t xml:space="preserve">is rooted in the values of self-determination, strength, and resilience, and </w:t>
      </w:r>
      <w:r w:rsidRPr="00662C58">
        <w:rPr>
          <w:rFonts w:eastAsia="Times New Roman" w:cs="Calibri"/>
          <w:color w:val="000000"/>
        </w:rPr>
        <w:t>partner</w:t>
      </w:r>
      <w:r>
        <w:rPr>
          <w:rFonts w:eastAsia="Times New Roman" w:cs="Calibri"/>
          <w:color w:val="000000"/>
        </w:rPr>
        <w:t>s</w:t>
      </w:r>
      <w:r w:rsidRPr="00662C58">
        <w:rPr>
          <w:rFonts w:eastAsia="Times New Roman" w:cs="Calibri"/>
          <w:color w:val="000000"/>
        </w:rPr>
        <w:t xml:space="preserve"> with </w:t>
      </w:r>
      <w:r>
        <w:rPr>
          <w:rFonts w:eastAsia="Times New Roman" w:cs="Calibri"/>
          <w:color w:val="000000"/>
        </w:rPr>
        <w:t xml:space="preserve">the Help Me Grow Washington (HMGWA) team and local CBOs </w:t>
      </w:r>
      <w:r w:rsidRPr="00662C58">
        <w:rPr>
          <w:rFonts w:eastAsia="Times New Roman" w:cs="Calibri"/>
          <w:color w:val="000000"/>
        </w:rPr>
        <w:t xml:space="preserve">to </w:t>
      </w:r>
      <w:r>
        <w:rPr>
          <w:rFonts w:eastAsia="Times New Roman" w:cs="Calibri"/>
          <w:color w:val="000000"/>
        </w:rPr>
        <w:t xml:space="preserve">understand how best to connect families and communities to services and </w:t>
      </w:r>
      <w:r w:rsidRPr="00662C58">
        <w:rPr>
          <w:rFonts w:eastAsia="Times New Roman" w:cs="Calibri"/>
          <w:color w:val="000000"/>
        </w:rPr>
        <w:t>adapt </w:t>
      </w:r>
      <w:r>
        <w:rPr>
          <w:rFonts w:eastAsia="Times New Roman" w:cs="Calibri"/>
          <w:color w:val="000000"/>
        </w:rPr>
        <w:t>the national model</w:t>
      </w:r>
      <w:r>
        <w:rPr>
          <w:rFonts w:eastAsia="Times New Roman" w:cs="Calibri"/>
          <w:b/>
          <w:bCs/>
          <w:color w:val="000000"/>
        </w:rPr>
        <w:t>.</w:t>
      </w:r>
      <w:r w:rsidRPr="007A634D">
        <w:rPr>
          <w:rStyle w:val="FootnoteReference"/>
          <w:rFonts w:eastAsia="Times New Roman" w:cs="Calibri"/>
          <w:color w:val="000000"/>
        </w:rPr>
        <w:t xml:space="preserve"> </w:t>
      </w:r>
      <w:r w:rsidR="007A634D">
        <w:rPr>
          <w:rStyle w:val="FootnoteReference"/>
          <w:rFonts w:eastAsia="Times New Roman" w:cs="Calibri"/>
          <w:color w:val="000000"/>
        </w:rPr>
        <w:footnoteReference w:id="157"/>
      </w:r>
      <w:r w:rsidR="007A634D">
        <w:rPr>
          <w:rFonts w:eastAsia="Times New Roman" w:cs="Calibri"/>
          <w:color w:val="000000"/>
        </w:rPr>
        <w:t xml:space="preserve"> </w:t>
      </w:r>
      <w:r>
        <w:rPr>
          <w:rFonts w:eastAsia="Times New Roman" w:cs="Calibri"/>
          <w:color w:val="000000"/>
        </w:rPr>
        <w:t>HMGKC is centered in equity and community-based solutions, and implements four core components:</w:t>
      </w:r>
    </w:p>
    <w:p w14:paraId="77B078EE" w14:textId="206DC65C" w:rsidR="00661F3A"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Coordinated Access:</w:t>
      </w:r>
      <w:r w:rsidRPr="005A3C04">
        <w:rPr>
          <w:rFonts w:eastAsia="Times New Roman" w:cs="Calibri"/>
          <w:color w:val="000000"/>
        </w:rPr>
        <w:t xml:space="preserve"> A network of </w:t>
      </w:r>
      <w:r>
        <w:rPr>
          <w:rFonts w:eastAsia="Times New Roman" w:cs="Calibri"/>
          <w:color w:val="000000"/>
        </w:rPr>
        <w:t>CBOs</w:t>
      </w:r>
      <w:r w:rsidRPr="005A3C04">
        <w:rPr>
          <w:rFonts w:eastAsia="Times New Roman" w:cs="Calibri"/>
          <w:color w:val="000000"/>
        </w:rPr>
        <w:t xml:space="preserve"> </w:t>
      </w:r>
      <w:r>
        <w:rPr>
          <w:rFonts w:eastAsia="Times New Roman" w:cs="Calibri"/>
          <w:color w:val="000000"/>
        </w:rPr>
        <w:t xml:space="preserve">to </w:t>
      </w:r>
      <w:r w:rsidRPr="005A3C04">
        <w:rPr>
          <w:rFonts w:eastAsia="Times New Roman" w:cs="Calibri"/>
          <w:color w:val="000000"/>
        </w:rPr>
        <w:t>provide families and communities culturally or linguistically matched connections to services and resources</w:t>
      </w:r>
      <w:r w:rsidR="006B46C1">
        <w:rPr>
          <w:rFonts w:eastAsia="Times New Roman" w:cs="Calibri"/>
          <w:color w:val="000000"/>
        </w:rPr>
        <w:t>.</w:t>
      </w:r>
      <w:r w:rsidR="00791013">
        <w:rPr>
          <w:rFonts w:eastAsia="Times New Roman" w:cs="Calibri"/>
          <w:color w:val="000000"/>
        </w:rPr>
        <w:t xml:space="preserve"> </w:t>
      </w:r>
    </w:p>
    <w:p w14:paraId="481C491B" w14:textId="7D30B7E2" w:rsidR="00661F3A" w:rsidRPr="005A3C04"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Family &amp; Community Partnership:</w:t>
      </w:r>
      <w:r w:rsidRPr="005A3C04">
        <w:rPr>
          <w:rFonts w:eastAsia="Times New Roman" w:cs="Calibri"/>
          <w:color w:val="000000"/>
        </w:rPr>
        <w:t xml:space="preserve"> Authentic relationships with families and communities to </w:t>
      </w:r>
      <w:r>
        <w:rPr>
          <w:rFonts w:eastAsia="Times New Roman" w:cs="Calibri"/>
          <w:color w:val="000000"/>
        </w:rPr>
        <w:t xml:space="preserve">shape and </w:t>
      </w:r>
      <w:r w:rsidRPr="005A3C04">
        <w:rPr>
          <w:rFonts w:eastAsia="Times New Roman" w:cs="Calibri"/>
          <w:color w:val="000000"/>
        </w:rPr>
        <w:t>define the HMG</w:t>
      </w:r>
      <w:r>
        <w:rPr>
          <w:rFonts w:eastAsia="Times New Roman" w:cs="Calibri"/>
          <w:color w:val="000000"/>
        </w:rPr>
        <w:t>K</w:t>
      </w:r>
      <w:r w:rsidRPr="005A3C04">
        <w:rPr>
          <w:rFonts w:eastAsia="Times New Roman" w:cs="Calibri"/>
          <w:color w:val="000000"/>
        </w:rPr>
        <w:t>C system</w:t>
      </w:r>
      <w:r w:rsidR="006B46C1">
        <w:rPr>
          <w:rFonts w:eastAsia="Times New Roman" w:cs="Calibri"/>
          <w:color w:val="000000"/>
        </w:rPr>
        <w:t>.</w:t>
      </w:r>
      <w:r w:rsidR="00791013">
        <w:rPr>
          <w:rFonts w:eastAsia="Times New Roman" w:cs="Calibri"/>
          <w:color w:val="000000"/>
        </w:rPr>
        <w:t xml:space="preserve"> </w:t>
      </w:r>
    </w:p>
    <w:p w14:paraId="002D7A63" w14:textId="2B84758F" w:rsidR="00661F3A" w:rsidRPr="005A3C04"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Data Collection &amp; Evaluation:</w:t>
      </w:r>
      <w:r w:rsidRPr="005A3C04">
        <w:rPr>
          <w:rFonts w:eastAsia="Times New Roman" w:cs="Calibri"/>
          <w:color w:val="000000"/>
        </w:rPr>
        <w:t> </w:t>
      </w:r>
      <w:r>
        <w:rPr>
          <w:rFonts w:eastAsia="Times New Roman" w:cs="Calibri"/>
          <w:color w:val="000000"/>
        </w:rPr>
        <w:t>Increased access to high q</w:t>
      </w:r>
      <w:r w:rsidRPr="005A3C04">
        <w:rPr>
          <w:rFonts w:eastAsia="Times New Roman" w:cs="Calibri"/>
          <w:color w:val="000000"/>
        </w:rPr>
        <w:t>uality information about services available to families</w:t>
      </w:r>
      <w:r>
        <w:rPr>
          <w:rFonts w:eastAsia="Times New Roman" w:cs="Calibri"/>
          <w:color w:val="000000"/>
        </w:rPr>
        <w:t xml:space="preserve"> and the ways in which </w:t>
      </w:r>
      <w:r w:rsidRPr="005A3C04">
        <w:rPr>
          <w:rFonts w:eastAsia="Times New Roman" w:cs="Calibri"/>
          <w:color w:val="000000"/>
        </w:rPr>
        <w:t>families interact with services</w:t>
      </w:r>
      <w:r w:rsidR="006B46C1">
        <w:rPr>
          <w:rFonts w:eastAsia="Times New Roman" w:cs="Calibri"/>
          <w:color w:val="000000"/>
        </w:rPr>
        <w:t>.</w:t>
      </w:r>
      <w:r w:rsidR="00791013">
        <w:rPr>
          <w:rFonts w:eastAsia="Times New Roman" w:cs="Calibri"/>
          <w:color w:val="000000"/>
        </w:rPr>
        <w:t xml:space="preserve"> </w:t>
      </w:r>
    </w:p>
    <w:p w14:paraId="6BBCD8D1" w14:textId="053DFDE1" w:rsidR="00661F3A" w:rsidRPr="005A3C04"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Service Provider &amp; Professional Partnership:</w:t>
      </w:r>
      <w:r w:rsidRPr="005A3C04">
        <w:rPr>
          <w:rFonts w:eastAsia="Times New Roman" w:cs="Calibri"/>
          <w:color w:val="000000"/>
        </w:rPr>
        <w:t> Collaborative relationships with early learning, social service, health and mental health providers to strengthen coordination</w:t>
      </w:r>
      <w:r>
        <w:rPr>
          <w:rFonts w:eastAsia="Times New Roman" w:cs="Calibri"/>
          <w:color w:val="000000"/>
        </w:rPr>
        <w:t>.</w:t>
      </w:r>
    </w:p>
    <w:p w14:paraId="46D6B440" w14:textId="77777777" w:rsidR="00661F3A" w:rsidRPr="00662C58" w:rsidRDefault="00661F3A" w:rsidP="003420B4">
      <w:pPr>
        <w:textAlignment w:val="baseline"/>
        <w:rPr>
          <w:rFonts w:ascii="Segoe UI" w:eastAsia="Times New Roman" w:hAnsi="Segoe UI" w:cs="Segoe UI"/>
          <w:sz w:val="18"/>
          <w:szCs w:val="18"/>
        </w:rPr>
      </w:pPr>
      <w:r w:rsidRPr="00662C58">
        <w:rPr>
          <w:rFonts w:eastAsia="Times New Roman" w:cs="Calibri"/>
          <w:color w:val="7030A0"/>
        </w:rPr>
        <w:t>  </w:t>
      </w:r>
    </w:p>
    <w:p w14:paraId="0957376A" w14:textId="3A446596" w:rsidR="0026277D" w:rsidRPr="00744BD2" w:rsidRDefault="0026277D" w:rsidP="003420B4">
      <w:pPr>
        <w:textAlignment w:val="baseline"/>
        <w:rPr>
          <w:rFonts w:ascii="Segoe UI" w:eastAsia="Times New Roman" w:hAnsi="Segoe UI" w:cs="Segoe UI"/>
          <w:sz w:val="18"/>
          <w:szCs w:val="18"/>
        </w:rPr>
      </w:pPr>
      <w:r w:rsidRPr="00744BD2">
        <w:rPr>
          <w:rFonts w:eastAsia="Times New Roman" w:cs="Calibri"/>
        </w:rPr>
        <w:t xml:space="preserve">The HMGKC strategy supports resource navigation and serves as a foundation for all </w:t>
      </w:r>
      <w:r w:rsidRPr="00E73F84">
        <w:rPr>
          <w:rFonts w:eastAsia="Times New Roman" w:cs="Calibri"/>
          <w:i/>
          <w:iCs/>
        </w:rPr>
        <w:t>Best Starts</w:t>
      </w:r>
      <w:r w:rsidRPr="00744BD2">
        <w:rPr>
          <w:rFonts w:eastAsia="Times New Roman" w:cs="Calibri"/>
        </w:rPr>
        <w:t xml:space="preserve"> prenatal to five-year-old strategies. </w:t>
      </w:r>
      <w:r>
        <w:rPr>
          <w:rFonts w:eastAsia="Times New Roman" w:cs="Calibri"/>
        </w:rPr>
        <w:t xml:space="preserve">Integration and partnership with all </w:t>
      </w:r>
      <w:r w:rsidRPr="00E73F84">
        <w:rPr>
          <w:rFonts w:eastAsia="Times New Roman" w:cs="Calibri"/>
          <w:i/>
          <w:iCs/>
        </w:rPr>
        <w:t>Best Starts</w:t>
      </w:r>
      <w:r>
        <w:rPr>
          <w:rFonts w:eastAsia="Times New Roman" w:cs="Calibri"/>
        </w:rPr>
        <w:t xml:space="preserve"> funded early learning strategies will </w:t>
      </w:r>
      <w:r w:rsidR="00CB7D50">
        <w:rPr>
          <w:rFonts w:eastAsia="Times New Roman" w:cs="Calibri"/>
        </w:rPr>
        <w:t xml:space="preserve">be </w:t>
      </w:r>
      <w:r>
        <w:rPr>
          <w:rFonts w:eastAsia="Times New Roman" w:cs="Calibri"/>
        </w:rPr>
        <w:t>a focus</w:t>
      </w:r>
      <w:r w:rsidR="006B46C1">
        <w:rPr>
          <w:rFonts w:eastAsia="Times New Roman" w:cs="Calibri"/>
        </w:rPr>
        <w:t>.</w:t>
      </w:r>
      <w:r w:rsidR="00791013">
        <w:rPr>
          <w:rFonts w:eastAsia="Times New Roman" w:cs="Calibri"/>
        </w:rPr>
        <w:t xml:space="preserve"> </w:t>
      </w:r>
    </w:p>
    <w:p w14:paraId="5513B0C0" w14:textId="77777777" w:rsidR="0026277D" w:rsidRDefault="0026277D" w:rsidP="003420B4">
      <w:pPr>
        <w:textAlignment w:val="baseline"/>
        <w:rPr>
          <w:rFonts w:eastAsia="Times New Roman" w:cs="Calibri"/>
        </w:rPr>
      </w:pPr>
    </w:p>
    <w:p w14:paraId="4BB12113" w14:textId="341B6BDE" w:rsidR="00514E17" w:rsidRDefault="00661F3A" w:rsidP="003420B4">
      <w:pPr>
        <w:textAlignment w:val="baseline"/>
        <w:rPr>
          <w:rFonts w:eastAsia="Times New Roman" w:cs="Calibri"/>
          <w:color w:val="1D1D1D"/>
        </w:rPr>
      </w:pPr>
      <w:r>
        <w:rPr>
          <w:rFonts w:eastAsia="Times New Roman" w:cs="Calibri"/>
          <w:b/>
          <w:bCs/>
          <w:color w:val="1D1D1D"/>
        </w:rPr>
        <w:t xml:space="preserve">Planned </w:t>
      </w:r>
      <w:r w:rsidRPr="00662C58">
        <w:rPr>
          <w:rFonts w:eastAsia="Times New Roman" w:cs="Calibri"/>
          <w:b/>
          <w:bCs/>
          <w:color w:val="1D1D1D"/>
        </w:rPr>
        <w:t>Refinements</w:t>
      </w:r>
      <w:r>
        <w:rPr>
          <w:rFonts w:eastAsia="Times New Roman" w:cs="Calibri"/>
          <w:b/>
          <w:bCs/>
          <w:color w:val="1D1D1D"/>
        </w:rPr>
        <w:t xml:space="preserve"> in </w:t>
      </w:r>
      <w:r w:rsidR="00BD68F0" w:rsidRPr="00450552">
        <w:rPr>
          <w:rFonts w:eastAsia="Times New Roman" w:cs="Calibri"/>
          <w:b/>
          <w:i/>
          <w:color w:val="1D1D1D"/>
        </w:rPr>
        <w:t xml:space="preserve">Best Starts for Kids </w:t>
      </w:r>
      <w:r w:rsidR="00BD68F0" w:rsidRPr="00BD68F0">
        <w:rPr>
          <w:rFonts w:eastAsia="Times New Roman" w:cs="Calibri"/>
          <w:b/>
          <w:bCs/>
          <w:color w:val="1D1D1D"/>
        </w:rPr>
        <w:t>2022-2027:</w:t>
      </w:r>
    </w:p>
    <w:p w14:paraId="7CA29FB0" w14:textId="06331507" w:rsidR="0070118E" w:rsidRPr="0070118E" w:rsidRDefault="00C7568B" w:rsidP="003420B4">
      <w:pPr>
        <w:pStyle w:val="ListParagraph"/>
        <w:numPr>
          <w:ilvl w:val="0"/>
          <w:numId w:val="66"/>
        </w:numPr>
        <w:contextualSpacing w:val="0"/>
        <w:textAlignment w:val="baseline"/>
        <w:rPr>
          <w:rFonts w:eastAsia="Times New Roman" w:cs="Calibri"/>
        </w:rPr>
      </w:pPr>
      <w:r w:rsidRPr="00C7568B">
        <w:rPr>
          <w:rFonts w:eastAsia="Times New Roman"/>
        </w:rPr>
        <w:t>Con</w:t>
      </w:r>
      <w:r w:rsidR="00F04EDC">
        <w:rPr>
          <w:rFonts w:eastAsia="Times New Roman"/>
        </w:rPr>
        <w:t>vene</w:t>
      </w:r>
      <w:r w:rsidR="00B41261">
        <w:rPr>
          <w:rFonts w:eastAsia="Times New Roman"/>
        </w:rPr>
        <w:t xml:space="preserve"> </w:t>
      </w:r>
      <w:r w:rsidR="00B41261" w:rsidRPr="00C7568B">
        <w:rPr>
          <w:rFonts w:eastAsia="Times New Roman"/>
        </w:rPr>
        <w:t>CBO Collaborative Partnership for strengthening referral pathways and coordinated access regionally, increased language and cultural matches, and greater visibility of service delivery across the HMG King County network</w:t>
      </w:r>
      <w:r w:rsidR="00B41261" w:rsidRPr="00C7568B">
        <w:rPr>
          <w:rFonts w:eastAsia="Times New Roman" w:cs="Calibri"/>
        </w:rPr>
        <w:t>.</w:t>
      </w:r>
    </w:p>
    <w:p w14:paraId="19FB2BB4" w14:textId="582650C6" w:rsidR="00B41261" w:rsidRPr="00F04EDC" w:rsidRDefault="00CE6EE2" w:rsidP="003420B4">
      <w:pPr>
        <w:pStyle w:val="ListParagraph"/>
        <w:numPr>
          <w:ilvl w:val="0"/>
          <w:numId w:val="66"/>
        </w:numPr>
        <w:contextualSpacing w:val="0"/>
        <w:textAlignment w:val="baseline"/>
        <w:rPr>
          <w:rFonts w:eastAsia="Times New Roman"/>
        </w:rPr>
      </w:pPr>
      <w:r w:rsidRPr="00F04EDC">
        <w:rPr>
          <w:rFonts w:eastAsia="Times New Roman"/>
        </w:rPr>
        <w:t>Conven</w:t>
      </w:r>
      <w:r w:rsidR="00F04EDC" w:rsidRPr="00F04EDC">
        <w:rPr>
          <w:rFonts w:eastAsia="Times New Roman"/>
        </w:rPr>
        <w:t>e</w:t>
      </w:r>
      <w:r w:rsidRPr="00F04EDC">
        <w:rPr>
          <w:rFonts w:eastAsia="Times New Roman"/>
        </w:rPr>
        <w:t xml:space="preserve"> stakeholders in early learning for greater collaboration and stronger early childhood development system coordination in King County. </w:t>
      </w:r>
    </w:p>
    <w:p w14:paraId="0801765B" w14:textId="6EA8D3E4" w:rsidR="000A3D63" w:rsidRPr="000A3D63" w:rsidRDefault="009B1FED" w:rsidP="003420B4">
      <w:pPr>
        <w:pStyle w:val="ListParagraph"/>
        <w:numPr>
          <w:ilvl w:val="0"/>
          <w:numId w:val="66"/>
        </w:numPr>
        <w:contextualSpacing w:val="0"/>
        <w:textAlignment w:val="baseline"/>
        <w:rPr>
          <w:rFonts w:ascii="Segoe UI" w:eastAsia="Times New Roman" w:hAnsi="Segoe UI" w:cs="Segoe UI"/>
          <w:sz w:val="18"/>
          <w:szCs w:val="18"/>
        </w:rPr>
      </w:pPr>
      <w:r>
        <w:rPr>
          <w:rFonts w:eastAsia="Times New Roman" w:cs="Calibri"/>
          <w:color w:val="000000"/>
        </w:rPr>
        <w:t>Integrat</w:t>
      </w:r>
      <w:r w:rsidR="008A0DEF">
        <w:rPr>
          <w:rFonts w:eastAsia="Times New Roman" w:cs="Calibri"/>
          <w:color w:val="000000"/>
        </w:rPr>
        <w:t>e</w:t>
      </w:r>
      <w:r w:rsidR="008B62A3">
        <w:rPr>
          <w:rFonts w:eastAsia="Times New Roman" w:cs="Calibri"/>
          <w:color w:val="000000"/>
        </w:rPr>
        <w:t xml:space="preserve"> tools</w:t>
      </w:r>
      <w:r>
        <w:rPr>
          <w:rFonts w:eastAsia="Times New Roman" w:cs="Calibri"/>
          <w:color w:val="000000"/>
        </w:rPr>
        <w:t xml:space="preserve"> and resources </w:t>
      </w:r>
      <w:r w:rsidR="00843428">
        <w:rPr>
          <w:rFonts w:eastAsia="Times New Roman" w:cs="Calibri"/>
          <w:color w:val="000000"/>
        </w:rPr>
        <w:t>for</w:t>
      </w:r>
      <w:r>
        <w:rPr>
          <w:rFonts w:eastAsia="Times New Roman" w:cs="Calibri"/>
          <w:color w:val="000000"/>
        </w:rPr>
        <w:t xml:space="preserve"> </w:t>
      </w:r>
      <w:r w:rsidR="0070684B">
        <w:rPr>
          <w:rFonts w:eastAsia="Times New Roman" w:cs="Calibri"/>
          <w:color w:val="000000"/>
        </w:rPr>
        <w:t xml:space="preserve">families </w:t>
      </w:r>
      <w:r w:rsidR="007F4F87">
        <w:rPr>
          <w:rFonts w:eastAsia="Times New Roman" w:cs="Calibri"/>
          <w:color w:val="000000"/>
        </w:rPr>
        <w:t>and providers to better understand child development</w:t>
      </w:r>
      <w:r w:rsidR="0070684B">
        <w:rPr>
          <w:rFonts w:eastAsia="Times New Roman" w:cs="Calibri"/>
          <w:color w:val="000000"/>
        </w:rPr>
        <w:t xml:space="preserve"> </w:t>
      </w:r>
      <w:r w:rsidR="008A0DEF">
        <w:rPr>
          <w:rFonts w:eastAsia="Times New Roman" w:cs="Calibri"/>
          <w:color w:val="000000"/>
        </w:rPr>
        <w:t xml:space="preserve">including </w:t>
      </w:r>
      <w:r w:rsidR="00F4002F">
        <w:rPr>
          <w:rFonts w:eastAsia="Times New Roman" w:cs="Calibri"/>
          <w:color w:val="000000"/>
        </w:rPr>
        <w:t xml:space="preserve">resources such as </w:t>
      </w:r>
      <w:r w:rsidR="008B62A3">
        <w:rPr>
          <w:rFonts w:eastAsia="Times New Roman" w:cs="Calibri"/>
          <w:color w:val="000000"/>
        </w:rPr>
        <w:t>Vroom</w:t>
      </w:r>
      <w:r w:rsidR="00F4002F">
        <w:rPr>
          <w:rFonts w:eastAsia="Times New Roman" w:cs="Calibri"/>
          <w:color w:val="000000"/>
        </w:rPr>
        <w:t>.</w:t>
      </w:r>
      <w:bookmarkStart w:id="64" w:name="_Hlk74218949"/>
      <w:r w:rsidR="000A3D63" w:rsidRPr="000A3D63">
        <w:rPr>
          <w:rStyle w:val="FootnoteReference"/>
          <w:rFonts w:eastAsia="Times New Roman" w:cs="Calibri"/>
          <w:color w:val="000000"/>
        </w:rPr>
        <w:t xml:space="preserve"> </w:t>
      </w:r>
      <w:r w:rsidR="000A3D63">
        <w:rPr>
          <w:rStyle w:val="FootnoteReference"/>
          <w:rFonts w:eastAsia="Times New Roman" w:cs="Calibri"/>
          <w:color w:val="000000"/>
        </w:rPr>
        <w:footnoteReference w:id="158"/>
      </w:r>
    </w:p>
    <w:p w14:paraId="5CB15F17" w14:textId="1A946C81" w:rsidR="00661F3A" w:rsidRPr="000A3D63" w:rsidRDefault="00661F3A" w:rsidP="00BF251C">
      <w:pPr>
        <w:spacing w:before="240"/>
        <w:textAlignment w:val="baseline"/>
        <w:rPr>
          <w:rFonts w:ascii="Segoe UI" w:eastAsia="Times New Roman" w:hAnsi="Segoe UI" w:cs="Segoe UI"/>
          <w:sz w:val="18"/>
          <w:szCs w:val="18"/>
        </w:rPr>
      </w:pPr>
      <w:r w:rsidRPr="000A3D63">
        <w:rPr>
          <w:rFonts w:eastAsia="Times New Roman" w:cs="Calibri"/>
          <w:b/>
          <w:bCs/>
        </w:rPr>
        <w:lastRenderedPageBreak/>
        <w:t xml:space="preserve">Approximate </w:t>
      </w:r>
      <w:r w:rsidR="00F075E1" w:rsidRPr="000A3D63">
        <w:rPr>
          <w:rFonts w:eastAsia="Times New Roman" w:cs="Calibri"/>
          <w:b/>
          <w:bCs/>
        </w:rPr>
        <w:t>Scope:</w:t>
      </w:r>
      <w:bookmarkEnd w:id="64"/>
      <w:r w:rsidR="000874E6" w:rsidRPr="000A3D63">
        <w:rPr>
          <w:rFonts w:eastAsia="Times New Roman" w:cs="Calibri"/>
        </w:rPr>
        <w:t xml:space="preserve"> </w:t>
      </w:r>
      <w:r w:rsidR="006702D1" w:rsidRPr="000A3D63">
        <w:rPr>
          <w:rFonts w:eastAsia="Times New Roman" w:cs="Calibri"/>
          <w:i/>
          <w:iCs/>
        </w:rPr>
        <w:t>Best Starts</w:t>
      </w:r>
      <w:r w:rsidR="006702D1" w:rsidRPr="000A3D63">
        <w:rPr>
          <w:rFonts w:eastAsia="Times New Roman" w:cs="Calibri"/>
        </w:rPr>
        <w:t xml:space="preserve"> anticipates </w:t>
      </w:r>
      <w:r w:rsidR="00004844" w:rsidRPr="000A3D63">
        <w:rPr>
          <w:rFonts w:eastAsia="Times New Roman" w:cs="Calibri"/>
        </w:rPr>
        <w:t xml:space="preserve">serving approximately </w:t>
      </w:r>
      <w:r w:rsidR="00004844">
        <w:t xml:space="preserve">1,000 </w:t>
      </w:r>
      <w:r w:rsidR="00004844" w:rsidRPr="00CB5A88">
        <w:t>caregivers</w:t>
      </w:r>
      <w:r w:rsidR="00004844">
        <w:t xml:space="preserve"> an</w:t>
      </w:r>
      <w:r w:rsidR="00004844" w:rsidRPr="00370B60">
        <w:t xml:space="preserve">d 2,000 </w:t>
      </w:r>
      <w:r w:rsidR="00004844" w:rsidRPr="00CB5A88">
        <w:t>children</w:t>
      </w:r>
      <w:r w:rsidR="00004844">
        <w:t xml:space="preserve"> annually.</w:t>
      </w:r>
      <w:r w:rsidRPr="000A3D63">
        <w:rPr>
          <w:rFonts w:eastAsia="Times New Roman" w:cs="Calibri"/>
        </w:rPr>
        <w:br/>
      </w:r>
    </w:p>
    <w:p w14:paraId="477D629B" w14:textId="3A57B0D2" w:rsidR="00DB7913" w:rsidRDefault="00661F3A" w:rsidP="007104AD">
      <w:pPr>
        <w:textAlignment w:val="baseline"/>
        <w:rPr>
          <w:rFonts w:eastAsia="Times New Roman" w:cs="Calibri"/>
          <w:color w:val="1D1D1D"/>
        </w:rPr>
      </w:pPr>
      <w:r>
        <w:rPr>
          <w:rFonts w:eastAsia="Times New Roman" w:cs="Calibri"/>
          <w:b/>
          <w:bCs/>
          <w:color w:val="1D1D1D"/>
        </w:rPr>
        <w:t>Anticipated</w:t>
      </w:r>
      <w:r w:rsidRPr="00662C58">
        <w:rPr>
          <w:rFonts w:eastAsia="Times New Roman" w:cs="Calibri"/>
          <w:b/>
          <w:bCs/>
          <w:color w:val="1D1D1D"/>
        </w:rPr>
        <w:t xml:space="preserve"> Timeline:  </w:t>
      </w:r>
      <w:r>
        <w:rPr>
          <w:rFonts w:eastAsia="Times New Roman" w:cs="Calibri"/>
          <w:color w:val="1D1D1D"/>
        </w:rPr>
        <w:t xml:space="preserve">RFP </w:t>
      </w:r>
      <w:r w:rsidR="00854D6C">
        <w:rPr>
          <w:rFonts w:eastAsia="Times New Roman" w:cs="Calibri"/>
          <w:color w:val="1D1D1D"/>
        </w:rPr>
        <w:t>to be relea</w:t>
      </w:r>
      <w:r w:rsidR="003F50CD">
        <w:rPr>
          <w:rFonts w:eastAsia="Times New Roman" w:cs="Calibri"/>
          <w:color w:val="1D1D1D"/>
        </w:rPr>
        <w:t>sed</w:t>
      </w:r>
      <w:r>
        <w:rPr>
          <w:rFonts w:eastAsia="Times New Roman" w:cs="Calibri"/>
          <w:color w:val="1D1D1D"/>
        </w:rPr>
        <w:t xml:space="preserve"> </w:t>
      </w:r>
      <w:r w:rsidRPr="00662C58">
        <w:rPr>
          <w:rFonts w:eastAsia="Times New Roman" w:cs="Calibri"/>
          <w:color w:val="1D1D1D"/>
        </w:rPr>
        <w:t xml:space="preserve">in </w:t>
      </w:r>
      <w:r w:rsidR="007A634D">
        <w:rPr>
          <w:rFonts w:eastAsia="Times New Roman" w:cs="Calibri"/>
          <w:color w:val="1D1D1D"/>
        </w:rPr>
        <w:t>Q3</w:t>
      </w:r>
      <w:r>
        <w:rPr>
          <w:rFonts w:eastAsia="Times New Roman" w:cs="Calibri"/>
          <w:color w:val="1D1D1D"/>
        </w:rPr>
        <w:t xml:space="preserve"> 2022</w:t>
      </w:r>
    </w:p>
    <w:p w14:paraId="7491CFC2" w14:textId="77777777" w:rsidR="001E4EF1" w:rsidRPr="00662C58" w:rsidRDefault="001E4EF1" w:rsidP="007104AD">
      <w:pPr>
        <w:textAlignment w:val="baseline"/>
        <w:rPr>
          <w:rFonts w:ascii="Segoe UI" w:eastAsia="Times New Roman" w:hAnsi="Segoe UI" w:cs="Segoe UI"/>
          <w:sz w:val="18"/>
          <w:szCs w:val="18"/>
        </w:rPr>
      </w:pPr>
    </w:p>
    <w:tbl>
      <w:tblPr>
        <w:tblStyle w:val="TableGrid"/>
        <w:tblpPr w:leftFromText="180" w:rightFromText="180" w:vertAnchor="text" w:horzAnchor="margin" w:tblpY="57"/>
        <w:tblW w:w="9510" w:type="dxa"/>
        <w:tblLook w:val="04A0" w:firstRow="1" w:lastRow="0" w:firstColumn="1" w:lastColumn="0" w:noHBand="0" w:noVBand="1"/>
      </w:tblPr>
      <w:tblGrid>
        <w:gridCol w:w="9510"/>
      </w:tblGrid>
      <w:tr w:rsidR="00DF4FB5" w:rsidRPr="00D03F1F" w14:paraId="541CBE50" w14:textId="77777777" w:rsidTr="00672E3E">
        <w:trPr>
          <w:trHeight w:val="212"/>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2122EE4D" w14:textId="3FDC7CED" w:rsidR="00DF4FB5" w:rsidRPr="00EE121B" w:rsidRDefault="00DF4FB5" w:rsidP="00BF0103">
            <w:pPr>
              <w:contextualSpacing/>
              <w:rPr>
                <w:rFonts w:cs="Calibri"/>
                <w:sz w:val="28"/>
                <w:szCs w:val="28"/>
              </w:rPr>
            </w:pPr>
            <w:bookmarkStart w:id="65" w:name="Environmental_Supports"/>
            <w:r w:rsidRPr="00EE121B">
              <w:rPr>
                <w:b/>
                <w:sz w:val="28"/>
                <w:szCs w:val="28"/>
              </w:rPr>
              <w:t>Environmental supports</w:t>
            </w:r>
            <w:bookmarkEnd w:id="65"/>
            <w:r w:rsidRPr="00EE121B">
              <w:rPr>
                <w:b/>
                <w:sz w:val="28"/>
                <w:szCs w:val="28"/>
              </w:rPr>
              <w:t xml:space="preserve">:  Lead and Toxics </w:t>
            </w:r>
          </w:p>
        </w:tc>
      </w:tr>
    </w:tbl>
    <w:tbl>
      <w:tblPr>
        <w:tblW w:w="9540" w:type="dxa"/>
        <w:tblLook w:val="04A0" w:firstRow="1" w:lastRow="0" w:firstColumn="1" w:lastColumn="0" w:noHBand="0" w:noVBand="1"/>
      </w:tblPr>
      <w:tblGrid>
        <w:gridCol w:w="1147"/>
        <w:gridCol w:w="1176"/>
        <w:gridCol w:w="1176"/>
        <w:gridCol w:w="1176"/>
        <w:gridCol w:w="1176"/>
        <w:gridCol w:w="1176"/>
        <w:gridCol w:w="1176"/>
        <w:gridCol w:w="1337"/>
      </w:tblGrid>
      <w:tr w:rsidR="007E1BE7" w:rsidRPr="007E1BE7" w14:paraId="03A5D195" w14:textId="77777777" w:rsidTr="00672E3E">
        <w:trPr>
          <w:trHeight w:val="186"/>
        </w:trPr>
        <w:tc>
          <w:tcPr>
            <w:tcW w:w="9540" w:type="dxa"/>
            <w:gridSpan w:val="8"/>
            <w:tcBorders>
              <w:top w:val="nil"/>
              <w:left w:val="nil"/>
              <w:bottom w:val="single" w:sz="12" w:space="0" w:color="FFD966"/>
              <w:right w:val="nil"/>
            </w:tcBorders>
            <w:shd w:val="clear" w:color="auto" w:fill="auto"/>
            <w:noWrap/>
            <w:vAlign w:val="bottom"/>
            <w:hideMark/>
          </w:tcPr>
          <w:p w14:paraId="3229AB85" w14:textId="77777777" w:rsidR="007E1BE7" w:rsidRPr="007E1BE7" w:rsidRDefault="007E1BE7" w:rsidP="007E1BE7">
            <w:pPr>
              <w:spacing w:line="240" w:lineRule="auto"/>
              <w:rPr>
                <w:rFonts w:eastAsia="Times New Roman" w:cs="Calibri"/>
                <w:b/>
                <w:bCs/>
                <w:i/>
                <w:iCs/>
                <w:color w:val="000000"/>
              </w:rPr>
            </w:pPr>
            <w:r w:rsidRPr="007E1BE7">
              <w:rPr>
                <w:rFonts w:eastAsia="Times New Roman" w:cs="Calibri"/>
                <w:b/>
                <w:bCs/>
                <w:i/>
                <w:iCs/>
                <w:color w:val="000000"/>
              </w:rPr>
              <w:t>Funding Estimate:</w:t>
            </w:r>
          </w:p>
        </w:tc>
      </w:tr>
      <w:tr w:rsidR="007E1BE7" w:rsidRPr="007E1BE7" w14:paraId="54D1EA4A" w14:textId="77777777" w:rsidTr="00672E3E">
        <w:trPr>
          <w:trHeight w:val="248"/>
        </w:trPr>
        <w:tc>
          <w:tcPr>
            <w:tcW w:w="1147" w:type="dxa"/>
            <w:tcBorders>
              <w:top w:val="nil"/>
              <w:left w:val="single" w:sz="12" w:space="0" w:color="FFD966"/>
              <w:bottom w:val="single" w:sz="8" w:space="0" w:color="FFD966"/>
              <w:right w:val="single" w:sz="8" w:space="0" w:color="FFD966"/>
            </w:tcBorders>
            <w:shd w:val="clear" w:color="000000" w:fill="D9E1F2"/>
            <w:noWrap/>
            <w:vAlign w:val="center"/>
            <w:hideMark/>
          </w:tcPr>
          <w:p w14:paraId="0B65E074" w14:textId="77777777" w:rsidR="007E1BE7" w:rsidRPr="007E1BE7" w:rsidRDefault="007E1BE7" w:rsidP="007E1BE7">
            <w:pPr>
              <w:spacing w:line="240" w:lineRule="auto"/>
              <w:rPr>
                <w:rFonts w:eastAsia="Times New Roman" w:cs="Calibri"/>
                <w:b/>
                <w:bCs/>
                <w:i/>
                <w:iCs/>
              </w:rPr>
            </w:pPr>
            <w:r w:rsidRPr="007E1BE7">
              <w:rPr>
                <w:rFonts w:eastAsia="Times New Roman" w:cs="Calibri"/>
                <w:b/>
                <w:bCs/>
                <w:i/>
                <w:iCs/>
              </w:rPr>
              <w:t>Year</w:t>
            </w:r>
          </w:p>
        </w:tc>
        <w:tc>
          <w:tcPr>
            <w:tcW w:w="1176" w:type="dxa"/>
            <w:tcBorders>
              <w:top w:val="nil"/>
              <w:left w:val="nil"/>
              <w:bottom w:val="single" w:sz="8" w:space="0" w:color="FFD966"/>
              <w:right w:val="single" w:sz="8" w:space="0" w:color="FFD966"/>
            </w:tcBorders>
            <w:shd w:val="clear" w:color="000000" w:fill="D9E1F2"/>
            <w:noWrap/>
            <w:vAlign w:val="center"/>
            <w:hideMark/>
          </w:tcPr>
          <w:p w14:paraId="5E6072C4" w14:textId="77777777" w:rsidR="007E1BE7" w:rsidRPr="007E1BE7" w:rsidRDefault="007E1BE7" w:rsidP="007E1BE7">
            <w:pPr>
              <w:spacing w:line="240" w:lineRule="auto"/>
              <w:jc w:val="right"/>
              <w:rPr>
                <w:rFonts w:eastAsia="Times New Roman" w:cs="Calibri"/>
              </w:rPr>
            </w:pPr>
            <w:r w:rsidRPr="007E1BE7">
              <w:rPr>
                <w:rFonts w:eastAsia="Times New Roman" w:cs="Calibri"/>
              </w:rPr>
              <w:t>2022</w:t>
            </w:r>
          </w:p>
        </w:tc>
        <w:tc>
          <w:tcPr>
            <w:tcW w:w="1176" w:type="dxa"/>
            <w:tcBorders>
              <w:top w:val="nil"/>
              <w:left w:val="nil"/>
              <w:bottom w:val="single" w:sz="8" w:space="0" w:color="FFD966"/>
              <w:right w:val="single" w:sz="8" w:space="0" w:color="FFD966"/>
            </w:tcBorders>
            <w:shd w:val="clear" w:color="000000" w:fill="D9E1F2"/>
            <w:noWrap/>
            <w:vAlign w:val="center"/>
            <w:hideMark/>
          </w:tcPr>
          <w:p w14:paraId="351FC4FC" w14:textId="77777777" w:rsidR="007E1BE7" w:rsidRPr="007E1BE7" w:rsidRDefault="007E1BE7" w:rsidP="007E1BE7">
            <w:pPr>
              <w:spacing w:line="240" w:lineRule="auto"/>
              <w:jc w:val="right"/>
              <w:rPr>
                <w:rFonts w:eastAsia="Times New Roman" w:cs="Calibri"/>
              </w:rPr>
            </w:pPr>
            <w:r w:rsidRPr="007E1BE7">
              <w:rPr>
                <w:rFonts w:eastAsia="Times New Roman" w:cs="Calibri"/>
              </w:rPr>
              <w:t>2023</w:t>
            </w:r>
          </w:p>
        </w:tc>
        <w:tc>
          <w:tcPr>
            <w:tcW w:w="1176" w:type="dxa"/>
            <w:tcBorders>
              <w:top w:val="nil"/>
              <w:left w:val="nil"/>
              <w:bottom w:val="single" w:sz="8" w:space="0" w:color="FFD966"/>
              <w:right w:val="single" w:sz="8" w:space="0" w:color="FFD966"/>
            </w:tcBorders>
            <w:shd w:val="clear" w:color="000000" w:fill="D9E1F2"/>
            <w:noWrap/>
            <w:vAlign w:val="center"/>
            <w:hideMark/>
          </w:tcPr>
          <w:p w14:paraId="1ED4D416" w14:textId="77777777" w:rsidR="007E1BE7" w:rsidRPr="007E1BE7" w:rsidRDefault="007E1BE7" w:rsidP="007E1BE7">
            <w:pPr>
              <w:spacing w:line="240" w:lineRule="auto"/>
              <w:jc w:val="right"/>
              <w:rPr>
                <w:rFonts w:eastAsia="Times New Roman" w:cs="Calibri"/>
              </w:rPr>
            </w:pPr>
            <w:r w:rsidRPr="007E1BE7">
              <w:rPr>
                <w:rFonts w:eastAsia="Times New Roman" w:cs="Calibri"/>
              </w:rPr>
              <w:t>2024</w:t>
            </w:r>
          </w:p>
        </w:tc>
        <w:tc>
          <w:tcPr>
            <w:tcW w:w="1176" w:type="dxa"/>
            <w:tcBorders>
              <w:top w:val="nil"/>
              <w:left w:val="nil"/>
              <w:bottom w:val="single" w:sz="8" w:space="0" w:color="FFD966"/>
              <w:right w:val="single" w:sz="8" w:space="0" w:color="FFD966"/>
            </w:tcBorders>
            <w:shd w:val="clear" w:color="000000" w:fill="D9E1F2"/>
            <w:noWrap/>
            <w:vAlign w:val="center"/>
            <w:hideMark/>
          </w:tcPr>
          <w:p w14:paraId="65D90FFB" w14:textId="77777777" w:rsidR="007E1BE7" w:rsidRPr="007E1BE7" w:rsidRDefault="007E1BE7" w:rsidP="007E1BE7">
            <w:pPr>
              <w:spacing w:line="240" w:lineRule="auto"/>
              <w:jc w:val="right"/>
              <w:rPr>
                <w:rFonts w:eastAsia="Times New Roman" w:cs="Calibri"/>
              </w:rPr>
            </w:pPr>
            <w:r w:rsidRPr="007E1BE7">
              <w:rPr>
                <w:rFonts w:eastAsia="Times New Roman" w:cs="Calibri"/>
              </w:rPr>
              <w:t>2025</w:t>
            </w:r>
          </w:p>
        </w:tc>
        <w:tc>
          <w:tcPr>
            <w:tcW w:w="1176" w:type="dxa"/>
            <w:tcBorders>
              <w:top w:val="nil"/>
              <w:left w:val="nil"/>
              <w:bottom w:val="single" w:sz="8" w:space="0" w:color="FFD966"/>
              <w:right w:val="single" w:sz="8" w:space="0" w:color="FFD966"/>
            </w:tcBorders>
            <w:shd w:val="clear" w:color="000000" w:fill="D9E1F2"/>
            <w:noWrap/>
            <w:vAlign w:val="center"/>
            <w:hideMark/>
          </w:tcPr>
          <w:p w14:paraId="5346EEAB" w14:textId="77777777" w:rsidR="007E1BE7" w:rsidRPr="007E1BE7" w:rsidRDefault="007E1BE7" w:rsidP="007E1BE7">
            <w:pPr>
              <w:spacing w:line="240" w:lineRule="auto"/>
              <w:jc w:val="right"/>
              <w:rPr>
                <w:rFonts w:eastAsia="Times New Roman" w:cs="Calibri"/>
              </w:rPr>
            </w:pPr>
            <w:r w:rsidRPr="007E1BE7">
              <w:rPr>
                <w:rFonts w:eastAsia="Times New Roman" w:cs="Calibri"/>
              </w:rPr>
              <w:t>2026</w:t>
            </w:r>
          </w:p>
        </w:tc>
        <w:tc>
          <w:tcPr>
            <w:tcW w:w="1176" w:type="dxa"/>
            <w:tcBorders>
              <w:top w:val="nil"/>
              <w:left w:val="nil"/>
              <w:bottom w:val="single" w:sz="8" w:space="0" w:color="FFD966"/>
              <w:right w:val="single" w:sz="8" w:space="0" w:color="FFD966"/>
            </w:tcBorders>
            <w:shd w:val="clear" w:color="000000" w:fill="D9E1F2"/>
            <w:noWrap/>
            <w:vAlign w:val="center"/>
            <w:hideMark/>
          </w:tcPr>
          <w:p w14:paraId="633EF1D5" w14:textId="77777777" w:rsidR="007E1BE7" w:rsidRPr="007E1BE7" w:rsidRDefault="007E1BE7" w:rsidP="007E1BE7">
            <w:pPr>
              <w:spacing w:line="240" w:lineRule="auto"/>
              <w:jc w:val="right"/>
              <w:rPr>
                <w:rFonts w:eastAsia="Times New Roman" w:cs="Calibri"/>
              </w:rPr>
            </w:pPr>
            <w:r w:rsidRPr="007E1BE7">
              <w:rPr>
                <w:rFonts w:eastAsia="Times New Roman" w:cs="Calibri"/>
              </w:rPr>
              <w:t>2027</w:t>
            </w:r>
          </w:p>
        </w:tc>
        <w:tc>
          <w:tcPr>
            <w:tcW w:w="1337" w:type="dxa"/>
            <w:tcBorders>
              <w:top w:val="nil"/>
              <w:left w:val="nil"/>
              <w:bottom w:val="single" w:sz="8" w:space="0" w:color="FFD966"/>
              <w:right w:val="single" w:sz="12" w:space="0" w:color="FFD966"/>
            </w:tcBorders>
            <w:shd w:val="clear" w:color="000000" w:fill="D9E1F2"/>
            <w:noWrap/>
            <w:vAlign w:val="center"/>
            <w:hideMark/>
          </w:tcPr>
          <w:p w14:paraId="00D05ECF" w14:textId="77777777" w:rsidR="007E1BE7" w:rsidRPr="007E1BE7" w:rsidRDefault="007E1BE7" w:rsidP="007E1BE7">
            <w:pPr>
              <w:spacing w:line="240" w:lineRule="auto"/>
              <w:jc w:val="right"/>
              <w:rPr>
                <w:rFonts w:eastAsia="Times New Roman" w:cs="Calibri"/>
                <w:b/>
                <w:bCs/>
                <w:i/>
                <w:iCs/>
              </w:rPr>
            </w:pPr>
            <w:r w:rsidRPr="007E1BE7">
              <w:rPr>
                <w:rFonts w:eastAsia="Times New Roman" w:cs="Calibri"/>
                <w:b/>
                <w:bCs/>
                <w:i/>
                <w:iCs/>
              </w:rPr>
              <w:t>Total</w:t>
            </w:r>
          </w:p>
        </w:tc>
      </w:tr>
      <w:tr w:rsidR="007E1BE7" w:rsidRPr="007E1BE7" w14:paraId="5F70F989" w14:textId="77777777" w:rsidTr="00672E3E">
        <w:trPr>
          <w:trHeight w:val="248"/>
        </w:trPr>
        <w:tc>
          <w:tcPr>
            <w:tcW w:w="1147" w:type="dxa"/>
            <w:tcBorders>
              <w:top w:val="nil"/>
              <w:left w:val="single" w:sz="12" w:space="0" w:color="FFD966"/>
              <w:bottom w:val="single" w:sz="12" w:space="0" w:color="FFD966"/>
              <w:right w:val="single" w:sz="8" w:space="0" w:color="FFD966"/>
            </w:tcBorders>
            <w:shd w:val="clear" w:color="auto" w:fill="auto"/>
            <w:noWrap/>
            <w:vAlign w:val="center"/>
            <w:hideMark/>
          </w:tcPr>
          <w:p w14:paraId="1415F07A" w14:textId="77777777" w:rsidR="007E1BE7" w:rsidRPr="007E1BE7" w:rsidRDefault="007E1BE7" w:rsidP="007E1BE7">
            <w:pPr>
              <w:spacing w:line="240" w:lineRule="auto"/>
              <w:rPr>
                <w:rFonts w:eastAsia="Times New Roman" w:cs="Calibri"/>
                <w:b/>
                <w:bCs/>
                <w:i/>
                <w:iCs/>
                <w:color w:val="000000"/>
              </w:rPr>
            </w:pPr>
            <w:r w:rsidRPr="007E1BE7">
              <w:rPr>
                <w:rFonts w:eastAsia="Times New Roman" w:cs="Calibri"/>
                <w:b/>
                <w:bCs/>
                <w:i/>
                <w:iCs/>
                <w:color w:val="000000"/>
              </w:rPr>
              <w:t>Amount</w:t>
            </w:r>
          </w:p>
        </w:tc>
        <w:tc>
          <w:tcPr>
            <w:tcW w:w="1176" w:type="dxa"/>
            <w:tcBorders>
              <w:top w:val="nil"/>
              <w:left w:val="nil"/>
              <w:bottom w:val="single" w:sz="12" w:space="0" w:color="FFD966"/>
              <w:right w:val="single" w:sz="8" w:space="0" w:color="FFD966"/>
            </w:tcBorders>
            <w:shd w:val="clear" w:color="auto" w:fill="auto"/>
            <w:noWrap/>
            <w:vAlign w:val="center"/>
            <w:hideMark/>
          </w:tcPr>
          <w:p w14:paraId="28B74439"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$750,000 </w:t>
            </w:r>
          </w:p>
        </w:tc>
        <w:tc>
          <w:tcPr>
            <w:tcW w:w="1176" w:type="dxa"/>
            <w:tcBorders>
              <w:top w:val="nil"/>
              <w:left w:val="nil"/>
              <w:bottom w:val="single" w:sz="12" w:space="0" w:color="FFD966"/>
              <w:right w:val="single" w:sz="8" w:space="0" w:color="FFD966"/>
            </w:tcBorders>
            <w:shd w:val="clear" w:color="auto" w:fill="auto"/>
            <w:noWrap/>
            <w:vAlign w:val="center"/>
            <w:hideMark/>
          </w:tcPr>
          <w:p w14:paraId="19C118A0"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$767,000 </w:t>
            </w:r>
          </w:p>
        </w:tc>
        <w:tc>
          <w:tcPr>
            <w:tcW w:w="1176" w:type="dxa"/>
            <w:tcBorders>
              <w:top w:val="nil"/>
              <w:left w:val="nil"/>
              <w:bottom w:val="single" w:sz="12" w:space="0" w:color="FFD966"/>
              <w:right w:val="single" w:sz="8" w:space="0" w:color="FFD966"/>
            </w:tcBorders>
            <w:shd w:val="clear" w:color="auto" w:fill="auto"/>
            <w:noWrap/>
            <w:vAlign w:val="center"/>
            <w:hideMark/>
          </w:tcPr>
          <w:p w14:paraId="1FDA6467"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$783,000 </w:t>
            </w:r>
          </w:p>
        </w:tc>
        <w:tc>
          <w:tcPr>
            <w:tcW w:w="1176" w:type="dxa"/>
            <w:tcBorders>
              <w:top w:val="nil"/>
              <w:left w:val="nil"/>
              <w:bottom w:val="single" w:sz="12" w:space="0" w:color="FFD966"/>
              <w:right w:val="single" w:sz="8" w:space="0" w:color="FFD966"/>
            </w:tcBorders>
            <w:shd w:val="clear" w:color="auto" w:fill="auto"/>
            <w:noWrap/>
            <w:vAlign w:val="center"/>
            <w:hideMark/>
          </w:tcPr>
          <w:p w14:paraId="184A98B0"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$801,000 </w:t>
            </w:r>
          </w:p>
        </w:tc>
        <w:tc>
          <w:tcPr>
            <w:tcW w:w="1176" w:type="dxa"/>
            <w:tcBorders>
              <w:top w:val="nil"/>
              <w:left w:val="nil"/>
              <w:bottom w:val="single" w:sz="12" w:space="0" w:color="FFD966"/>
              <w:right w:val="single" w:sz="8" w:space="0" w:color="FFD966"/>
            </w:tcBorders>
            <w:shd w:val="clear" w:color="auto" w:fill="auto"/>
            <w:noWrap/>
            <w:vAlign w:val="center"/>
            <w:hideMark/>
          </w:tcPr>
          <w:p w14:paraId="00D0668B"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$818,000 </w:t>
            </w:r>
          </w:p>
        </w:tc>
        <w:tc>
          <w:tcPr>
            <w:tcW w:w="1176" w:type="dxa"/>
            <w:tcBorders>
              <w:top w:val="nil"/>
              <w:left w:val="nil"/>
              <w:bottom w:val="single" w:sz="12" w:space="0" w:color="FFD966"/>
              <w:right w:val="single" w:sz="8" w:space="0" w:color="FFD966"/>
            </w:tcBorders>
            <w:shd w:val="clear" w:color="auto" w:fill="auto"/>
            <w:noWrap/>
            <w:vAlign w:val="center"/>
            <w:hideMark/>
          </w:tcPr>
          <w:p w14:paraId="55FA845D"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$836,000 </w:t>
            </w:r>
          </w:p>
        </w:tc>
        <w:tc>
          <w:tcPr>
            <w:tcW w:w="1337" w:type="dxa"/>
            <w:tcBorders>
              <w:top w:val="nil"/>
              <w:left w:val="nil"/>
              <w:bottom w:val="single" w:sz="12" w:space="0" w:color="FFD966"/>
              <w:right w:val="single" w:sz="12" w:space="0" w:color="FFD966"/>
            </w:tcBorders>
            <w:shd w:val="clear" w:color="auto" w:fill="auto"/>
            <w:noWrap/>
            <w:vAlign w:val="center"/>
            <w:hideMark/>
          </w:tcPr>
          <w:p w14:paraId="06B4C187" w14:textId="77777777" w:rsidR="007E1BE7" w:rsidRPr="007E1BE7" w:rsidRDefault="007E1BE7" w:rsidP="007E1BE7">
            <w:pPr>
              <w:spacing w:line="240" w:lineRule="auto"/>
              <w:jc w:val="right"/>
              <w:rPr>
                <w:rFonts w:eastAsia="Times New Roman" w:cs="Calibri"/>
                <w:b/>
                <w:bCs/>
                <w:color w:val="000000"/>
              </w:rPr>
            </w:pPr>
            <w:r w:rsidRPr="007E1BE7">
              <w:rPr>
                <w:rFonts w:eastAsia="Times New Roman" w:cs="Calibri"/>
                <w:b/>
                <w:bCs/>
                <w:color w:val="000000"/>
              </w:rPr>
              <w:t xml:space="preserve">$4,755,000 </w:t>
            </w:r>
          </w:p>
        </w:tc>
      </w:tr>
    </w:tbl>
    <w:p w14:paraId="7B9750B8" w14:textId="77777777" w:rsidR="007E1BE7" w:rsidRDefault="007E1BE7" w:rsidP="009E31B8">
      <w:pPr>
        <w:spacing w:line="240" w:lineRule="auto"/>
        <w:textAlignment w:val="baseline"/>
        <w:rPr>
          <w:rFonts w:eastAsia="Times New Roman" w:cs="Calibri"/>
          <w:b/>
          <w:bCs/>
        </w:rPr>
      </w:pPr>
    </w:p>
    <w:p w14:paraId="4F231B4E" w14:textId="41840B96" w:rsidR="009E31B8" w:rsidRPr="002760A4" w:rsidRDefault="009E31B8" w:rsidP="003420B4">
      <w:pPr>
        <w:textAlignment w:val="baseline"/>
        <w:rPr>
          <w:rFonts w:ascii="Segoe UI" w:eastAsia="Times New Roman" w:hAnsi="Segoe UI" w:cs="Segoe UI"/>
          <w:b/>
          <w:bCs/>
        </w:rPr>
      </w:pPr>
      <w:r w:rsidRPr="002760A4">
        <w:rPr>
          <w:rFonts w:eastAsia="Times New Roman" w:cs="Calibri"/>
          <w:b/>
          <w:bCs/>
        </w:rPr>
        <w:t>Description: </w:t>
      </w:r>
    </w:p>
    <w:p w14:paraId="10DB5DAD" w14:textId="52AED232" w:rsidR="009E31B8" w:rsidRPr="002760A4" w:rsidRDefault="009E31B8" w:rsidP="003420B4">
      <w:pPr>
        <w:textAlignment w:val="baseline"/>
        <w:rPr>
          <w:rFonts w:eastAsia="Times New Roman" w:cs="Calibri"/>
          <w:color w:val="000000"/>
        </w:rPr>
      </w:pPr>
      <w:r w:rsidRPr="002760A4">
        <w:rPr>
          <w:rFonts w:eastAsia="Times New Roman" w:cs="Calibri"/>
        </w:rPr>
        <w:t>Communities of color have long been charting the path forward on environmental justice</w:t>
      </w:r>
      <w:r w:rsidR="0030717C">
        <w:rPr>
          <w:rFonts w:eastAsia="Times New Roman" w:cs="Calibri"/>
        </w:rPr>
        <w:t xml:space="preserve">. </w:t>
      </w:r>
      <w:r w:rsidR="0030717C">
        <w:rPr>
          <w:rFonts w:eastAsia="Times New Roman" w:cs="Calibri"/>
          <w:color w:val="000000"/>
        </w:rPr>
        <w:t>T</w:t>
      </w:r>
      <w:r w:rsidR="003A0827">
        <w:rPr>
          <w:rFonts w:eastAsia="Times New Roman" w:cs="Calibri"/>
          <w:color w:val="000000"/>
        </w:rPr>
        <w:t>h</w:t>
      </w:r>
      <w:r w:rsidR="0030717C">
        <w:rPr>
          <w:rFonts w:eastAsia="Times New Roman" w:cs="Calibri"/>
          <w:color w:val="000000"/>
        </w:rPr>
        <w:t>e</w:t>
      </w:r>
      <w:r w:rsidRPr="002760A4">
        <w:rPr>
          <w:rFonts w:eastAsia="Times New Roman" w:cs="Calibri"/>
          <w:color w:val="000000"/>
        </w:rPr>
        <w:t xml:space="preserve"> Lead and Toxics Program (LTP) builds on </w:t>
      </w:r>
      <w:r>
        <w:rPr>
          <w:rFonts w:eastAsia="Times New Roman" w:cs="Calibri"/>
          <w:color w:val="000000"/>
        </w:rPr>
        <w:t>this</w:t>
      </w:r>
      <w:r w:rsidRPr="002760A4">
        <w:rPr>
          <w:rFonts w:eastAsia="Times New Roman" w:cs="Calibri"/>
          <w:color w:val="000000"/>
        </w:rPr>
        <w:t xml:space="preserve"> leadership to prevent childhood lead poisoning, identify and reduce exposures to environmental toxics, and equitably improve health outcomes.</w:t>
      </w:r>
      <w:r w:rsidRPr="002760A4">
        <w:rPr>
          <w:rFonts w:eastAsia="Times New Roman" w:cs="Calibri"/>
        </w:rPr>
        <w:t xml:space="preserve"> </w:t>
      </w:r>
      <w:r w:rsidRPr="002760A4">
        <w:rPr>
          <w:rFonts w:eastAsia="Times New Roman" w:cs="Calibri"/>
          <w:color w:val="000000"/>
        </w:rPr>
        <w:t>LTP successfully leveraged $2M in federal Centers for Disease Control Childhood Lead Poisoning Program Prevention Program (CLPPP)</w:t>
      </w:r>
      <w:r>
        <w:rPr>
          <w:rStyle w:val="FootnoteReference"/>
          <w:rFonts w:eastAsia="Times New Roman" w:cs="Calibri"/>
          <w:color w:val="000000"/>
        </w:rPr>
        <w:footnoteReference w:id="159"/>
      </w:r>
      <w:r w:rsidRPr="002760A4">
        <w:rPr>
          <w:rFonts w:eastAsia="Times New Roman" w:cs="Calibri"/>
          <w:color w:val="000000"/>
        </w:rPr>
        <w:t xml:space="preserve"> grant funds to sustain and integrate activities across </w:t>
      </w:r>
      <w:r w:rsidRPr="002760A4">
        <w:rPr>
          <w:rFonts w:eastAsia="Times New Roman" w:cs="Calibri"/>
          <w:i/>
          <w:iCs/>
          <w:color w:val="000000"/>
        </w:rPr>
        <w:t xml:space="preserve">Best Starts </w:t>
      </w:r>
      <w:r w:rsidRPr="002760A4">
        <w:rPr>
          <w:rFonts w:eastAsia="Times New Roman" w:cs="Calibri"/>
          <w:color w:val="000000"/>
        </w:rPr>
        <w:t xml:space="preserve">strategies, with a focus on communities most historically impacted by health inequities. </w:t>
      </w:r>
    </w:p>
    <w:p w14:paraId="4AA55D42" w14:textId="77777777" w:rsidR="009E31B8" w:rsidRPr="002760A4" w:rsidRDefault="009E31B8" w:rsidP="003420B4">
      <w:pPr>
        <w:textAlignment w:val="baseline"/>
        <w:rPr>
          <w:rFonts w:eastAsia="Times New Roman" w:cs="Calibri"/>
          <w:color w:val="000000"/>
        </w:rPr>
      </w:pPr>
    </w:p>
    <w:p w14:paraId="44F79BA5" w14:textId="77B7B95E" w:rsidR="009E31B8" w:rsidRDefault="009E31B8" w:rsidP="003420B4">
      <w:pPr>
        <w:textAlignment w:val="baseline"/>
        <w:rPr>
          <w:rFonts w:eastAsia="Times New Roman" w:cs="Calibri"/>
          <w:b/>
          <w:bCs/>
          <w:color w:val="000000"/>
        </w:rPr>
      </w:pPr>
      <w:bookmarkStart w:id="66" w:name="_Hlk74141236"/>
      <w:r w:rsidRPr="002760A4">
        <w:rPr>
          <w:rFonts w:eastAsia="Times New Roman" w:cs="Calibri"/>
          <w:b/>
          <w:bCs/>
          <w:color w:val="000000"/>
        </w:rPr>
        <w:t xml:space="preserve">Planned Refinements in </w:t>
      </w:r>
      <w:r w:rsidR="00BD68F0" w:rsidRPr="00C228EC">
        <w:rPr>
          <w:rFonts w:eastAsia="Times New Roman" w:cs="Calibri"/>
          <w:b/>
          <w:bCs/>
          <w:i/>
          <w:iCs/>
          <w:color w:val="000000"/>
        </w:rPr>
        <w:t>Best Starts for Kids</w:t>
      </w:r>
      <w:r w:rsidR="00BD68F0" w:rsidRPr="00BD68F0">
        <w:rPr>
          <w:rFonts w:eastAsia="Times New Roman" w:cs="Calibri"/>
          <w:b/>
          <w:bCs/>
          <w:color w:val="000000"/>
        </w:rPr>
        <w:t xml:space="preserve"> 2022-2027</w:t>
      </w:r>
      <w:r w:rsidR="00C228EC">
        <w:rPr>
          <w:rFonts w:eastAsia="Times New Roman" w:cs="Calibri"/>
          <w:b/>
          <w:bCs/>
          <w:color w:val="000000"/>
        </w:rPr>
        <w:t>:</w:t>
      </w:r>
    </w:p>
    <w:bookmarkEnd w:id="66"/>
    <w:p w14:paraId="6A1AEDA5" w14:textId="77777777"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Pr>
          <w:rFonts w:eastAsia="Times New Roman" w:cs="Calibri"/>
        </w:rPr>
        <w:t xml:space="preserve">Use data and community-led program evaluation to inform </w:t>
      </w:r>
      <w:r w:rsidRPr="004C72A9">
        <w:rPr>
          <w:rFonts w:eastAsia="Times New Roman" w:cs="Calibri"/>
        </w:rPr>
        <w:t xml:space="preserve">policy </w:t>
      </w:r>
      <w:r>
        <w:rPr>
          <w:rFonts w:eastAsia="Times New Roman" w:cs="Calibri"/>
        </w:rPr>
        <w:t>and program activities and implement BIPOC community-driven priorities.</w:t>
      </w:r>
    </w:p>
    <w:p w14:paraId="261BB194" w14:textId="525421DF" w:rsidR="009E31B8" w:rsidRPr="004B20F2" w:rsidRDefault="009E31B8" w:rsidP="003420B4">
      <w:pPr>
        <w:pStyle w:val="ListParagraph"/>
        <w:numPr>
          <w:ilvl w:val="0"/>
          <w:numId w:val="37"/>
        </w:numPr>
        <w:ind w:left="763"/>
        <w:contextualSpacing w:val="0"/>
        <w:textAlignment w:val="baseline"/>
        <w:rPr>
          <w:rFonts w:eastAsia="Times New Roman" w:cs="Calibri"/>
          <w:b/>
          <w:bCs/>
          <w:color w:val="000000"/>
        </w:rPr>
      </w:pPr>
      <w:r>
        <w:rPr>
          <w:rFonts w:eastAsia="Times New Roman" w:cs="Calibri"/>
        </w:rPr>
        <w:t xml:space="preserve">Improve surveillance to </w:t>
      </w:r>
      <w:r w:rsidR="00C31472">
        <w:rPr>
          <w:rFonts w:eastAsia="Times New Roman" w:cs="Calibri"/>
        </w:rPr>
        <w:t>eliminate</w:t>
      </w:r>
      <w:r>
        <w:rPr>
          <w:rFonts w:eastAsia="Times New Roman" w:cs="Calibri"/>
        </w:rPr>
        <w:t xml:space="preserve"> child blood testing gaps and sources of exposure, and p</w:t>
      </w:r>
      <w:r w:rsidRPr="004C72A9">
        <w:rPr>
          <w:rFonts w:eastAsia="Times New Roman" w:cs="Calibri"/>
        </w:rPr>
        <w:t xml:space="preserve">artner with medical systems, providers, and families to </w:t>
      </w:r>
      <w:r>
        <w:rPr>
          <w:rFonts w:eastAsia="Times New Roman" w:cs="Calibri"/>
        </w:rPr>
        <w:t>ensure</w:t>
      </w:r>
      <w:r w:rsidRPr="004C72A9">
        <w:rPr>
          <w:rFonts w:eastAsia="Times New Roman" w:cs="Calibri"/>
        </w:rPr>
        <w:t xml:space="preserve"> all children receive appropriate blood lead testing.</w:t>
      </w:r>
      <w:r w:rsidR="00C31472">
        <w:rPr>
          <w:rFonts w:eastAsia="Times New Roman" w:cs="Calibri"/>
        </w:rPr>
        <w:t xml:space="preserve"> </w:t>
      </w:r>
      <w:r w:rsidR="00600570">
        <w:rPr>
          <w:rFonts w:eastAsia="Times New Roman" w:cs="Calibri"/>
        </w:rPr>
        <w:t>Strengthen</w:t>
      </w:r>
      <w:r w:rsidR="001E2912">
        <w:rPr>
          <w:rFonts w:eastAsia="Times New Roman" w:cs="Calibri"/>
        </w:rPr>
        <w:t xml:space="preserve"> referral system</w:t>
      </w:r>
      <w:r w:rsidR="00600570">
        <w:rPr>
          <w:rFonts w:eastAsia="Times New Roman" w:cs="Calibri"/>
        </w:rPr>
        <w:t xml:space="preserve">s for culturally appropriate developmental services for lead poisoned children. </w:t>
      </w:r>
    </w:p>
    <w:p w14:paraId="0F783E0E" w14:textId="6641EA17"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sidRPr="004C72A9">
        <w:rPr>
          <w:rFonts w:eastAsia="Times New Roman" w:cs="Calibri"/>
        </w:rPr>
        <w:t>Deliver resources and consultation to reduce, eliminate, and replace sources of toxic exposures</w:t>
      </w:r>
      <w:r>
        <w:rPr>
          <w:rFonts w:eastAsia="Times New Roman" w:cs="Calibri"/>
        </w:rPr>
        <w:t>, and develop publicly available community education materials and training resources</w:t>
      </w:r>
      <w:r w:rsidR="0074741B">
        <w:rPr>
          <w:rFonts w:eastAsia="Times New Roman" w:cs="Calibri"/>
        </w:rPr>
        <w:t xml:space="preserve"> including </w:t>
      </w:r>
      <w:r w:rsidR="009B6E3B">
        <w:rPr>
          <w:rFonts w:eastAsia="Times New Roman" w:cs="Calibri"/>
        </w:rPr>
        <w:t xml:space="preserve">child care centers and new family homes. </w:t>
      </w:r>
    </w:p>
    <w:p w14:paraId="12F156E9" w14:textId="3DEE954F"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Pr>
          <w:rFonts w:eastAsia="Times New Roman" w:cs="Calibri"/>
        </w:rPr>
        <w:t xml:space="preserve">Integrate LTP activities in </w:t>
      </w:r>
      <w:r w:rsidR="00DF0580">
        <w:rPr>
          <w:rFonts w:eastAsia="Times New Roman" w:cs="Calibri"/>
        </w:rPr>
        <w:t>other</w:t>
      </w:r>
      <w:r>
        <w:rPr>
          <w:rFonts w:eastAsia="Times New Roman" w:cs="Calibri"/>
        </w:rPr>
        <w:t xml:space="preserve"> </w:t>
      </w:r>
      <w:r>
        <w:rPr>
          <w:rFonts w:eastAsia="Times New Roman" w:cs="Calibri"/>
          <w:i/>
          <w:iCs/>
        </w:rPr>
        <w:t xml:space="preserve">Best Starts </w:t>
      </w:r>
      <w:r>
        <w:rPr>
          <w:rFonts w:eastAsia="Times New Roman" w:cs="Calibri"/>
        </w:rPr>
        <w:t xml:space="preserve">strategies, including providing </w:t>
      </w:r>
      <w:r w:rsidRPr="004C72A9">
        <w:rPr>
          <w:rFonts w:eastAsia="Times New Roman" w:cs="Calibri"/>
        </w:rPr>
        <w:t xml:space="preserve">consultation and trainings across King County home visiting programs </w:t>
      </w:r>
      <w:r>
        <w:rPr>
          <w:rFonts w:eastAsia="Times New Roman" w:cs="Calibri"/>
        </w:rPr>
        <w:t xml:space="preserve">and partnering with ESIT to </w:t>
      </w:r>
      <w:r w:rsidRPr="004C72A9">
        <w:rPr>
          <w:rFonts w:eastAsia="Times New Roman" w:cs="Calibri"/>
        </w:rPr>
        <w:t>provide a model for assessing blood lead level testing status of children referred for developmental services.</w:t>
      </w:r>
    </w:p>
    <w:p w14:paraId="4F9FE87C" w14:textId="77777777"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sidRPr="00260ACB">
        <w:rPr>
          <w:rFonts w:eastAsia="Times New Roman" w:cs="Calibri"/>
        </w:rPr>
        <w:t>Develop</w:t>
      </w:r>
      <w:r w:rsidRPr="004C72A9">
        <w:rPr>
          <w:rFonts w:eastAsia="Times New Roman" w:cs="Calibri"/>
        </w:rPr>
        <w:t xml:space="preserve"> and implement a Medical Legal Partnership to address healthy housing and other policies, laws, and systems at the root of health inequities affecting King County families. </w:t>
      </w:r>
    </w:p>
    <w:p w14:paraId="44A6AD98" w14:textId="77777777" w:rsidR="009E31B8" w:rsidRPr="002760A4" w:rsidRDefault="009E31B8" w:rsidP="003420B4">
      <w:pPr>
        <w:shd w:val="clear" w:color="auto" w:fill="FFFFFF"/>
        <w:textAlignment w:val="baseline"/>
        <w:rPr>
          <w:rFonts w:eastAsia="Times New Roman" w:cs="Calibri"/>
        </w:rPr>
      </w:pPr>
      <w:r w:rsidRPr="002760A4">
        <w:rPr>
          <w:rFonts w:eastAsia="Times New Roman" w:cs="Calibri"/>
        </w:rPr>
        <w:t> </w:t>
      </w:r>
    </w:p>
    <w:p w14:paraId="495E842C" w14:textId="04D1AF3A" w:rsidR="009E31B8" w:rsidRDefault="00E348E5" w:rsidP="009E31B8">
      <w:pPr>
        <w:contextualSpacing/>
      </w:pPr>
      <w:r w:rsidRPr="005A3C04">
        <w:rPr>
          <w:rFonts w:eastAsia="Times New Roman" w:cs="Calibri"/>
          <w:b/>
          <w:bCs/>
        </w:rPr>
        <w:t xml:space="preserve">Approximate </w:t>
      </w:r>
      <w:r>
        <w:rPr>
          <w:rFonts w:eastAsia="Times New Roman" w:cs="Calibri"/>
          <w:b/>
          <w:bCs/>
        </w:rPr>
        <w:t>Scope:</w:t>
      </w:r>
      <w:r w:rsidR="00393394">
        <w:rPr>
          <w:b/>
          <w:bCs/>
        </w:rPr>
        <w:t xml:space="preserve"> </w:t>
      </w:r>
      <w:r w:rsidR="00393394" w:rsidRPr="004C42B2">
        <w:t>LTP</w:t>
      </w:r>
      <w:r w:rsidR="009A1B80">
        <w:t xml:space="preserve"> anticipates reaching approximately 1,000 children and families annually. </w:t>
      </w:r>
    </w:p>
    <w:p w14:paraId="661F05D6" w14:textId="77777777" w:rsidR="009E31B8" w:rsidRDefault="009E31B8" w:rsidP="009E31B8">
      <w:pPr>
        <w:contextualSpacing/>
      </w:pPr>
    </w:p>
    <w:p w14:paraId="75962F78" w14:textId="2D705683" w:rsidR="009E31B8" w:rsidRPr="00600570" w:rsidRDefault="009E31B8" w:rsidP="009E31B8">
      <w:pPr>
        <w:contextualSpacing/>
      </w:pPr>
      <w:r>
        <w:rPr>
          <w:b/>
          <w:bCs/>
        </w:rPr>
        <w:t>Anticipated Timeline:</w:t>
      </w:r>
      <w:r w:rsidR="00C31472">
        <w:rPr>
          <w:b/>
          <w:bCs/>
        </w:rPr>
        <w:t xml:space="preserve"> </w:t>
      </w:r>
      <w:r w:rsidR="00C31472" w:rsidRPr="00600570">
        <w:t xml:space="preserve">RFP </w:t>
      </w:r>
      <w:r w:rsidR="0082433A">
        <w:t>to be released in</w:t>
      </w:r>
      <w:r w:rsidR="00C31472" w:rsidRPr="00600570">
        <w:t xml:space="preserve"> </w:t>
      </w:r>
      <w:r w:rsidR="006E09E5">
        <w:t>Q</w:t>
      </w:r>
      <w:r w:rsidR="00C31472" w:rsidRPr="00600570">
        <w:t xml:space="preserve">1 2022. </w:t>
      </w:r>
    </w:p>
    <w:p w14:paraId="623BCE0D" w14:textId="77777777" w:rsidR="0026321C" w:rsidRPr="00D03F1F" w:rsidRDefault="0026321C" w:rsidP="005F3393">
      <w:pPr>
        <w:contextualSpacing/>
        <w:rPr>
          <w:rFonts w:eastAsiaTheme="majorEastAsia" w:cs="Calibri"/>
          <w:color w:val="9CC2E5" w:themeColor="accent5" w:themeTint="99"/>
        </w:rPr>
      </w:pPr>
    </w:p>
    <w:p w14:paraId="04088E79" w14:textId="7F44811A" w:rsidR="6847449E" w:rsidRPr="00D03F1F" w:rsidRDefault="6847449E" w:rsidP="00025030">
      <w:pPr>
        <w:pStyle w:val="Heading2"/>
        <w:numPr>
          <w:ilvl w:val="0"/>
          <w:numId w:val="26"/>
        </w:numPr>
      </w:pPr>
      <w:bookmarkStart w:id="67" w:name="_Sustain_the_Gain"/>
      <w:bookmarkStart w:id="68" w:name="_Toc85188547"/>
      <w:bookmarkEnd w:id="67"/>
      <w:r w:rsidRPr="00D03F1F">
        <w:lastRenderedPageBreak/>
        <w:t xml:space="preserve">Sustain the Gain </w:t>
      </w:r>
      <w:r w:rsidR="00A5423B">
        <w:t>(</w:t>
      </w:r>
      <w:r w:rsidR="00956933">
        <w:t>Five</w:t>
      </w:r>
      <w:r w:rsidR="00847975">
        <w:t xml:space="preserve"> to </w:t>
      </w:r>
      <w:r w:rsidR="00A5423B">
        <w:t>24)</w:t>
      </w:r>
      <w:bookmarkEnd w:id="68"/>
    </w:p>
    <w:p w14:paraId="5EDC44E5" w14:textId="77777777" w:rsidR="00CD06DA" w:rsidRDefault="00CD06DA" w:rsidP="00CD06DA"/>
    <w:p w14:paraId="274804DD" w14:textId="3EC42CC6" w:rsidR="00E51762" w:rsidRPr="00E51762" w:rsidRDefault="00E3510D" w:rsidP="00E51762">
      <w:pPr>
        <w:rPr>
          <w:rFonts w:asciiTheme="minorHAnsi" w:hAnsiTheme="minorHAnsi" w:cstheme="minorHAnsi"/>
          <w:vertAlign w:val="superscript"/>
        </w:rPr>
      </w:pPr>
      <w:bookmarkStart w:id="69" w:name="_Hlk74691326"/>
      <w:r w:rsidRPr="00771FB0">
        <w:rPr>
          <w:rFonts w:asciiTheme="minorHAnsi" w:hAnsiTheme="minorHAnsi" w:cstheme="minorHAnsi"/>
        </w:rPr>
        <w:t>Research shows that promotion and prevention efforts, made during key developmental stages or transition points in a young person’s life, can sustain earlier gains.</w:t>
      </w:r>
      <w:r w:rsidRPr="00771FB0">
        <w:rPr>
          <w:rStyle w:val="FootnoteReference"/>
          <w:rFonts w:asciiTheme="minorHAnsi" w:hAnsiTheme="minorHAnsi" w:cstheme="minorHAnsi"/>
        </w:rPr>
        <w:footnoteReference w:id="160"/>
      </w:r>
      <w:r w:rsidRPr="00554710">
        <w:rPr>
          <w:rFonts w:asciiTheme="minorHAnsi" w:hAnsiTheme="minorHAnsi" w:cstheme="minorHAnsi"/>
        </w:rPr>
        <w:t xml:space="preserve"> The Sustain the Gain strategy area supports programs that empower youth; support social-emotional development, </w:t>
      </w:r>
      <w:r w:rsidR="00F31CF9">
        <w:rPr>
          <w:rFonts w:asciiTheme="minorHAnsi" w:hAnsiTheme="minorHAnsi" w:cstheme="minorHAnsi"/>
        </w:rPr>
        <w:t xml:space="preserve">mental wellbeing, </w:t>
      </w:r>
      <w:r w:rsidRPr="0069353B">
        <w:rPr>
          <w:rFonts w:asciiTheme="minorHAnsi" w:hAnsiTheme="minorHAnsi" w:cstheme="minorHAnsi"/>
        </w:rPr>
        <w:t>positive identity</w:t>
      </w:r>
      <w:r w:rsidRPr="00554710">
        <w:rPr>
          <w:rFonts w:asciiTheme="minorHAnsi" w:hAnsiTheme="minorHAnsi" w:cstheme="minorHAnsi"/>
        </w:rPr>
        <w:t>, health, academics and employability; and provide safe and healthy spaces for youth to connect with peers and supportive adults in and out of school</w:t>
      </w:r>
      <w:bookmarkEnd w:id="69"/>
      <w:r w:rsidRPr="00554710">
        <w:rPr>
          <w:rFonts w:asciiTheme="minorHAnsi" w:hAnsiTheme="minorHAnsi" w:cstheme="minorHAnsi"/>
        </w:rPr>
        <w:t>.</w:t>
      </w:r>
      <w:r w:rsidR="00CF44D5">
        <w:rPr>
          <w:rStyle w:val="FootnoteReference"/>
          <w:rFonts w:asciiTheme="minorHAnsi" w:hAnsiTheme="minorHAnsi" w:cstheme="minorHAnsi"/>
        </w:rPr>
        <w:footnoteReference w:id="161"/>
      </w:r>
      <w:r w:rsidR="00B20346">
        <w:rPr>
          <w:rFonts w:asciiTheme="minorHAnsi" w:hAnsiTheme="minorHAnsi" w:cstheme="minorHAnsi"/>
          <w:vertAlign w:val="superscript"/>
        </w:rPr>
        <w:t>,</w:t>
      </w:r>
      <w:r w:rsidR="00B20346">
        <w:rPr>
          <w:rStyle w:val="FootnoteReference"/>
          <w:rFonts w:asciiTheme="minorHAnsi" w:hAnsiTheme="minorHAnsi" w:cstheme="minorHAnsi"/>
        </w:rPr>
        <w:footnoteReference w:id="162"/>
      </w:r>
    </w:p>
    <w:p w14:paraId="37BEE5FC" w14:textId="77777777" w:rsidR="00D4216E" w:rsidRDefault="00D4216E" w:rsidP="00E3510D">
      <w:pPr>
        <w:rPr>
          <w:rFonts w:asciiTheme="minorHAnsi" w:hAnsiTheme="minorHAnsi" w:cstheme="minorHAnsi"/>
          <w:vertAlign w:val="superscript"/>
        </w:rPr>
      </w:pPr>
    </w:p>
    <w:p w14:paraId="1C882C21" w14:textId="14510497" w:rsidR="00D4216E" w:rsidRDefault="00D4216E" w:rsidP="00D4216E">
      <w:pPr>
        <w:rPr>
          <w:rFonts w:eastAsia="Calibri" w:cs="Calibri"/>
          <w:color w:val="000000" w:themeColor="text1"/>
        </w:rPr>
      </w:pPr>
      <w:r w:rsidRPr="00D03F1F">
        <w:rPr>
          <w:rFonts w:eastAsia="Calibri" w:cs="Calibri"/>
          <w:color w:val="000000" w:themeColor="text1"/>
        </w:rPr>
        <w:t xml:space="preserve">To sustain the </w:t>
      </w:r>
      <w:r>
        <w:rPr>
          <w:rFonts w:eastAsia="Calibri" w:cs="Calibri"/>
          <w:color w:val="000000" w:themeColor="text1"/>
        </w:rPr>
        <w:t xml:space="preserve">gains made for </w:t>
      </w:r>
      <w:r w:rsidRPr="00D03F1F">
        <w:rPr>
          <w:rFonts w:eastAsia="Calibri" w:cs="Calibri"/>
          <w:color w:val="000000" w:themeColor="text1"/>
        </w:rPr>
        <w:t xml:space="preserve">King County’s youngest children, it is essential </w:t>
      </w:r>
      <w:r w:rsidRPr="00D03F1F" w:rsidDel="4077FBF5">
        <w:rPr>
          <w:rFonts w:eastAsia="Calibri" w:cs="Calibri"/>
          <w:color w:val="000000" w:themeColor="text1"/>
        </w:rPr>
        <w:t xml:space="preserve">to continue </w:t>
      </w:r>
      <w:r>
        <w:rPr>
          <w:rFonts w:eastAsia="Calibri" w:cs="Calibri"/>
          <w:color w:val="000000" w:themeColor="text1"/>
        </w:rPr>
        <w:t xml:space="preserve">programming for </w:t>
      </w:r>
      <w:r w:rsidRPr="00D03F1F">
        <w:rPr>
          <w:rFonts w:eastAsia="Calibri" w:cs="Calibri"/>
          <w:color w:val="000000" w:themeColor="text1"/>
        </w:rPr>
        <w:t xml:space="preserve">children and young people as they grow and develop through age 24. This is consistent with research that shows critical brain development continuing </w:t>
      </w:r>
      <w:r w:rsidRPr="71D2A87E">
        <w:rPr>
          <w:rFonts w:eastAsia="Calibri" w:cs="Calibri"/>
          <w:color w:val="000000" w:themeColor="text1"/>
        </w:rPr>
        <w:t>in</w:t>
      </w:r>
      <w:r w:rsidRPr="00D03F1F">
        <w:rPr>
          <w:rFonts w:eastAsia="Calibri" w:cs="Calibri"/>
          <w:color w:val="000000" w:themeColor="text1"/>
        </w:rPr>
        <w:t xml:space="preserve">to </w:t>
      </w:r>
      <w:r w:rsidRPr="71D2A87E">
        <w:rPr>
          <w:rFonts w:eastAsia="Calibri" w:cs="Calibri"/>
          <w:color w:val="000000" w:themeColor="text1"/>
        </w:rPr>
        <w:t>young adulthood</w:t>
      </w:r>
      <w:r w:rsidRPr="00D03F1F">
        <w:rPr>
          <w:rFonts w:eastAsia="Calibri Light" w:cs="Calibri"/>
          <w:color w:val="000000" w:themeColor="text1"/>
        </w:rPr>
        <w:t>.</w:t>
      </w:r>
      <w:r>
        <w:rPr>
          <w:rStyle w:val="FootnoteReference"/>
          <w:rFonts w:eastAsia="Calibri Light" w:cs="Calibri"/>
          <w:color w:val="000000" w:themeColor="text1"/>
        </w:rPr>
        <w:footnoteReference w:id="163"/>
      </w:r>
      <w:r w:rsidRPr="00D03F1F">
        <w:rPr>
          <w:rFonts w:eastAsia="Calibri" w:cs="Calibri"/>
          <w:color w:val="000000" w:themeColor="text1"/>
        </w:rPr>
        <w:t xml:space="preserve"> </w:t>
      </w:r>
    </w:p>
    <w:p w14:paraId="2F119DF2" w14:textId="77777777" w:rsidR="00D4216E" w:rsidRDefault="00D4216E" w:rsidP="00D4216E">
      <w:pPr>
        <w:rPr>
          <w:rFonts w:eastAsia="Calibri" w:cs="Calibri"/>
          <w:color w:val="000000" w:themeColor="text1"/>
        </w:rPr>
      </w:pPr>
    </w:p>
    <w:p w14:paraId="3A70FC8D" w14:textId="731B9C66" w:rsidR="00E266D8" w:rsidRPr="005E4226" w:rsidRDefault="00E266D8" w:rsidP="00D4216E">
      <w:pPr>
        <w:rPr>
          <w:rFonts w:eastAsia="Calibri" w:cs="Calibri"/>
          <w:b/>
          <w:color w:val="000000" w:themeColor="text1"/>
        </w:rPr>
      </w:pPr>
      <w:r>
        <w:rPr>
          <w:rFonts w:eastAsia="Calibri" w:cs="Calibri"/>
          <w:b/>
          <w:bCs/>
          <w:color w:val="000000" w:themeColor="text1"/>
        </w:rPr>
        <w:t>Mental and Emotional Health</w:t>
      </w:r>
    </w:p>
    <w:p w14:paraId="15BCA166" w14:textId="687AAF0B" w:rsidR="00D4216E" w:rsidRPr="0002428E" w:rsidRDefault="00D4216E" w:rsidP="00D4216E">
      <w:pPr>
        <w:rPr>
          <w:color w:val="000000" w:themeColor="text1"/>
        </w:rPr>
      </w:pPr>
      <w:r w:rsidRPr="00172F72">
        <w:rPr>
          <w:rStyle w:val="normaltextrun"/>
          <w:i/>
          <w:iCs/>
          <w:color w:val="000000" w:themeColor="text1"/>
        </w:rPr>
        <w:t>Best Starts</w:t>
      </w:r>
      <w:r>
        <w:rPr>
          <w:rStyle w:val="normaltextrun"/>
          <w:i/>
          <w:iCs/>
          <w:color w:val="000000" w:themeColor="text1"/>
        </w:rPr>
        <w:t xml:space="preserve">’ </w:t>
      </w:r>
      <w:r>
        <w:rPr>
          <w:rStyle w:val="normaltextrun"/>
          <w:color w:val="000000" w:themeColor="text1"/>
        </w:rPr>
        <w:t>Sustain the Gain strategy area</w:t>
      </w:r>
      <w:r w:rsidRPr="2CBF9701">
        <w:rPr>
          <w:rStyle w:val="normaltextrun"/>
          <w:color w:val="000000" w:themeColor="text1"/>
        </w:rPr>
        <w:t xml:space="preserve"> actively promotes mental health </w:t>
      </w:r>
      <w:r>
        <w:rPr>
          <w:rStyle w:val="normaltextrun"/>
          <w:color w:val="000000" w:themeColor="text1"/>
        </w:rPr>
        <w:t>a</w:t>
      </w:r>
      <w:r>
        <w:t>nd well-being and prevents and mitigates adverse emotional health impacts, including mental health and substance use challenges</w:t>
      </w:r>
      <w:r>
        <w:rPr>
          <w:b/>
          <w:bCs/>
        </w:rPr>
        <w:t>.</w:t>
      </w:r>
      <w:r>
        <w:rPr>
          <w:rStyle w:val="FootnoteReference"/>
          <w:b/>
          <w:bCs/>
        </w:rPr>
        <w:footnoteReference w:id="164"/>
      </w:r>
      <w:r>
        <w:rPr>
          <w:i/>
          <w:iCs/>
        </w:rPr>
        <w:t> </w:t>
      </w:r>
      <w:r w:rsidRPr="2CBF9701">
        <w:rPr>
          <w:rStyle w:val="eop"/>
          <w:color w:val="000000" w:themeColor="text1"/>
        </w:rPr>
        <w:t xml:space="preserve"> </w:t>
      </w:r>
      <w:r w:rsidRPr="00172F72">
        <w:rPr>
          <w:rStyle w:val="eop"/>
          <w:i/>
          <w:iCs/>
          <w:color w:val="000000" w:themeColor="text1"/>
        </w:rPr>
        <w:t>Best Starts’</w:t>
      </w:r>
      <w:r w:rsidRPr="2CBF9701">
        <w:rPr>
          <w:rStyle w:val="eop"/>
          <w:color w:val="000000" w:themeColor="text1"/>
        </w:rPr>
        <w:t xml:space="preserve"> SB:SBIRT and </w:t>
      </w:r>
      <w:r>
        <w:rPr>
          <w:color w:val="000000"/>
        </w:rPr>
        <w:t>School-</w:t>
      </w:r>
      <w:r w:rsidRPr="261F37E9">
        <w:rPr>
          <w:color w:val="000000" w:themeColor="text1"/>
        </w:rPr>
        <w:t>b</w:t>
      </w:r>
      <w:r>
        <w:rPr>
          <w:color w:val="000000"/>
        </w:rPr>
        <w:t xml:space="preserve">ased </w:t>
      </w:r>
      <w:r w:rsidRPr="261F37E9">
        <w:rPr>
          <w:color w:val="000000" w:themeColor="text1"/>
        </w:rPr>
        <w:t>h</w:t>
      </w:r>
      <w:r>
        <w:rPr>
          <w:color w:val="000000"/>
        </w:rPr>
        <w:t xml:space="preserve">ealth </w:t>
      </w:r>
      <w:r w:rsidRPr="261F37E9">
        <w:rPr>
          <w:color w:val="000000" w:themeColor="text1"/>
        </w:rPr>
        <w:t>c</w:t>
      </w:r>
      <w:r>
        <w:rPr>
          <w:color w:val="000000"/>
        </w:rPr>
        <w:t xml:space="preserve">enters (SBHCs) </w:t>
      </w:r>
      <w:r w:rsidRPr="2CBF9701">
        <w:rPr>
          <w:rStyle w:val="eop"/>
          <w:color w:val="000000" w:themeColor="text1"/>
        </w:rPr>
        <w:t xml:space="preserve">strategies provide direct prevention, outreach and early intervention to address mental health and substance use impacts among children and youth. </w:t>
      </w:r>
      <w:r w:rsidRPr="7E1B0B65">
        <w:rPr>
          <w:rStyle w:val="eop"/>
          <w:color w:val="000000" w:themeColor="text1"/>
        </w:rPr>
        <w:t xml:space="preserve">The </w:t>
      </w:r>
      <w:r w:rsidRPr="2CBF9701">
        <w:rPr>
          <w:rStyle w:val="eop"/>
          <w:color w:val="000000" w:themeColor="text1"/>
        </w:rPr>
        <w:t>Liberation and Healing</w:t>
      </w:r>
      <w:r w:rsidRPr="7E1B0B65">
        <w:rPr>
          <w:rStyle w:val="eop"/>
          <w:color w:val="000000" w:themeColor="text1"/>
        </w:rPr>
        <w:t xml:space="preserve"> strategy</w:t>
      </w:r>
      <w:r w:rsidRPr="2CBF9701">
        <w:rPr>
          <w:rStyle w:val="eop"/>
          <w:color w:val="000000" w:themeColor="text1"/>
        </w:rPr>
        <w:t xml:space="preserve"> addresses community trauma and its impacts on young people by promoting strengths-based social and emotional supports. The Community Well-Being Initiative </w:t>
      </w:r>
      <w:r>
        <w:rPr>
          <w:rStyle w:val="eop"/>
          <w:color w:val="000000" w:themeColor="text1"/>
        </w:rPr>
        <w:t xml:space="preserve">(CWI) </w:t>
      </w:r>
      <w:r w:rsidRPr="2CBF9701">
        <w:rPr>
          <w:rStyle w:val="eop"/>
          <w:color w:val="000000" w:themeColor="text1"/>
        </w:rPr>
        <w:t xml:space="preserve">will convene and coordinate </w:t>
      </w:r>
      <w:r w:rsidRPr="00172F72">
        <w:rPr>
          <w:rStyle w:val="eop"/>
          <w:i/>
          <w:iCs/>
          <w:color w:val="000000" w:themeColor="text1"/>
        </w:rPr>
        <w:t>Best Starts</w:t>
      </w:r>
      <w:r w:rsidRPr="2CBF9701">
        <w:rPr>
          <w:rStyle w:val="eop"/>
          <w:color w:val="000000" w:themeColor="text1"/>
        </w:rPr>
        <w:t xml:space="preserve"> efforts related to mental health and well-being</w:t>
      </w:r>
      <w:r>
        <w:rPr>
          <w:rStyle w:val="eop"/>
          <w:color w:val="000000" w:themeColor="text1"/>
        </w:rPr>
        <w:t xml:space="preserve">. </w:t>
      </w:r>
      <w:r w:rsidR="00340C97">
        <w:rPr>
          <w:rStyle w:val="eop"/>
          <w:color w:val="000000" w:themeColor="text1"/>
        </w:rPr>
        <w:t xml:space="preserve">The CWI will </w:t>
      </w:r>
      <w:r w:rsidRPr="2CBF9701">
        <w:rPr>
          <w:rStyle w:val="eop"/>
          <w:color w:val="000000" w:themeColor="text1"/>
        </w:rPr>
        <w:t>connect with other related County efforts</w:t>
      </w:r>
      <w:r>
        <w:rPr>
          <w:rStyle w:val="eop"/>
          <w:color w:val="000000" w:themeColor="text1"/>
        </w:rPr>
        <w:t xml:space="preserve">. Among these are community behavioral health services and interventions administered by DCHS’ Behavioral Health and Recovery Division including services supported by the </w:t>
      </w:r>
      <w:r w:rsidRPr="2CBF9701">
        <w:rPr>
          <w:rStyle w:val="eop"/>
          <w:color w:val="000000" w:themeColor="text1"/>
        </w:rPr>
        <w:t xml:space="preserve">MIDD </w:t>
      </w:r>
      <w:r>
        <w:rPr>
          <w:rStyle w:val="eop"/>
          <w:color w:val="000000" w:themeColor="text1"/>
        </w:rPr>
        <w:t xml:space="preserve">behavioral health sales tax fund, </w:t>
      </w:r>
      <w:r w:rsidR="00946351">
        <w:rPr>
          <w:rStyle w:val="eop"/>
          <w:color w:val="000000" w:themeColor="text1"/>
        </w:rPr>
        <w:t xml:space="preserve">prevention services </w:t>
      </w:r>
      <w:r w:rsidR="00ED3ADF">
        <w:rPr>
          <w:rStyle w:val="eop"/>
          <w:color w:val="000000" w:themeColor="text1"/>
        </w:rPr>
        <w:t xml:space="preserve">provided by the </w:t>
      </w:r>
      <w:r w:rsidR="00946351">
        <w:rPr>
          <w:rStyle w:val="eop"/>
          <w:color w:val="000000" w:themeColor="text1"/>
        </w:rPr>
        <w:t xml:space="preserve"> </w:t>
      </w:r>
      <w:r w:rsidR="00E03F17">
        <w:rPr>
          <w:rStyle w:val="eop"/>
          <w:color w:val="000000" w:themeColor="text1"/>
        </w:rPr>
        <w:t xml:space="preserve">Children, Youth and Young Adult </w:t>
      </w:r>
      <w:r w:rsidR="006B1B93">
        <w:rPr>
          <w:rStyle w:val="eop"/>
          <w:color w:val="000000" w:themeColor="text1"/>
        </w:rPr>
        <w:t xml:space="preserve">Division, </w:t>
      </w:r>
      <w:r>
        <w:rPr>
          <w:rStyle w:val="eop"/>
          <w:color w:val="000000" w:themeColor="text1"/>
        </w:rPr>
        <w:t>as well as</w:t>
      </w:r>
      <w:r w:rsidRPr="2CBF9701">
        <w:rPr>
          <w:rStyle w:val="eop"/>
          <w:color w:val="000000" w:themeColor="text1"/>
        </w:rPr>
        <w:t xml:space="preserve"> </w:t>
      </w:r>
      <w:r>
        <w:rPr>
          <w:rStyle w:val="eop"/>
          <w:color w:val="000000" w:themeColor="text1"/>
        </w:rPr>
        <w:t>addressing behavioral health impacts of the pandemic within</w:t>
      </w:r>
      <w:r w:rsidRPr="2CBF9701">
        <w:rPr>
          <w:rStyle w:val="eop"/>
          <w:color w:val="000000" w:themeColor="text1"/>
        </w:rPr>
        <w:t xml:space="preserve"> Public Health’s COVID</w:t>
      </w:r>
      <w:r>
        <w:rPr>
          <w:rStyle w:val="eop"/>
          <w:color w:val="000000" w:themeColor="text1"/>
        </w:rPr>
        <w:t xml:space="preserve">-related </w:t>
      </w:r>
      <w:r w:rsidRPr="2CBF9701">
        <w:rPr>
          <w:rStyle w:val="eop"/>
          <w:color w:val="000000" w:themeColor="text1"/>
        </w:rPr>
        <w:t>response.</w:t>
      </w:r>
      <w:r>
        <w:rPr>
          <w:rStyle w:val="FootnoteReference"/>
          <w:color w:val="000000" w:themeColor="text1"/>
        </w:rPr>
        <w:footnoteReference w:id="165"/>
      </w:r>
      <w:r>
        <w:rPr>
          <w:rStyle w:val="eop"/>
          <w:color w:val="000000" w:themeColor="text1"/>
          <w:vertAlign w:val="superscript"/>
        </w:rPr>
        <w:t>,</w:t>
      </w:r>
      <w:r>
        <w:rPr>
          <w:rStyle w:val="FootnoteReference"/>
          <w:color w:val="000000" w:themeColor="text1"/>
        </w:rPr>
        <w:footnoteReference w:id="166"/>
      </w:r>
      <w:r w:rsidRPr="2CBF9701">
        <w:rPr>
          <w:rStyle w:val="eop"/>
          <w:color w:val="000000" w:themeColor="text1"/>
        </w:rPr>
        <w:t xml:space="preserve"> </w:t>
      </w:r>
    </w:p>
    <w:p w14:paraId="00887783" w14:textId="77777777" w:rsidR="00D4216E" w:rsidRDefault="00D4216E" w:rsidP="00D4216E">
      <w:pPr>
        <w:rPr>
          <w:rFonts w:eastAsia="Calibri" w:cs="Calibri"/>
          <w:color w:val="000000" w:themeColor="text1"/>
        </w:rPr>
      </w:pPr>
    </w:p>
    <w:p w14:paraId="414EF7D5" w14:textId="554F9871" w:rsidR="00C009D8" w:rsidRPr="005E4226" w:rsidRDefault="00AF6FE8" w:rsidP="00C009D8">
      <w:pPr>
        <w:rPr>
          <w:rFonts w:eastAsia="Calibri" w:cs="Calibri"/>
          <w:b/>
          <w:color w:val="000000" w:themeColor="text1"/>
        </w:rPr>
      </w:pPr>
      <w:r>
        <w:rPr>
          <w:rFonts w:eastAsia="Calibri" w:cs="Calibri"/>
          <w:b/>
          <w:color w:val="000000" w:themeColor="text1"/>
        </w:rPr>
        <w:t>Funding Level Increases and Strategy Name Changes</w:t>
      </w:r>
    </w:p>
    <w:p w14:paraId="0E5D8B93" w14:textId="26F486BF" w:rsidR="00D4216E" w:rsidRPr="00090145" w:rsidRDefault="00D4216E" w:rsidP="00D4216E">
      <w:pPr>
        <w:rPr>
          <w:rFonts w:eastAsia="Calibri" w:cs="Calibri"/>
          <w:color w:val="000000" w:themeColor="text1"/>
        </w:rPr>
      </w:pPr>
      <w:r>
        <w:rPr>
          <w:rFonts w:eastAsia="Calibri" w:cs="Calibri"/>
          <w:color w:val="000000" w:themeColor="text1"/>
        </w:rPr>
        <w:t>To respond to communities’ needs and requests for expanded access to services for school-aged children and transition-age young adults</w:t>
      </w:r>
      <w:r w:rsidR="00923ABA">
        <w:rPr>
          <w:rFonts w:eastAsia="Calibri" w:cs="Calibri"/>
          <w:color w:val="000000" w:themeColor="text1"/>
        </w:rPr>
        <w:t xml:space="preserve"> </w:t>
      </w:r>
      <w:r w:rsidR="00B76564">
        <w:rPr>
          <w:rFonts w:eastAsia="Calibri" w:cs="Calibri"/>
          <w:color w:val="000000" w:themeColor="text1"/>
        </w:rPr>
        <w:t>only amplified</w:t>
      </w:r>
      <w:r w:rsidR="00EF61DD">
        <w:rPr>
          <w:rFonts w:eastAsia="Calibri" w:cs="Calibri"/>
          <w:color w:val="000000" w:themeColor="text1"/>
        </w:rPr>
        <w:t xml:space="preserve"> by CO</w:t>
      </w:r>
      <w:r w:rsidR="00590007">
        <w:rPr>
          <w:rFonts w:eastAsia="Calibri" w:cs="Calibri"/>
          <w:color w:val="000000" w:themeColor="text1"/>
        </w:rPr>
        <w:t>IVD-19</w:t>
      </w:r>
      <w:r>
        <w:rPr>
          <w:rFonts w:eastAsia="Calibri" w:cs="Calibri"/>
          <w:color w:val="000000" w:themeColor="text1"/>
        </w:rPr>
        <w:t xml:space="preserve">, </w:t>
      </w:r>
      <w:r w:rsidRPr="00E91818">
        <w:rPr>
          <w:rFonts w:eastAsia="Calibri" w:cs="Calibri"/>
          <w:i/>
          <w:color w:val="000000" w:themeColor="text1"/>
        </w:rPr>
        <w:t>Best Starts</w:t>
      </w:r>
      <w:r>
        <w:rPr>
          <w:rFonts w:eastAsia="Calibri" w:cs="Calibri"/>
          <w:i/>
          <w:iCs/>
          <w:color w:val="000000" w:themeColor="text1"/>
        </w:rPr>
        <w:t>’</w:t>
      </w:r>
      <w:r>
        <w:rPr>
          <w:rFonts w:eastAsia="Calibri" w:cs="Calibri"/>
          <w:color w:val="000000" w:themeColor="text1"/>
        </w:rPr>
        <w:t xml:space="preserve"> 2022-2027 levy includes increased funding levels for three strategies: Expanded Learning (formally Out of School Time), School Based Health Centers, and Transitions to Adulthood. </w:t>
      </w:r>
    </w:p>
    <w:p w14:paraId="35C0359C" w14:textId="77777777" w:rsidR="00D4216E" w:rsidRPr="00B249C2" w:rsidRDefault="00D4216E" w:rsidP="00D4216E"/>
    <w:p w14:paraId="6A129F90" w14:textId="5A521128" w:rsidR="00E3510D" w:rsidRPr="00E71E49" w:rsidRDefault="00D4216E" w:rsidP="00CD06DA">
      <w:pPr>
        <w:rPr>
          <w:rFonts w:asciiTheme="minorHAnsi" w:hAnsiTheme="minorHAnsi" w:cstheme="minorHAnsi"/>
          <w:vertAlign w:val="superscript"/>
        </w:rPr>
      </w:pPr>
      <w:r>
        <w:rPr>
          <w:rFonts w:eastAsia="Calibri" w:cs="Calibri"/>
          <w:color w:val="000000" w:themeColor="text1"/>
        </w:rPr>
        <w:t xml:space="preserve">For several Sustain the Gain strategies, names are changed since the first </w:t>
      </w:r>
      <w:r w:rsidRPr="00E91818">
        <w:rPr>
          <w:rFonts w:eastAsia="Calibri" w:cs="Calibri"/>
          <w:i/>
          <w:color w:val="000000" w:themeColor="text1"/>
        </w:rPr>
        <w:t>Best Starts</w:t>
      </w:r>
      <w:r>
        <w:rPr>
          <w:rFonts w:eastAsia="Calibri" w:cs="Calibri"/>
          <w:color w:val="000000" w:themeColor="text1"/>
        </w:rPr>
        <w:t xml:space="preserve"> levy to align them more closely with the goals they achieve and the services they provide. The former names of these </w:t>
      </w:r>
      <w:r>
        <w:rPr>
          <w:rFonts w:eastAsia="Calibri" w:cs="Calibri"/>
          <w:color w:val="000000" w:themeColor="text1"/>
        </w:rPr>
        <w:lastRenderedPageBreak/>
        <w:t xml:space="preserve">strategies are noted below </w:t>
      </w:r>
      <w:r w:rsidR="00515841">
        <w:rPr>
          <w:rFonts w:eastAsia="Calibri" w:cs="Calibri"/>
          <w:color w:val="000000" w:themeColor="text1"/>
        </w:rPr>
        <w:t>in Table 1</w:t>
      </w:r>
      <w:r w:rsidR="00AE3A5B">
        <w:rPr>
          <w:rFonts w:eastAsia="Calibri" w:cs="Calibri"/>
          <w:color w:val="000000" w:themeColor="text1"/>
        </w:rPr>
        <w:t>1</w:t>
      </w:r>
      <w:r>
        <w:rPr>
          <w:rFonts w:eastAsia="Calibri" w:cs="Calibri"/>
          <w:color w:val="000000" w:themeColor="text1"/>
        </w:rPr>
        <w:t xml:space="preserve"> where applicable.</w:t>
      </w:r>
      <w:r w:rsidR="00393A53">
        <w:rPr>
          <w:rFonts w:eastAsia="Calibri" w:cs="Calibri"/>
          <w:color w:val="000000" w:themeColor="text1"/>
        </w:rPr>
        <w:t xml:space="preserve"> </w:t>
      </w:r>
      <w:r w:rsidR="00393A53">
        <w:rPr>
          <w:rFonts w:cs="Calibri"/>
        </w:rPr>
        <w:t xml:space="preserve">All descriptions of strategies include an estimated scope that is </w:t>
      </w:r>
      <w:r w:rsidR="00393A53">
        <w:t>subject to refinement in partnership with community and providers.</w:t>
      </w:r>
    </w:p>
    <w:p w14:paraId="67B1329D" w14:textId="77777777" w:rsidR="00BB06A8" w:rsidRPr="002F6B1F" w:rsidRDefault="00BB06A8" w:rsidP="003420B4">
      <w:pPr>
        <w:pStyle w:val="Caption"/>
        <w:keepNext/>
        <w:spacing w:after="0"/>
      </w:pPr>
    </w:p>
    <w:p w14:paraId="0FB43761" w14:textId="242D6249" w:rsidR="00540794" w:rsidRDefault="00540794" w:rsidP="00540794">
      <w:pPr>
        <w:pStyle w:val="Caption"/>
        <w:keepNext/>
      </w:pPr>
      <w:r>
        <w:t xml:space="preserve">Table </w:t>
      </w:r>
      <w:fldSimple w:instr=" SEQ Table \* ARABIC ">
        <w:r w:rsidR="00B8538C">
          <w:rPr>
            <w:noProof/>
          </w:rPr>
          <w:t>11</w:t>
        </w:r>
      </w:fldSimple>
      <w:r>
        <w:t xml:space="preserve">: </w:t>
      </w:r>
      <w:r w:rsidRPr="00CF4DF7">
        <w:t>Funding Estimates for Sustain the Gain Strategies</w:t>
      </w:r>
    </w:p>
    <w:tbl>
      <w:tblPr>
        <w:tblW w:w="9435" w:type="dxa"/>
        <w:tblLook w:val="04A0" w:firstRow="1" w:lastRow="0" w:firstColumn="1" w:lastColumn="0" w:noHBand="0" w:noVBand="1"/>
      </w:tblPr>
      <w:tblGrid>
        <w:gridCol w:w="5860"/>
        <w:gridCol w:w="3575"/>
      </w:tblGrid>
      <w:tr w:rsidR="00D1408B" w:rsidRPr="00D1408B" w14:paraId="0FD7499D" w14:textId="77777777" w:rsidTr="006D0CC5">
        <w:trPr>
          <w:trHeight w:val="510"/>
        </w:trPr>
        <w:tc>
          <w:tcPr>
            <w:tcW w:w="5860"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5026499E" w14:textId="77777777" w:rsidR="00D1408B" w:rsidRPr="00D1408B" w:rsidRDefault="00D1408B" w:rsidP="00D1408B">
            <w:pPr>
              <w:spacing w:line="240" w:lineRule="auto"/>
              <w:rPr>
                <w:rFonts w:eastAsia="Times New Roman" w:cs="Calibri"/>
                <w:b/>
                <w:bCs/>
                <w:i/>
                <w:iCs/>
                <w:sz w:val="24"/>
                <w:szCs w:val="24"/>
              </w:rPr>
            </w:pPr>
            <w:r w:rsidRPr="00D1408B">
              <w:rPr>
                <w:rFonts w:eastAsia="Times New Roman" w:cs="Calibri"/>
                <w:b/>
                <w:bCs/>
                <w:i/>
                <w:iCs/>
                <w:sz w:val="24"/>
                <w:szCs w:val="24"/>
              </w:rPr>
              <w:t>Strategy</w:t>
            </w:r>
          </w:p>
        </w:tc>
        <w:tc>
          <w:tcPr>
            <w:tcW w:w="3575" w:type="dxa"/>
            <w:tcBorders>
              <w:top w:val="single" w:sz="12" w:space="0" w:color="FFD966"/>
              <w:left w:val="nil"/>
              <w:bottom w:val="single" w:sz="8" w:space="0" w:color="FFD966"/>
              <w:right w:val="single" w:sz="12" w:space="0" w:color="FFD966"/>
            </w:tcBorders>
            <w:shd w:val="clear" w:color="000000" w:fill="D9E1F2"/>
            <w:noWrap/>
            <w:vAlign w:val="center"/>
            <w:hideMark/>
          </w:tcPr>
          <w:p w14:paraId="67E3238A" w14:textId="2D4112A1" w:rsidR="00D1408B" w:rsidRPr="00D1408B" w:rsidRDefault="00D1408B" w:rsidP="00D1408B">
            <w:pPr>
              <w:spacing w:line="240" w:lineRule="auto"/>
              <w:jc w:val="right"/>
              <w:rPr>
                <w:rFonts w:eastAsia="Times New Roman" w:cs="Calibri"/>
                <w:b/>
                <w:bCs/>
                <w:i/>
                <w:iCs/>
                <w:sz w:val="24"/>
                <w:szCs w:val="24"/>
              </w:rPr>
            </w:pPr>
            <w:r w:rsidRPr="003420B4">
              <w:rPr>
                <w:rFonts w:eastAsia="Times New Roman" w:cs="Calibri"/>
                <w:b/>
                <w:i/>
                <w:iCs/>
                <w:sz w:val="24"/>
                <w:szCs w:val="24"/>
              </w:rPr>
              <w:t>2022-2027</w:t>
            </w:r>
            <w:r w:rsidRPr="00D1408B">
              <w:rPr>
                <w:rFonts w:eastAsia="Times New Roman" w:cs="Calibri"/>
                <w:b/>
                <w:bCs/>
                <w:i/>
                <w:iCs/>
                <w:sz w:val="24"/>
                <w:szCs w:val="24"/>
              </w:rPr>
              <w:t xml:space="preserve"> Funding Estimate</w:t>
            </w:r>
          </w:p>
        </w:tc>
      </w:tr>
      <w:tr w:rsidR="00D1408B" w:rsidRPr="00D1408B" w14:paraId="36237B42"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512FD5C4" w14:textId="77777777" w:rsidR="00D1408B" w:rsidRPr="00D1408B" w:rsidRDefault="00D1408B" w:rsidP="00D1408B">
            <w:pPr>
              <w:spacing w:line="240" w:lineRule="auto"/>
              <w:rPr>
                <w:rFonts w:eastAsia="Times New Roman" w:cs="Calibri"/>
                <w:b/>
                <w:bCs/>
                <w:color w:val="000000"/>
              </w:rPr>
            </w:pPr>
            <w:r w:rsidRPr="00D1408B">
              <w:rPr>
                <w:rFonts w:eastAsia="Times New Roman" w:cs="Calibri"/>
                <w:b/>
                <w:bCs/>
                <w:color w:val="000000"/>
              </w:rPr>
              <w:t>Expanded Learning</w:t>
            </w:r>
          </w:p>
        </w:tc>
        <w:tc>
          <w:tcPr>
            <w:tcW w:w="3575" w:type="dxa"/>
            <w:tcBorders>
              <w:top w:val="nil"/>
              <w:left w:val="nil"/>
              <w:bottom w:val="single" w:sz="8" w:space="0" w:color="FFD966"/>
              <w:right w:val="single" w:sz="12" w:space="0" w:color="FFD966"/>
            </w:tcBorders>
            <w:shd w:val="clear" w:color="auto" w:fill="auto"/>
            <w:noWrap/>
            <w:vAlign w:val="center"/>
            <w:hideMark/>
          </w:tcPr>
          <w:p w14:paraId="33288FDA" w14:textId="77777777"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 xml:space="preserve">$44,094,000 </w:t>
            </w:r>
          </w:p>
        </w:tc>
      </w:tr>
      <w:tr w:rsidR="00182E03" w:rsidRPr="00D1408B" w14:paraId="6F7DB519"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tcPr>
          <w:p w14:paraId="3D6DAB51" w14:textId="5747B949" w:rsidR="00182E03" w:rsidRPr="00D1408B" w:rsidRDefault="00182E03" w:rsidP="00D1408B">
            <w:pPr>
              <w:spacing w:line="240" w:lineRule="auto"/>
              <w:rPr>
                <w:rFonts w:eastAsia="Times New Roman" w:cs="Calibri"/>
                <w:b/>
                <w:bCs/>
                <w:color w:val="000000"/>
              </w:rPr>
            </w:pPr>
            <w:r>
              <w:rPr>
                <w:rFonts w:eastAsia="Times New Roman" w:cs="Calibri"/>
                <w:b/>
                <w:bCs/>
                <w:color w:val="000000"/>
              </w:rPr>
              <w:t>Youth Development</w:t>
            </w:r>
          </w:p>
        </w:tc>
        <w:tc>
          <w:tcPr>
            <w:tcW w:w="3575" w:type="dxa"/>
            <w:tcBorders>
              <w:top w:val="nil"/>
              <w:left w:val="nil"/>
              <w:bottom w:val="single" w:sz="8" w:space="0" w:color="FFD966"/>
              <w:right w:val="single" w:sz="12" w:space="0" w:color="FFD966"/>
            </w:tcBorders>
            <w:shd w:val="clear" w:color="auto" w:fill="auto"/>
            <w:noWrap/>
            <w:vAlign w:val="center"/>
          </w:tcPr>
          <w:p w14:paraId="3352185F" w14:textId="358B27BB" w:rsidR="00182E03" w:rsidRPr="00D1408B" w:rsidRDefault="00182E03" w:rsidP="00D1408B">
            <w:pPr>
              <w:spacing w:line="240" w:lineRule="auto"/>
              <w:jc w:val="right"/>
              <w:rPr>
                <w:rFonts w:eastAsia="Times New Roman" w:cs="Calibri"/>
                <w:b/>
                <w:bCs/>
                <w:color w:val="000000"/>
              </w:rPr>
            </w:pPr>
            <w:r>
              <w:rPr>
                <w:rFonts w:eastAsia="Times New Roman" w:cs="Calibri"/>
                <w:b/>
                <w:bCs/>
                <w:color w:val="000000"/>
              </w:rPr>
              <w:t>$28,212,000</w:t>
            </w:r>
          </w:p>
        </w:tc>
      </w:tr>
      <w:tr w:rsidR="00182E03" w:rsidRPr="00D1408B" w14:paraId="461E5CD2"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tcPr>
          <w:p w14:paraId="30718326" w14:textId="22570FB2" w:rsidR="00182E03" w:rsidRPr="00D1408B" w:rsidRDefault="00182E03" w:rsidP="00182E03">
            <w:pPr>
              <w:spacing w:line="240" w:lineRule="auto"/>
              <w:rPr>
                <w:rFonts w:eastAsia="Times New Roman" w:cs="Calibri"/>
                <w:b/>
                <w:bCs/>
                <w:color w:val="000000"/>
              </w:rPr>
            </w:pPr>
            <w:r w:rsidRPr="00D1408B">
              <w:rPr>
                <w:rFonts w:eastAsia="Times New Roman" w:cs="Calibri"/>
                <w:b/>
                <w:bCs/>
                <w:color w:val="000000"/>
              </w:rPr>
              <w:t>SB:SBIRT School-Based Screening and Brief Intervention and for Referral to Treatment/Services</w:t>
            </w:r>
          </w:p>
        </w:tc>
        <w:tc>
          <w:tcPr>
            <w:tcW w:w="3575" w:type="dxa"/>
            <w:tcBorders>
              <w:top w:val="nil"/>
              <w:left w:val="nil"/>
              <w:bottom w:val="single" w:sz="8" w:space="0" w:color="FFD966"/>
              <w:right w:val="single" w:sz="12" w:space="0" w:color="FFD966"/>
            </w:tcBorders>
            <w:shd w:val="clear" w:color="auto" w:fill="auto"/>
            <w:noWrap/>
            <w:vAlign w:val="center"/>
          </w:tcPr>
          <w:p w14:paraId="0DC127BE" w14:textId="0101DCBC" w:rsidR="00182E03" w:rsidRPr="00D1408B" w:rsidRDefault="00182E03" w:rsidP="00182E03">
            <w:pPr>
              <w:spacing w:line="240" w:lineRule="auto"/>
              <w:jc w:val="right"/>
              <w:rPr>
                <w:rFonts w:eastAsia="Times New Roman" w:cs="Calibri"/>
                <w:b/>
                <w:bCs/>
                <w:color w:val="000000"/>
              </w:rPr>
            </w:pPr>
            <w:r w:rsidRPr="00D1408B">
              <w:rPr>
                <w:rFonts w:eastAsia="Times New Roman" w:cs="Calibri"/>
                <w:b/>
                <w:bCs/>
                <w:color w:val="000000"/>
              </w:rPr>
              <w:t xml:space="preserve">$15,691,000 </w:t>
            </w:r>
          </w:p>
        </w:tc>
      </w:tr>
      <w:tr w:rsidR="00D1408B" w:rsidRPr="00D1408B" w14:paraId="03E21480"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0A3C5D62" w14:textId="77777777" w:rsidR="00D1408B" w:rsidRPr="00D1408B" w:rsidRDefault="00D1408B" w:rsidP="00D1408B">
            <w:pPr>
              <w:spacing w:line="240" w:lineRule="auto"/>
              <w:rPr>
                <w:rFonts w:eastAsia="Times New Roman" w:cs="Calibri"/>
                <w:b/>
                <w:bCs/>
                <w:color w:val="000000"/>
              </w:rPr>
            </w:pPr>
            <w:r w:rsidRPr="00D1408B">
              <w:rPr>
                <w:rFonts w:eastAsia="Times New Roman" w:cs="Calibri"/>
                <w:b/>
                <w:bCs/>
                <w:color w:val="000000"/>
              </w:rPr>
              <w:t>School-Based Health Centers</w:t>
            </w:r>
          </w:p>
        </w:tc>
        <w:tc>
          <w:tcPr>
            <w:tcW w:w="3575" w:type="dxa"/>
            <w:tcBorders>
              <w:top w:val="nil"/>
              <w:left w:val="nil"/>
              <w:bottom w:val="single" w:sz="8" w:space="0" w:color="FFD966"/>
              <w:right w:val="single" w:sz="12" w:space="0" w:color="FFD966"/>
            </w:tcBorders>
            <w:shd w:val="clear" w:color="auto" w:fill="auto"/>
            <w:noWrap/>
            <w:vAlign w:val="center"/>
            <w:hideMark/>
          </w:tcPr>
          <w:p w14:paraId="48D73A3D" w14:textId="77777777"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 xml:space="preserve">$19,020,000 </w:t>
            </w:r>
          </w:p>
        </w:tc>
      </w:tr>
      <w:tr w:rsidR="00D1408B" w:rsidRPr="00D1408B" w14:paraId="7BFA57C3"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133919EA" w14:textId="4404AB29" w:rsidR="00D1408B" w:rsidRPr="00D1408B" w:rsidRDefault="00182E03" w:rsidP="00D1408B">
            <w:pPr>
              <w:spacing w:line="240" w:lineRule="auto"/>
              <w:rPr>
                <w:rFonts w:eastAsia="Times New Roman" w:cs="Calibri"/>
                <w:b/>
                <w:bCs/>
                <w:color w:val="000000"/>
              </w:rPr>
            </w:pPr>
            <w:r w:rsidRPr="00D1408B">
              <w:rPr>
                <w:rFonts w:eastAsia="Times New Roman" w:cs="Calibri"/>
                <w:b/>
                <w:bCs/>
                <w:color w:val="000000"/>
              </w:rPr>
              <w:t>Liberation and Healing</w:t>
            </w:r>
          </w:p>
        </w:tc>
        <w:tc>
          <w:tcPr>
            <w:tcW w:w="3575" w:type="dxa"/>
            <w:tcBorders>
              <w:top w:val="nil"/>
              <w:left w:val="nil"/>
              <w:bottom w:val="single" w:sz="8" w:space="0" w:color="FFD966"/>
              <w:right w:val="single" w:sz="12" w:space="0" w:color="FFD966"/>
            </w:tcBorders>
            <w:shd w:val="clear" w:color="auto" w:fill="auto"/>
            <w:noWrap/>
            <w:vAlign w:val="center"/>
            <w:hideMark/>
          </w:tcPr>
          <w:p w14:paraId="10A3EE51" w14:textId="31E044A4"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$30,</w:t>
            </w:r>
            <w:r w:rsidR="00182E03" w:rsidRPr="00D1408B">
              <w:rPr>
                <w:rFonts w:eastAsia="Times New Roman" w:cs="Calibri"/>
                <w:b/>
                <w:bCs/>
                <w:color w:val="000000"/>
              </w:rPr>
              <w:t>748</w:t>
            </w:r>
            <w:r w:rsidRPr="00D1408B">
              <w:rPr>
                <w:rFonts w:eastAsia="Times New Roman" w:cs="Calibri"/>
                <w:b/>
                <w:bCs/>
                <w:color w:val="000000"/>
              </w:rPr>
              <w:t xml:space="preserve">,000 </w:t>
            </w:r>
          </w:p>
        </w:tc>
      </w:tr>
      <w:tr w:rsidR="00D1408B" w:rsidRPr="00D1408B" w14:paraId="6B24E891"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745E6EAE" w14:textId="65DD1E48" w:rsidR="00D1408B" w:rsidRPr="00D1408B" w:rsidRDefault="00182E03" w:rsidP="00D1408B">
            <w:pPr>
              <w:spacing w:line="240" w:lineRule="auto"/>
              <w:rPr>
                <w:rFonts w:eastAsia="Times New Roman" w:cs="Calibri"/>
                <w:b/>
                <w:bCs/>
                <w:color w:val="000000"/>
              </w:rPr>
            </w:pPr>
            <w:r w:rsidRPr="00D1408B">
              <w:rPr>
                <w:rFonts w:eastAsia="Times New Roman" w:cs="Calibri"/>
                <w:b/>
                <w:bCs/>
                <w:color w:val="000000"/>
              </w:rPr>
              <w:t>Healthy and Safe Environments</w:t>
            </w:r>
          </w:p>
        </w:tc>
        <w:tc>
          <w:tcPr>
            <w:tcW w:w="3575" w:type="dxa"/>
            <w:tcBorders>
              <w:top w:val="nil"/>
              <w:left w:val="nil"/>
              <w:bottom w:val="single" w:sz="8" w:space="0" w:color="FFD966"/>
              <w:right w:val="single" w:sz="12" w:space="0" w:color="FFD966"/>
            </w:tcBorders>
            <w:shd w:val="clear" w:color="auto" w:fill="auto"/>
            <w:noWrap/>
            <w:vAlign w:val="center"/>
            <w:hideMark/>
          </w:tcPr>
          <w:p w14:paraId="65C9007F" w14:textId="15445032"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w:t>
            </w:r>
            <w:r w:rsidR="00182E03" w:rsidRPr="00D1408B">
              <w:rPr>
                <w:rFonts w:eastAsia="Times New Roman" w:cs="Calibri"/>
                <w:b/>
                <w:bCs/>
                <w:color w:val="000000"/>
              </w:rPr>
              <w:t>6,340</w:t>
            </w:r>
            <w:r w:rsidRPr="00D1408B">
              <w:rPr>
                <w:rFonts w:eastAsia="Times New Roman" w:cs="Calibri"/>
                <w:b/>
                <w:bCs/>
                <w:color w:val="000000"/>
              </w:rPr>
              <w:t xml:space="preserve">,000 </w:t>
            </w:r>
          </w:p>
        </w:tc>
      </w:tr>
      <w:tr w:rsidR="003E6F88" w:rsidRPr="00D1408B" w14:paraId="1997B9C4"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tcPr>
          <w:p w14:paraId="31044333" w14:textId="59D8D128" w:rsidR="003E6F88" w:rsidRPr="00D1408B" w:rsidRDefault="003E6F88" w:rsidP="003E6F88">
            <w:pPr>
              <w:spacing w:line="240" w:lineRule="auto"/>
              <w:rPr>
                <w:rFonts w:eastAsia="Times New Roman" w:cs="Calibri"/>
                <w:b/>
                <w:bCs/>
                <w:color w:val="000000"/>
              </w:rPr>
            </w:pPr>
            <w:r>
              <w:rPr>
                <w:rFonts w:eastAsia="Times New Roman" w:cs="Calibri"/>
                <w:b/>
                <w:bCs/>
                <w:color w:val="000000"/>
              </w:rPr>
              <w:t>Positive Family Connections</w:t>
            </w:r>
          </w:p>
        </w:tc>
        <w:tc>
          <w:tcPr>
            <w:tcW w:w="3575" w:type="dxa"/>
            <w:tcBorders>
              <w:top w:val="nil"/>
              <w:left w:val="nil"/>
              <w:bottom w:val="single" w:sz="8" w:space="0" w:color="FFD966"/>
              <w:right w:val="single" w:sz="12" w:space="0" w:color="FFD966"/>
            </w:tcBorders>
            <w:shd w:val="clear" w:color="auto" w:fill="auto"/>
            <w:noWrap/>
            <w:vAlign w:val="center"/>
          </w:tcPr>
          <w:p w14:paraId="0B92CB8E" w14:textId="6DDCD52D" w:rsidR="003E6F88" w:rsidRPr="00D1408B" w:rsidRDefault="003E6F88" w:rsidP="003E6F88">
            <w:pPr>
              <w:spacing w:line="240" w:lineRule="auto"/>
              <w:jc w:val="right"/>
              <w:rPr>
                <w:rFonts w:eastAsia="Times New Roman" w:cs="Calibri"/>
                <w:b/>
                <w:bCs/>
                <w:color w:val="000000"/>
              </w:rPr>
            </w:pPr>
            <w:r w:rsidRPr="00CB236B">
              <w:rPr>
                <w:rFonts w:eastAsia="Times New Roman" w:cs="Calibri"/>
                <w:b/>
                <w:bCs/>
                <w:color w:val="000000"/>
              </w:rPr>
              <w:t>$8,876,000</w:t>
            </w:r>
          </w:p>
        </w:tc>
      </w:tr>
      <w:tr w:rsidR="003E6F88" w:rsidRPr="00D1408B" w14:paraId="7CDAFBB4"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5F670235" w14:textId="77777777" w:rsidR="003E6F88" w:rsidRPr="00D1408B" w:rsidRDefault="003E6F88" w:rsidP="003E6F88">
            <w:pPr>
              <w:spacing w:line="240" w:lineRule="auto"/>
              <w:rPr>
                <w:rFonts w:eastAsia="Times New Roman" w:cs="Calibri"/>
                <w:b/>
                <w:bCs/>
                <w:color w:val="000000"/>
              </w:rPr>
            </w:pPr>
            <w:r w:rsidRPr="00D1408B">
              <w:rPr>
                <w:rFonts w:eastAsia="Times New Roman" w:cs="Calibri"/>
                <w:b/>
                <w:bCs/>
                <w:color w:val="000000"/>
              </w:rPr>
              <w:t>Stopping the School-to-Prison Pipeline (SSPP)</w:t>
            </w:r>
          </w:p>
        </w:tc>
        <w:tc>
          <w:tcPr>
            <w:tcW w:w="3575" w:type="dxa"/>
            <w:tcBorders>
              <w:top w:val="nil"/>
              <w:left w:val="nil"/>
              <w:bottom w:val="single" w:sz="8" w:space="0" w:color="FFD966"/>
              <w:right w:val="single" w:sz="12" w:space="0" w:color="FFD966"/>
            </w:tcBorders>
            <w:shd w:val="clear" w:color="auto" w:fill="auto"/>
            <w:noWrap/>
            <w:vAlign w:val="center"/>
            <w:hideMark/>
          </w:tcPr>
          <w:p w14:paraId="0DCC9774" w14:textId="77777777" w:rsidR="003E6F88" w:rsidRPr="00D1408B" w:rsidRDefault="003E6F88" w:rsidP="003E6F88">
            <w:pPr>
              <w:spacing w:line="240" w:lineRule="auto"/>
              <w:jc w:val="right"/>
              <w:rPr>
                <w:rFonts w:eastAsia="Times New Roman" w:cs="Calibri"/>
                <w:b/>
                <w:bCs/>
                <w:color w:val="000000"/>
              </w:rPr>
            </w:pPr>
            <w:r w:rsidRPr="00D1408B">
              <w:rPr>
                <w:rFonts w:eastAsia="Times New Roman" w:cs="Calibri"/>
                <w:b/>
                <w:bCs/>
                <w:color w:val="000000"/>
              </w:rPr>
              <w:t xml:space="preserve">$29,480,000 </w:t>
            </w:r>
          </w:p>
        </w:tc>
      </w:tr>
      <w:tr w:rsidR="003E6F88" w:rsidRPr="00D1408B" w14:paraId="17EEC448" w14:textId="77777777" w:rsidTr="006D0CC5">
        <w:trPr>
          <w:trHeight w:val="480"/>
        </w:trPr>
        <w:tc>
          <w:tcPr>
            <w:tcW w:w="5860" w:type="dxa"/>
            <w:tcBorders>
              <w:top w:val="nil"/>
              <w:left w:val="single" w:sz="12" w:space="0" w:color="FFD966"/>
              <w:bottom w:val="single" w:sz="12" w:space="0" w:color="FFD966"/>
              <w:right w:val="single" w:sz="8" w:space="0" w:color="FFD966"/>
            </w:tcBorders>
            <w:shd w:val="clear" w:color="auto" w:fill="auto"/>
            <w:vAlign w:val="center"/>
          </w:tcPr>
          <w:p w14:paraId="06881701" w14:textId="5BF93B58" w:rsidR="003E6F88" w:rsidRPr="00D1408B" w:rsidRDefault="003E6F88" w:rsidP="003E6F88">
            <w:pPr>
              <w:spacing w:line="240" w:lineRule="auto"/>
              <w:rPr>
                <w:rFonts w:eastAsia="Times New Roman" w:cs="Calibri"/>
                <w:b/>
                <w:bCs/>
                <w:color w:val="000000"/>
              </w:rPr>
            </w:pPr>
            <w:r>
              <w:rPr>
                <w:rFonts w:eastAsia="Times New Roman" w:cs="Calibri"/>
                <w:b/>
                <w:bCs/>
                <w:color w:val="000000"/>
              </w:rPr>
              <w:t>Transitions to Adulthood</w:t>
            </w:r>
          </w:p>
        </w:tc>
        <w:tc>
          <w:tcPr>
            <w:tcW w:w="3575" w:type="dxa"/>
            <w:tcBorders>
              <w:top w:val="nil"/>
              <w:left w:val="nil"/>
              <w:bottom w:val="single" w:sz="12" w:space="0" w:color="FFD966"/>
              <w:right w:val="single" w:sz="12" w:space="0" w:color="FFD966"/>
            </w:tcBorders>
            <w:shd w:val="clear" w:color="auto" w:fill="auto"/>
            <w:noWrap/>
            <w:vAlign w:val="center"/>
          </w:tcPr>
          <w:p w14:paraId="2DE727CE" w14:textId="0CE212A0" w:rsidR="003E6F88" w:rsidRPr="00D1408B" w:rsidRDefault="003E6F88" w:rsidP="003E6F88">
            <w:pPr>
              <w:spacing w:line="240" w:lineRule="auto"/>
              <w:jc w:val="right"/>
              <w:rPr>
                <w:rFonts w:eastAsia="Times New Roman" w:cs="Calibri"/>
                <w:b/>
                <w:bCs/>
                <w:color w:val="000000"/>
              </w:rPr>
            </w:pPr>
            <w:r w:rsidRPr="00983071">
              <w:rPr>
                <w:rFonts w:eastAsia="Times New Roman" w:cs="Calibri"/>
                <w:b/>
                <w:bCs/>
                <w:color w:val="000000"/>
              </w:rPr>
              <w:t>$30,019,000</w:t>
            </w:r>
          </w:p>
        </w:tc>
      </w:tr>
      <w:tr w:rsidR="003E6F88" w:rsidRPr="00D1408B" w14:paraId="635DBD37" w14:textId="77777777" w:rsidTr="006D0CC5">
        <w:trPr>
          <w:trHeight w:val="480"/>
        </w:trPr>
        <w:tc>
          <w:tcPr>
            <w:tcW w:w="5860" w:type="dxa"/>
            <w:tcBorders>
              <w:top w:val="nil"/>
              <w:left w:val="single" w:sz="12" w:space="0" w:color="FFD966"/>
              <w:bottom w:val="single" w:sz="12" w:space="0" w:color="FFD966"/>
              <w:right w:val="single" w:sz="8" w:space="0" w:color="FFD966"/>
            </w:tcBorders>
            <w:shd w:val="clear" w:color="auto" w:fill="auto"/>
            <w:vAlign w:val="center"/>
            <w:hideMark/>
          </w:tcPr>
          <w:p w14:paraId="0A2E87F5" w14:textId="77777777" w:rsidR="003E6F88" w:rsidRPr="00D1408B" w:rsidRDefault="003E6F88" w:rsidP="003E6F88">
            <w:pPr>
              <w:spacing w:line="240" w:lineRule="auto"/>
              <w:rPr>
                <w:rFonts w:eastAsia="Times New Roman" w:cs="Calibri"/>
                <w:b/>
                <w:bCs/>
                <w:color w:val="000000"/>
              </w:rPr>
            </w:pPr>
            <w:r w:rsidRPr="00D1408B">
              <w:rPr>
                <w:rFonts w:eastAsia="Times New Roman" w:cs="Calibri"/>
                <w:b/>
                <w:bCs/>
                <w:color w:val="000000"/>
              </w:rPr>
              <w:t>Child and Adolescent Immunizations</w:t>
            </w:r>
          </w:p>
        </w:tc>
        <w:tc>
          <w:tcPr>
            <w:tcW w:w="3575" w:type="dxa"/>
            <w:tcBorders>
              <w:top w:val="nil"/>
              <w:left w:val="nil"/>
              <w:bottom w:val="single" w:sz="12" w:space="0" w:color="FFD966"/>
              <w:right w:val="single" w:sz="12" w:space="0" w:color="FFD966"/>
            </w:tcBorders>
            <w:shd w:val="clear" w:color="auto" w:fill="auto"/>
            <w:noWrap/>
            <w:vAlign w:val="center"/>
            <w:hideMark/>
          </w:tcPr>
          <w:p w14:paraId="362277E1" w14:textId="77777777" w:rsidR="003E6F88" w:rsidRPr="00D1408B" w:rsidRDefault="003E6F88" w:rsidP="003E6F88">
            <w:pPr>
              <w:spacing w:line="240" w:lineRule="auto"/>
              <w:jc w:val="right"/>
              <w:rPr>
                <w:rFonts w:eastAsia="Times New Roman" w:cs="Calibri"/>
                <w:b/>
                <w:bCs/>
                <w:color w:val="000000"/>
              </w:rPr>
            </w:pPr>
            <w:r w:rsidRPr="00D1408B">
              <w:rPr>
                <w:rFonts w:eastAsia="Times New Roman" w:cs="Calibri"/>
                <w:b/>
                <w:bCs/>
                <w:color w:val="000000"/>
              </w:rPr>
              <w:t xml:space="preserve">$2,853,000 </w:t>
            </w:r>
          </w:p>
        </w:tc>
      </w:tr>
    </w:tbl>
    <w:p w14:paraId="489EEFF6" w14:textId="5FD01D3C" w:rsidR="00DD4D44" w:rsidRPr="00467660" w:rsidRDefault="00DD4D44" w:rsidP="00DD4D44">
      <w:pPr>
        <w:contextualSpacing/>
        <w:rPr>
          <w:rFonts w:eastAsia="Calibri" w:cs="Calibri"/>
          <w:color w:val="000000" w:themeColor="text1"/>
        </w:rPr>
      </w:pPr>
    </w:p>
    <w:tbl>
      <w:tblPr>
        <w:tblStyle w:val="TableGrid"/>
        <w:tblpPr w:leftFromText="180" w:rightFromText="180" w:vertAnchor="text" w:horzAnchor="margin" w:tblpY="203"/>
        <w:tblW w:w="9420" w:type="dxa"/>
        <w:tblLook w:val="04A0" w:firstRow="1" w:lastRow="0" w:firstColumn="1" w:lastColumn="0" w:noHBand="0" w:noVBand="1"/>
      </w:tblPr>
      <w:tblGrid>
        <w:gridCol w:w="9420"/>
      </w:tblGrid>
      <w:tr w:rsidR="000933CC" w:rsidRPr="00D03F1F" w14:paraId="72464642" w14:textId="77777777" w:rsidTr="006D0CC5">
        <w:trPr>
          <w:trHeight w:val="365"/>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C8FC35B" w14:textId="6B8D6E8B" w:rsidR="000933CC" w:rsidRPr="009860CC" w:rsidRDefault="000933CC" w:rsidP="000933CC">
            <w:pPr>
              <w:contextualSpacing/>
              <w:rPr>
                <w:rFonts w:cs="Calibri"/>
              </w:rPr>
            </w:pPr>
            <w:bookmarkStart w:id="70" w:name="Expanded_Learning"/>
            <w:r w:rsidRPr="00EE121B">
              <w:rPr>
                <w:rFonts w:eastAsia="Calibri" w:cs="Calibri"/>
                <w:b/>
                <w:color w:val="000000" w:themeColor="text1"/>
                <w:sz w:val="28"/>
                <w:szCs w:val="28"/>
              </w:rPr>
              <w:t>Expanded Learning</w:t>
            </w:r>
            <w:r w:rsidRPr="009860CC">
              <w:rPr>
                <w:rFonts w:eastAsia="Calibri" w:cs="Calibri"/>
                <w:b/>
                <w:color w:val="000000" w:themeColor="text1"/>
              </w:rPr>
              <w:t xml:space="preserve"> </w:t>
            </w:r>
            <w:bookmarkEnd w:id="70"/>
            <w:r w:rsidR="001A6E18" w:rsidRPr="009860CC">
              <w:rPr>
                <w:rFonts w:eastAsia="Calibri" w:cs="Calibri"/>
                <w:color w:val="000000" w:themeColor="text1"/>
              </w:rPr>
              <w:t>(</w:t>
            </w:r>
            <w:r w:rsidR="00F42332" w:rsidRPr="009860CC">
              <w:rPr>
                <w:rFonts w:eastAsia="Calibri" w:cs="Calibri"/>
                <w:color w:val="000000" w:themeColor="text1"/>
              </w:rPr>
              <w:t xml:space="preserve">formerly Out of School Time) </w:t>
            </w:r>
          </w:p>
        </w:tc>
      </w:tr>
    </w:tbl>
    <w:tbl>
      <w:tblPr>
        <w:tblW w:w="9450" w:type="dxa"/>
        <w:tblLook w:val="04A0" w:firstRow="1" w:lastRow="0" w:firstColumn="1" w:lastColumn="0" w:noHBand="0" w:noVBand="1"/>
      </w:tblPr>
      <w:tblGrid>
        <w:gridCol w:w="975"/>
        <w:gridCol w:w="1190"/>
        <w:gridCol w:w="1190"/>
        <w:gridCol w:w="1190"/>
        <w:gridCol w:w="1190"/>
        <w:gridCol w:w="1190"/>
        <w:gridCol w:w="1190"/>
        <w:gridCol w:w="1335"/>
      </w:tblGrid>
      <w:tr w:rsidR="00BA4AFF" w:rsidRPr="00BA4AFF" w14:paraId="67AB1EF2" w14:textId="77777777" w:rsidTr="00F371B5">
        <w:trPr>
          <w:trHeight w:val="297"/>
        </w:trPr>
        <w:tc>
          <w:tcPr>
            <w:tcW w:w="9450" w:type="dxa"/>
            <w:gridSpan w:val="8"/>
            <w:tcBorders>
              <w:top w:val="nil"/>
              <w:left w:val="nil"/>
              <w:bottom w:val="single" w:sz="12" w:space="0" w:color="FFD966"/>
              <w:right w:val="nil"/>
            </w:tcBorders>
            <w:shd w:val="clear" w:color="auto" w:fill="auto"/>
            <w:noWrap/>
            <w:vAlign w:val="bottom"/>
            <w:hideMark/>
          </w:tcPr>
          <w:p w14:paraId="606A4377" w14:textId="77777777" w:rsidR="00BA4AFF" w:rsidRPr="00BA4AFF" w:rsidRDefault="00BA4AFF" w:rsidP="00BA4AFF">
            <w:pPr>
              <w:spacing w:line="240" w:lineRule="auto"/>
              <w:rPr>
                <w:rFonts w:eastAsia="Times New Roman" w:cs="Calibri"/>
                <w:b/>
                <w:bCs/>
                <w:i/>
                <w:iCs/>
                <w:color w:val="000000"/>
              </w:rPr>
            </w:pPr>
            <w:r w:rsidRPr="00BA4AFF">
              <w:rPr>
                <w:rFonts w:eastAsia="Times New Roman" w:cs="Calibri"/>
                <w:b/>
                <w:bCs/>
                <w:i/>
                <w:iCs/>
                <w:color w:val="000000"/>
              </w:rPr>
              <w:t>Funding Estimate:</w:t>
            </w:r>
          </w:p>
        </w:tc>
      </w:tr>
      <w:tr w:rsidR="00BA4AFF" w:rsidRPr="00BA4AFF" w14:paraId="2B8E294D" w14:textId="77777777" w:rsidTr="00F371B5">
        <w:trPr>
          <w:trHeight w:val="396"/>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2ACF0747" w14:textId="77777777" w:rsidR="00BA4AFF" w:rsidRPr="00BA4AFF" w:rsidRDefault="00BA4AFF" w:rsidP="00BA4AFF">
            <w:pPr>
              <w:spacing w:line="240" w:lineRule="auto"/>
              <w:rPr>
                <w:rFonts w:eastAsia="Times New Roman" w:cs="Calibri"/>
                <w:b/>
                <w:bCs/>
                <w:i/>
                <w:iCs/>
              </w:rPr>
            </w:pPr>
            <w:r w:rsidRPr="00BA4AFF">
              <w:rPr>
                <w:rFonts w:eastAsia="Times New Roman" w:cs="Calibri"/>
                <w:b/>
                <w:bCs/>
                <w:i/>
                <w:iCs/>
              </w:rPr>
              <w:t>Year</w:t>
            </w:r>
          </w:p>
        </w:tc>
        <w:tc>
          <w:tcPr>
            <w:tcW w:w="1190" w:type="dxa"/>
            <w:tcBorders>
              <w:top w:val="nil"/>
              <w:left w:val="nil"/>
              <w:bottom w:val="single" w:sz="8" w:space="0" w:color="FFD966"/>
              <w:right w:val="single" w:sz="8" w:space="0" w:color="FFD966"/>
            </w:tcBorders>
            <w:shd w:val="clear" w:color="000000" w:fill="D9E1F2"/>
            <w:noWrap/>
            <w:vAlign w:val="center"/>
            <w:hideMark/>
          </w:tcPr>
          <w:p w14:paraId="6356EEB4" w14:textId="77777777" w:rsidR="00BA4AFF" w:rsidRPr="00BA4AFF" w:rsidRDefault="00BA4AFF" w:rsidP="00BA4AFF">
            <w:pPr>
              <w:spacing w:line="240" w:lineRule="auto"/>
              <w:jc w:val="right"/>
              <w:rPr>
                <w:rFonts w:eastAsia="Times New Roman" w:cs="Calibri"/>
              </w:rPr>
            </w:pPr>
            <w:r w:rsidRPr="00BA4AFF">
              <w:rPr>
                <w:rFonts w:eastAsia="Times New Roman" w:cs="Calibri"/>
              </w:rPr>
              <w:t>2022</w:t>
            </w:r>
          </w:p>
        </w:tc>
        <w:tc>
          <w:tcPr>
            <w:tcW w:w="1190" w:type="dxa"/>
            <w:tcBorders>
              <w:top w:val="nil"/>
              <w:left w:val="nil"/>
              <w:bottom w:val="single" w:sz="8" w:space="0" w:color="FFD966"/>
              <w:right w:val="single" w:sz="8" w:space="0" w:color="FFD966"/>
            </w:tcBorders>
            <w:shd w:val="clear" w:color="000000" w:fill="D9E1F2"/>
            <w:noWrap/>
            <w:vAlign w:val="center"/>
            <w:hideMark/>
          </w:tcPr>
          <w:p w14:paraId="19106D46" w14:textId="77777777" w:rsidR="00BA4AFF" w:rsidRPr="00BA4AFF" w:rsidRDefault="00BA4AFF" w:rsidP="00BA4AFF">
            <w:pPr>
              <w:spacing w:line="240" w:lineRule="auto"/>
              <w:jc w:val="right"/>
              <w:rPr>
                <w:rFonts w:eastAsia="Times New Roman" w:cs="Calibri"/>
              </w:rPr>
            </w:pPr>
            <w:r w:rsidRPr="00BA4AFF">
              <w:rPr>
                <w:rFonts w:eastAsia="Times New Roman" w:cs="Calibri"/>
              </w:rPr>
              <w:t>2023</w:t>
            </w:r>
          </w:p>
        </w:tc>
        <w:tc>
          <w:tcPr>
            <w:tcW w:w="1190" w:type="dxa"/>
            <w:tcBorders>
              <w:top w:val="nil"/>
              <w:left w:val="nil"/>
              <w:bottom w:val="single" w:sz="8" w:space="0" w:color="FFD966"/>
              <w:right w:val="single" w:sz="8" w:space="0" w:color="FFD966"/>
            </w:tcBorders>
            <w:shd w:val="clear" w:color="000000" w:fill="D9E1F2"/>
            <w:noWrap/>
            <w:vAlign w:val="center"/>
            <w:hideMark/>
          </w:tcPr>
          <w:p w14:paraId="263CCFE7" w14:textId="77777777" w:rsidR="00BA4AFF" w:rsidRPr="00BA4AFF" w:rsidRDefault="00BA4AFF" w:rsidP="00BA4AFF">
            <w:pPr>
              <w:spacing w:line="240" w:lineRule="auto"/>
              <w:jc w:val="right"/>
              <w:rPr>
                <w:rFonts w:eastAsia="Times New Roman" w:cs="Calibri"/>
              </w:rPr>
            </w:pPr>
            <w:r w:rsidRPr="00BA4AFF">
              <w:rPr>
                <w:rFonts w:eastAsia="Times New Roman" w:cs="Calibri"/>
              </w:rPr>
              <w:t>2024</w:t>
            </w:r>
          </w:p>
        </w:tc>
        <w:tc>
          <w:tcPr>
            <w:tcW w:w="1190" w:type="dxa"/>
            <w:tcBorders>
              <w:top w:val="nil"/>
              <w:left w:val="nil"/>
              <w:bottom w:val="single" w:sz="8" w:space="0" w:color="FFD966"/>
              <w:right w:val="single" w:sz="8" w:space="0" w:color="FFD966"/>
            </w:tcBorders>
            <w:shd w:val="clear" w:color="000000" w:fill="D9E1F2"/>
            <w:noWrap/>
            <w:vAlign w:val="center"/>
            <w:hideMark/>
          </w:tcPr>
          <w:p w14:paraId="0600909C" w14:textId="77777777" w:rsidR="00BA4AFF" w:rsidRPr="00BA4AFF" w:rsidRDefault="00BA4AFF" w:rsidP="00BA4AFF">
            <w:pPr>
              <w:spacing w:line="240" w:lineRule="auto"/>
              <w:jc w:val="right"/>
              <w:rPr>
                <w:rFonts w:eastAsia="Times New Roman" w:cs="Calibri"/>
              </w:rPr>
            </w:pPr>
            <w:r w:rsidRPr="00BA4AFF">
              <w:rPr>
                <w:rFonts w:eastAsia="Times New Roman" w:cs="Calibri"/>
              </w:rPr>
              <w:t>2025</w:t>
            </w:r>
          </w:p>
        </w:tc>
        <w:tc>
          <w:tcPr>
            <w:tcW w:w="1190" w:type="dxa"/>
            <w:tcBorders>
              <w:top w:val="nil"/>
              <w:left w:val="nil"/>
              <w:bottom w:val="single" w:sz="8" w:space="0" w:color="FFD966"/>
              <w:right w:val="single" w:sz="8" w:space="0" w:color="FFD966"/>
            </w:tcBorders>
            <w:shd w:val="clear" w:color="000000" w:fill="D9E1F2"/>
            <w:noWrap/>
            <w:vAlign w:val="center"/>
            <w:hideMark/>
          </w:tcPr>
          <w:p w14:paraId="5EB87348" w14:textId="77777777" w:rsidR="00BA4AFF" w:rsidRPr="00BA4AFF" w:rsidRDefault="00BA4AFF" w:rsidP="00BA4AFF">
            <w:pPr>
              <w:spacing w:line="240" w:lineRule="auto"/>
              <w:jc w:val="right"/>
              <w:rPr>
                <w:rFonts w:eastAsia="Times New Roman" w:cs="Calibri"/>
              </w:rPr>
            </w:pPr>
            <w:r w:rsidRPr="00BA4AFF">
              <w:rPr>
                <w:rFonts w:eastAsia="Times New Roman" w:cs="Calibri"/>
              </w:rPr>
              <w:t>2026</w:t>
            </w:r>
          </w:p>
        </w:tc>
        <w:tc>
          <w:tcPr>
            <w:tcW w:w="1190" w:type="dxa"/>
            <w:tcBorders>
              <w:top w:val="nil"/>
              <w:left w:val="nil"/>
              <w:bottom w:val="single" w:sz="8" w:space="0" w:color="FFD966"/>
              <w:right w:val="single" w:sz="8" w:space="0" w:color="FFD966"/>
            </w:tcBorders>
            <w:shd w:val="clear" w:color="000000" w:fill="D9E1F2"/>
            <w:noWrap/>
            <w:vAlign w:val="center"/>
            <w:hideMark/>
          </w:tcPr>
          <w:p w14:paraId="652B7D5A" w14:textId="77777777" w:rsidR="00BA4AFF" w:rsidRPr="00BA4AFF" w:rsidRDefault="00BA4AFF" w:rsidP="00BA4AFF">
            <w:pPr>
              <w:spacing w:line="240" w:lineRule="auto"/>
              <w:jc w:val="right"/>
              <w:rPr>
                <w:rFonts w:eastAsia="Times New Roman" w:cs="Calibri"/>
              </w:rPr>
            </w:pPr>
            <w:r w:rsidRPr="00BA4AFF">
              <w:rPr>
                <w:rFonts w:eastAsia="Times New Roman" w:cs="Calibri"/>
              </w:rPr>
              <w:t>2027</w:t>
            </w:r>
          </w:p>
        </w:tc>
        <w:tc>
          <w:tcPr>
            <w:tcW w:w="1335" w:type="dxa"/>
            <w:tcBorders>
              <w:top w:val="nil"/>
              <w:left w:val="nil"/>
              <w:bottom w:val="single" w:sz="8" w:space="0" w:color="FFD966"/>
              <w:right w:val="single" w:sz="12" w:space="0" w:color="FFD966"/>
            </w:tcBorders>
            <w:shd w:val="clear" w:color="000000" w:fill="D9E1F2"/>
            <w:noWrap/>
            <w:vAlign w:val="center"/>
            <w:hideMark/>
          </w:tcPr>
          <w:p w14:paraId="5074CA9F" w14:textId="77777777" w:rsidR="00BA4AFF" w:rsidRPr="00BA4AFF" w:rsidRDefault="00BA4AFF" w:rsidP="00BA4AFF">
            <w:pPr>
              <w:spacing w:line="240" w:lineRule="auto"/>
              <w:jc w:val="right"/>
              <w:rPr>
                <w:rFonts w:eastAsia="Times New Roman" w:cs="Calibri"/>
                <w:b/>
                <w:bCs/>
                <w:i/>
                <w:iCs/>
              </w:rPr>
            </w:pPr>
            <w:r w:rsidRPr="00BA4AFF">
              <w:rPr>
                <w:rFonts w:eastAsia="Times New Roman" w:cs="Calibri"/>
                <w:b/>
                <w:bCs/>
                <w:i/>
                <w:iCs/>
              </w:rPr>
              <w:t>Total</w:t>
            </w:r>
          </w:p>
        </w:tc>
      </w:tr>
      <w:tr w:rsidR="00BA4AFF" w:rsidRPr="00BA4AFF" w14:paraId="005C59F1" w14:textId="77777777" w:rsidTr="00F371B5">
        <w:trPr>
          <w:trHeight w:val="396"/>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07D34C43" w14:textId="77777777" w:rsidR="00BA4AFF" w:rsidRPr="00BA4AFF" w:rsidRDefault="00BA4AFF" w:rsidP="00BA4AFF">
            <w:pPr>
              <w:spacing w:line="240" w:lineRule="auto"/>
              <w:rPr>
                <w:rFonts w:eastAsia="Times New Roman" w:cs="Calibri"/>
                <w:b/>
                <w:bCs/>
                <w:i/>
                <w:iCs/>
                <w:color w:val="000000"/>
              </w:rPr>
            </w:pPr>
            <w:r w:rsidRPr="00BA4AFF">
              <w:rPr>
                <w:rFonts w:eastAsia="Times New Roman" w:cs="Calibri"/>
                <w:b/>
                <w:bCs/>
                <w:i/>
                <w:iCs/>
                <w:color w:val="000000"/>
              </w:rPr>
              <w:t>Amount</w:t>
            </w:r>
          </w:p>
        </w:tc>
        <w:tc>
          <w:tcPr>
            <w:tcW w:w="1190" w:type="dxa"/>
            <w:tcBorders>
              <w:top w:val="nil"/>
              <w:left w:val="nil"/>
              <w:bottom w:val="single" w:sz="12" w:space="0" w:color="FFD966"/>
              <w:right w:val="single" w:sz="8" w:space="0" w:color="FFD966"/>
            </w:tcBorders>
            <w:shd w:val="clear" w:color="auto" w:fill="auto"/>
            <w:noWrap/>
            <w:vAlign w:val="center"/>
            <w:hideMark/>
          </w:tcPr>
          <w:p w14:paraId="50215F49"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$6,955,000 </w:t>
            </w:r>
          </w:p>
        </w:tc>
        <w:tc>
          <w:tcPr>
            <w:tcW w:w="1190" w:type="dxa"/>
            <w:tcBorders>
              <w:top w:val="nil"/>
              <w:left w:val="nil"/>
              <w:bottom w:val="single" w:sz="12" w:space="0" w:color="FFD966"/>
              <w:right w:val="single" w:sz="8" w:space="0" w:color="FFD966"/>
            </w:tcBorders>
            <w:shd w:val="clear" w:color="auto" w:fill="auto"/>
            <w:noWrap/>
            <w:vAlign w:val="center"/>
            <w:hideMark/>
          </w:tcPr>
          <w:p w14:paraId="2B514F29"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$7,108,000 </w:t>
            </w:r>
          </w:p>
        </w:tc>
        <w:tc>
          <w:tcPr>
            <w:tcW w:w="1190" w:type="dxa"/>
            <w:tcBorders>
              <w:top w:val="nil"/>
              <w:left w:val="nil"/>
              <w:bottom w:val="single" w:sz="12" w:space="0" w:color="FFD966"/>
              <w:right w:val="single" w:sz="8" w:space="0" w:color="FFD966"/>
            </w:tcBorders>
            <w:shd w:val="clear" w:color="auto" w:fill="auto"/>
            <w:noWrap/>
            <w:vAlign w:val="center"/>
            <w:hideMark/>
          </w:tcPr>
          <w:p w14:paraId="695690FD"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$7,264,000 </w:t>
            </w:r>
          </w:p>
        </w:tc>
        <w:tc>
          <w:tcPr>
            <w:tcW w:w="1190" w:type="dxa"/>
            <w:tcBorders>
              <w:top w:val="nil"/>
              <w:left w:val="nil"/>
              <w:bottom w:val="single" w:sz="12" w:space="0" w:color="FFD966"/>
              <w:right w:val="single" w:sz="8" w:space="0" w:color="FFD966"/>
            </w:tcBorders>
            <w:shd w:val="clear" w:color="auto" w:fill="auto"/>
            <w:noWrap/>
            <w:vAlign w:val="center"/>
            <w:hideMark/>
          </w:tcPr>
          <w:p w14:paraId="3905237C"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$7,424,000 </w:t>
            </w:r>
          </w:p>
        </w:tc>
        <w:tc>
          <w:tcPr>
            <w:tcW w:w="1190" w:type="dxa"/>
            <w:tcBorders>
              <w:top w:val="nil"/>
              <w:left w:val="nil"/>
              <w:bottom w:val="single" w:sz="12" w:space="0" w:color="FFD966"/>
              <w:right w:val="single" w:sz="8" w:space="0" w:color="FFD966"/>
            </w:tcBorders>
            <w:shd w:val="clear" w:color="auto" w:fill="auto"/>
            <w:noWrap/>
            <w:vAlign w:val="center"/>
            <w:hideMark/>
          </w:tcPr>
          <w:p w14:paraId="152F2344"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$7,588,000 </w:t>
            </w:r>
          </w:p>
        </w:tc>
        <w:tc>
          <w:tcPr>
            <w:tcW w:w="1190" w:type="dxa"/>
            <w:tcBorders>
              <w:top w:val="nil"/>
              <w:left w:val="nil"/>
              <w:bottom w:val="single" w:sz="12" w:space="0" w:color="FFD966"/>
              <w:right w:val="single" w:sz="8" w:space="0" w:color="FFD966"/>
            </w:tcBorders>
            <w:shd w:val="clear" w:color="auto" w:fill="auto"/>
            <w:noWrap/>
            <w:vAlign w:val="center"/>
            <w:hideMark/>
          </w:tcPr>
          <w:p w14:paraId="4C68ABAA"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$7,754,000 </w:t>
            </w:r>
          </w:p>
        </w:tc>
        <w:tc>
          <w:tcPr>
            <w:tcW w:w="1335" w:type="dxa"/>
            <w:tcBorders>
              <w:top w:val="nil"/>
              <w:left w:val="nil"/>
              <w:bottom w:val="single" w:sz="12" w:space="0" w:color="FFD966"/>
              <w:right w:val="single" w:sz="12" w:space="0" w:color="FFD966"/>
            </w:tcBorders>
            <w:shd w:val="clear" w:color="auto" w:fill="auto"/>
            <w:noWrap/>
            <w:vAlign w:val="center"/>
            <w:hideMark/>
          </w:tcPr>
          <w:p w14:paraId="668E68EE" w14:textId="77777777" w:rsidR="00BA4AFF" w:rsidRPr="00BA4AFF" w:rsidRDefault="00BA4AFF" w:rsidP="00BA4AFF">
            <w:pPr>
              <w:spacing w:line="240" w:lineRule="auto"/>
              <w:jc w:val="right"/>
              <w:rPr>
                <w:rFonts w:eastAsia="Times New Roman" w:cs="Calibri"/>
                <w:b/>
                <w:bCs/>
                <w:color w:val="000000"/>
              </w:rPr>
            </w:pPr>
            <w:r w:rsidRPr="00BA4AFF">
              <w:rPr>
                <w:rFonts w:eastAsia="Times New Roman" w:cs="Calibri"/>
                <w:b/>
                <w:bCs/>
                <w:color w:val="000000"/>
              </w:rPr>
              <w:t xml:space="preserve">$44,094,000 </w:t>
            </w:r>
          </w:p>
        </w:tc>
      </w:tr>
    </w:tbl>
    <w:p w14:paraId="59BE6C35" w14:textId="591AE876" w:rsidR="001525DE" w:rsidRDefault="001525DE" w:rsidP="00DD4D44">
      <w:pPr>
        <w:contextualSpacing/>
        <w:rPr>
          <w:rFonts w:eastAsia="Calibri" w:cs="Calibri"/>
          <w:b/>
          <w:bCs/>
          <w:color w:val="000000" w:themeColor="text1"/>
        </w:rPr>
      </w:pPr>
    </w:p>
    <w:p w14:paraId="058841D7" w14:textId="01BD617F" w:rsidR="00DD4D44" w:rsidRDefault="00DD4D44" w:rsidP="00DD4D44">
      <w:pPr>
        <w:contextualSpacing/>
        <w:rPr>
          <w:rFonts w:eastAsia="Calibri" w:cs="Calibri"/>
          <w:b/>
          <w:bCs/>
          <w:color w:val="000000" w:themeColor="text1"/>
        </w:rPr>
      </w:pPr>
      <w:r>
        <w:rPr>
          <w:rFonts w:eastAsia="Calibri" w:cs="Calibri"/>
          <w:b/>
          <w:bCs/>
          <w:color w:val="000000" w:themeColor="text1"/>
        </w:rPr>
        <w:t>Description:</w:t>
      </w:r>
    </w:p>
    <w:p w14:paraId="13276EF8" w14:textId="70CF0961" w:rsidR="00DD4D44" w:rsidRPr="00381538" w:rsidRDefault="00DD4D44" w:rsidP="00992A15">
      <w:pPr>
        <w:contextualSpacing/>
        <w:rPr>
          <w:color w:val="000000" w:themeColor="text1"/>
        </w:rPr>
      </w:pPr>
      <w:r>
        <w:rPr>
          <w:rFonts w:eastAsia="Calibri" w:cs="Calibri"/>
          <w:color w:val="000000" w:themeColor="text1"/>
        </w:rPr>
        <w:t>Under t</w:t>
      </w:r>
      <w:r w:rsidRPr="00D03F1F">
        <w:rPr>
          <w:rFonts w:eastAsia="Calibri" w:cs="Calibri"/>
          <w:color w:val="000000" w:themeColor="text1"/>
        </w:rPr>
        <w:t>he Expanded Learning strategy</w:t>
      </w:r>
      <w:r>
        <w:rPr>
          <w:rFonts w:eastAsia="Calibri" w:cs="Calibri"/>
          <w:color w:val="000000" w:themeColor="text1"/>
        </w:rPr>
        <w:t xml:space="preserve">, </w:t>
      </w:r>
      <w:r w:rsidR="002242F9" w:rsidRPr="00A209CA">
        <w:rPr>
          <w:rFonts w:eastAsia="Calibri" w:cs="Calibri"/>
          <w:i/>
          <w:iCs/>
          <w:color w:val="000000" w:themeColor="text1"/>
        </w:rPr>
        <w:t>Best Starts for Kids</w:t>
      </w:r>
      <w:r>
        <w:rPr>
          <w:rFonts w:eastAsia="Calibri" w:cs="Calibri"/>
          <w:color w:val="000000" w:themeColor="text1"/>
        </w:rPr>
        <w:t xml:space="preserve">-funded organizations </w:t>
      </w:r>
      <w:r w:rsidRPr="00D03F1F">
        <w:rPr>
          <w:rFonts w:eastAsia="Calibri" w:cs="Calibri"/>
          <w:color w:val="000000" w:themeColor="text1"/>
        </w:rPr>
        <w:t>provide</w:t>
      </w:r>
      <w:r w:rsidRPr="00D03F1F" w:rsidDel="004E3F37">
        <w:rPr>
          <w:rFonts w:eastAsia="Calibri" w:cs="Calibri"/>
          <w:color w:val="000000" w:themeColor="text1"/>
        </w:rPr>
        <w:t xml:space="preserve"> </w:t>
      </w:r>
      <w:r w:rsidRPr="00D03F1F">
        <w:rPr>
          <w:rFonts w:eastAsia="Calibri" w:cs="Calibri"/>
          <w:color w:val="000000" w:themeColor="text1"/>
        </w:rPr>
        <w:t xml:space="preserve">consistent, high-quality and culturally responsive programming to children and youth with access to a range of activities from academic enrichment to cultural and social development activities, recreation, physical activity and health promotion, arts education, and leadership skills. The Expanded Learning strategy </w:t>
      </w:r>
      <w:r w:rsidR="005D0CE1">
        <w:rPr>
          <w:rFonts w:eastAsia="Calibri" w:cs="Calibri"/>
          <w:color w:val="000000" w:themeColor="text1"/>
        </w:rPr>
        <w:t xml:space="preserve">continues the </w:t>
      </w:r>
      <w:r w:rsidRPr="00D03F1F">
        <w:rPr>
          <w:rFonts w:eastAsia="Calibri" w:cs="Calibri"/>
          <w:color w:val="000000" w:themeColor="text1"/>
        </w:rPr>
        <w:t>two funding models</w:t>
      </w:r>
      <w:r w:rsidR="00E06A4F">
        <w:rPr>
          <w:rFonts w:eastAsia="Calibri" w:cs="Calibri"/>
          <w:color w:val="000000" w:themeColor="text1"/>
        </w:rPr>
        <w:t xml:space="preserve"> from the original levy</w:t>
      </w:r>
      <w:r w:rsidRPr="00D03F1F">
        <w:rPr>
          <w:rFonts w:eastAsia="Calibri" w:cs="Calibri"/>
          <w:color w:val="000000" w:themeColor="text1"/>
        </w:rPr>
        <w:t>:</w:t>
      </w:r>
      <w:r w:rsidR="00992A15">
        <w:rPr>
          <w:rFonts w:eastAsia="Calibri" w:cs="Calibri"/>
          <w:color w:val="000000" w:themeColor="text1"/>
        </w:rPr>
        <w:t xml:space="preserve"> </w:t>
      </w:r>
      <w:r w:rsidRPr="00B472CA">
        <w:rPr>
          <w:rFonts w:eastAsia="Calibri" w:cs="Calibri"/>
          <w:color w:val="000000" w:themeColor="text1"/>
        </w:rPr>
        <w:t xml:space="preserve">Place-based partnerships </w:t>
      </w:r>
      <w:r w:rsidR="009C1DD5" w:rsidRPr="00B472CA">
        <w:rPr>
          <w:rFonts w:eastAsia="Calibri" w:cs="Calibri"/>
          <w:color w:val="000000" w:themeColor="text1"/>
        </w:rPr>
        <w:t>in</w:t>
      </w:r>
      <w:r w:rsidR="00E06A4F" w:rsidRPr="00B472CA">
        <w:rPr>
          <w:rFonts w:eastAsia="Calibri" w:cs="Calibri"/>
          <w:color w:val="000000" w:themeColor="text1"/>
        </w:rPr>
        <w:t xml:space="preserve"> schools </w:t>
      </w:r>
      <w:r w:rsidR="009C1DD5" w:rsidRPr="00B472CA">
        <w:rPr>
          <w:rFonts w:eastAsia="Calibri" w:cs="Calibri"/>
          <w:color w:val="000000" w:themeColor="text1"/>
        </w:rPr>
        <w:t>and</w:t>
      </w:r>
      <w:r w:rsidR="00E06A4F" w:rsidRPr="00B472CA">
        <w:rPr>
          <w:rFonts w:eastAsia="Calibri" w:cs="Calibri"/>
          <w:color w:val="000000" w:themeColor="text1"/>
        </w:rPr>
        <w:t xml:space="preserve"> housing </w:t>
      </w:r>
      <w:r w:rsidR="009C1DD5" w:rsidRPr="00B472CA">
        <w:rPr>
          <w:rFonts w:eastAsia="Calibri" w:cs="Calibri"/>
          <w:color w:val="000000" w:themeColor="text1"/>
        </w:rPr>
        <w:t>complexes</w:t>
      </w:r>
      <w:r w:rsidR="00316B31">
        <w:rPr>
          <w:rFonts w:eastAsia="Calibri" w:cs="Calibri"/>
          <w:color w:val="000000" w:themeColor="text1"/>
        </w:rPr>
        <w:t>,</w:t>
      </w:r>
      <w:r w:rsidRPr="00B472CA">
        <w:rPr>
          <w:rFonts w:eastAsia="Calibri" w:cs="Calibri"/>
          <w:color w:val="000000" w:themeColor="text1"/>
        </w:rPr>
        <w:t xml:space="preserve"> </w:t>
      </w:r>
      <w:r w:rsidR="00992A15" w:rsidRPr="00B472CA">
        <w:rPr>
          <w:rFonts w:eastAsia="Calibri" w:cs="Calibri"/>
          <w:color w:val="000000" w:themeColor="text1"/>
        </w:rPr>
        <w:t>and</w:t>
      </w:r>
      <w:r w:rsidR="009C1DD5" w:rsidRPr="00B472CA">
        <w:rPr>
          <w:rFonts w:eastAsia="Calibri" w:cs="Calibri"/>
          <w:color w:val="000000" w:themeColor="text1"/>
        </w:rPr>
        <w:t xml:space="preserve"> </w:t>
      </w:r>
      <w:r w:rsidRPr="00B472CA">
        <w:rPr>
          <w:rFonts w:eastAsia="Calibri" w:cs="Calibri"/>
          <w:color w:val="000000" w:themeColor="text1"/>
        </w:rPr>
        <w:t>Black, Indigenous, People of Color (BIPOC)-led organizations</w:t>
      </w:r>
      <w:r w:rsidRPr="00D03F1F">
        <w:rPr>
          <w:rFonts w:eastAsia="Calibri" w:cs="Calibri"/>
          <w:color w:val="000000" w:themeColor="text1"/>
        </w:rPr>
        <w:t>.</w:t>
      </w:r>
      <w:r w:rsidR="00A84580">
        <w:rPr>
          <w:rFonts w:eastAsia="Calibri" w:cs="Calibri"/>
          <w:color w:val="000000" w:themeColor="text1"/>
        </w:rPr>
        <w:t xml:space="preserve"> In the renewed levy, Expanded Learning programming will </w:t>
      </w:r>
      <w:r w:rsidR="00586B51">
        <w:rPr>
          <w:rFonts w:eastAsia="Calibri" w:cs="Calibri"/>
          <w:color w:val="000000" w:themeColor="text1"/>
        </w:rPr>
        <w:t xml:space="preserve">also include licensed school-age </w:t>
      </w:r>
      <w:r w:rsidR="00D26328">
        <w:rPr>
          <w:rFonts w:eastAsia="Calibri" w:cs="Calibri"/>
          <w:color w:val="000000" w:themeColor="text1"/>
        </w:rPr>
        <w:t xml:space="preserve">care </w:t>
      </w:r>
      <w:r w:rsidR="00586B51">
        <w:rPr>
          <w:rFonts w:eastAsia="Calibri" w:cs="Calibri"/>
          <w:color w:val="000000" w:themeColor="text1"/>
        </w:rPr>
        <w:t>providers.</w:t>
      </w:r>
    </w:p>
    <w:p w14:paraId="6AD8E45A" w14:textId="77777777" w:rsidR="00DD4D44" w:rsidRDefault="00DD4D44" w:rsidP="00B30550">
      <w:pPr>
        <w:rPr>
          <w:color w:val="000000" w:themeColor="text1"/>
        </w:rPr>
      </w:pPr>
    </w:p>
    <w:p w14:paraId="1DBD3CBF" w14:textId="687BC688" w:rsidR="00DD4D44" w:rsidRPr="00D03F1F" w:rsidRDefault="208F8E7D" w:rsidP="00DD4D44">
      <w:pPr>
        <w:contextualSpacing/>
        <w:rPr>
          <w:rFonts w:eastAsia="Calibri" w:cs="Calibri"/>
          <w:color w:val="000000" w:themeColor="text1"/>
        </w:rPr>
      </w:pPr>
      <w:r w:rsidRPr="00D03F1F">
        <w:rPr>
          <w:rFonts w:eastAsia="Calibri" w:cs="Calibri"/>
          <w:color w:val="000000" w:themeColor="text1"/>
        </w:rPr>
        <w:lastRenderedPageBreak/>
        <w:t>As part of this investment, School’s Out Washington’s (SOWA) King County Professional Learning System</w:t>
      </w:r>
      <w:r>
        <w:rPr>
          <w:rFonts w:eastAsia="Calibri" w:cs="Calibri"/>
          <w:color w:val="000000" w:themeColor="text1"/>
        </w:rPr>
        <w:t xml:space="preserve"> offers professional development to all </w:t>
      </w:r>
      <w:r w:rsidR="358E6BA0" w:rsidRPr="0039262B">
        <w:rPr>
          <w:rFonts w:eastAsia="Calibri" w:cs="Calibri"/>
          <w:i/>
          <w:color w:val="000000" w:themeColor="text1"/>
        </w:rPr>
        <w:t>Best Starts</w:t>
      </w:r>
      <w:r w:rsidR="358E6BA0">
        <w:rPr>
          <w:rFonts w:eastAsia="Calibri" w:cs="Calibri"/>
          <w:color w:val="000000" w:themeColor="text1"/>
        </w:rPr>
        <w:t xml:space="preserve"> funded organizations in the </w:t>
      </w:r>
      <w:r w:rsidR="0014023A">
        <w:rPr>
          <w:rFonts w:eastAsia="Calibri" w:cs="Calibri"/>
          <w:color w:val="000000" w:themeColor="text1"/>
        </w:rPr>
        <w:t>Sustain the Gain investment area</w:t>
      </w:r>
      <w:r w:rsidRPr="00D03F1F">
        <w:rPr>
          <w:rFonts w:eastAsia="Calibri" w:cs="Calibri"/>
          <w:color w:val="000000" w:themeColor="text1"/>
        </w:rPr>
        <w:t xml:space="preserve">, with a focus on the </w:t>
      </w:r>
      <w:r w:rsidRPr="00D03F1F">
        <w:rPr>
          <w:rFonts w:eastAsia="Calibri" w:cs="Calibri"/>
        </w:rPr>
        <w:t>Youth Program Quality Initiative</w:t>
      </w:r>
      <w:r w:rsidRPr="00D03F1F">
        <w:rPr>
          <w:rFonts w:eastAsia="Calibri" w:cs="Calibri"/>
          <w:color w:val="000000" w:themeColor="text1"/>
        </w:rPr>
        <w:t> (YPQI) process for continuous quality improvement and promotion of </w:t>
      </w:r>
      <w:r w:rsidRPr="00D03F1F">
        <w:rPr>
          <w:rFonts w:eastAsia="Calibri" w:cs="Calibri"/>
        </w:rPr>
        <w:t>social-emotional learning</w:t>
      </w:r>
      <w:r w:rsidRPr="00D03F1F">
        <w:rPr>
          <w:rFonts w:eastAsia="Calibri" w:cs="Calibri"/>
          <w:color w:val="000000" w:themeColor="text1"/>
        </w:rPr>
        <w:t> (SEL)</w:t>
      </w:r>
      <w:r>
        <w:rPr>
          <w:rFonts w:eastAsia="Calibri" w:cs="Calibri"/>
          <w:color w:val="000000" w:themeColor="text1"/>
        </w:rPr>
        <w:t>.</w:t>
      </w:r>
      <w:r w:rsidR="007A634D" w:rsidRPr="007A634D">
        <w:rPr>
          <w:rStyle w:val="FootnoteReference"/>
          <w:rFonts w:eastAsia="Calibri" w:cs="Calibri"/>
          <w:color w:val="000000" w:themeColor="text1"/>
        </w:rPr>
        <w:t xml:space="preserve"> </w:t>
      </w:r>
      <w:r w:rsidR="007A634D" w:rsidRPr="00D03F1F">
        <w:rPr>
          <w:rStyle w:val="FootnoteReference"/>
          <w:rFonts w:eastAsia="Calibri" w:cs="Calibri"/>
          <w:color w:val="000000" w:themeColor="text1"/>
        </w:rPr>
        <w:footnoteReference w:id="167"/>
      </w:r>
      <w:r w:rsidR="00E12B03">
        <w:rPr>
          <w:rFonts w:eastAsia="Calibri" w:cs="Calibri"/>
          <w:color w:val="000000" w:themeColor="text1"/>
          <w:vertAlign w:val="superscript"/>
        </w:rPr>
        <w:t>,</w:t>
      </w:r>
      <w:r w:rsidR="007A634D">
        <w:t xml:space="preserve"> </w:t>
      </w:r>
      <w:r w:rsidR="00DD4D44" w:rsidRPr="00D03F1F">
        <w:rPr>
          <w:rStyle w:val="FootnoteReference"/>
          <w:rFonts w:eastAsia="Calibri" w:cs="Calibri"/>
          <w:color w:val="000000" w:themeColor="text1"/>
        </w:rPr>
        <w:footnoteReference w:id="168"/>
      </w:r>
    </w:p>
    <w:p w14:paraId="7FD01C29" w14:textId="77777777" w:rsidR="00DD4D44" w:rsidRPr="00D03F1F" w:rsidRDefault="00DD4D44" w:rsidP="00DD4D44">
      <w:pPr>
        <w:contextualSpacing/>
        <w:rPr>
          <w:rFonts w:eastAsia="Calibri" w:cs="Calibri"/>
          <w:b/>
          <w:bCs/>
          <w:color w:val="000000" w:themeColor="text1"/>
        </w:rPr>
      </w:pPr>
    </w:p>
    <w:p w14:paraId="0F65EEE1" w14:textId="29189564" w:rsidR="00B042CA" w:rsidRDefault="00CC72CF" w:rsidP="00B042CA">
      <w:pPr>
        <w:shd w:val="clear" w:color="auto" w:fill="FFFFFF"/>
        <w:textAlignment w:val="baseline"/>
        <w:rPr>
          <w:rFonts w:eastAsia="Times New Roman" w:cs="Calibri"/>
          <w:b/>
          <w:color w:val="000000" w:themeColor="text1"/>
        </w:rPr>
      </w:pPr>
      <w:r w:rsidRPr="0CEE62F0">
        <w:rPr>
          <w:rFonts w:eastAsia="Times New Roman" w:cs="Calibri"/>
          <w:b/>
          <w:color w:val="000000" w:themeColor="text1"/>
        </w:rPr>
        <w:t>Planned Refinements in</w:t>
      </w:r>
      <w:r w:rsidR="005B3FA5" w:rsidRPr="005B3FA5">
        <w:t xml:space="preserve"> </w:t>
      </w:r>
      <w:r w:rsidR="005B3FA5" w:rsidRPr="001F244E">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1F244E">
        <w:rPr>
          <w:rFonts w:eastAsia="Times New Roman" w:cs="Calibri"/>
          <w:b/>
          <w:color w:val="000000" w:themeColor="text1"/>
        </w:rPr>
        <w:t>:</w:t>
      </w:r>
    </w:p>
    <w:p w14:paraId="38236670" w14:textId="4314C8BE" w:rsidR="006A4903" w:rsidRPr="00A209CA" w:rsidRDefault="006A4903" w:rsidP="00B042CA">
      <w:pPr>
        <w:shd w:val="clear" w:color="auto" w:fill="FFFFFF"/>
        <w:textAlignment w:val="baseline"/>
      </w:pPr>
      <w:r>
        <w:rPr>
          <w:color w:val="000000"/>
        </w:rPr>
        <w:t>In addition to continuing currently funded programs, in 2022-2027 </w:t>
      </w:r>
      <w:r>
        <w:rPr>
          <w:i/>
          <w:iCs/>
          <w:color w:val="000000"/>
        </w:rPr>
        <w:t>Best Starts </w:t>
      </w:r>
      <w:r>
        <w:rPr>
          <w:color w:val="000000"/>
        </w:rPr>
        <w:t>plans to:  </w:t>
      </w:r>
    </w:p>
    <w:p w14:paraId="453AF4CC" w14:textId="66A52E3E" w:rsidR="003072DD" w:rsidRPr="008D6F63" w:rsidRDefault="007A045D" w:rsidP="00025030">
      <w:pPr>
        <w:pStyle w:val="ListParagraph"/>
        <w:numPr>
          <w:ilvl w:val="0"/>
          <w:numId w:val="46"/>
        </w:numPr>
        <w:contextualSpacing w:val="0"/>
        <w:rPr>
          <w:rFonts w:eastAsia="Calibri"/>
        </w:rPr>
      </w:pPr>
      <w:r w:rsidRPr="003072DD">
        <w:rPr>
          <w:rFonts w:eastAsia="Calibri" w:cs="Calibri"/>
          <w:iCs/>
          <w:color w:val="000000" w:themeColor="text1"/>
        </w:rPr>
        <w:t>E</w:t>
      </w:r>
      <w:r w:rsidR="00DD4D44" w:rsidRPr="003072DD">
        <w:rPr>
          <w:rFonts w:eastAsia="Calibri" w:cs="Calibri"/>
          <w:iCs/>
          <w:color w:val="000000" w:themeColor="text1"/>
        </w:rPr>
        <w:t>xpan</w:t>
      </w:r>
      <w:r w:rsidR="00DD4D44" w:rsidRPr="003072DD">
        <w:rPr>
          <w:rFonts w:eastAsia="Calibri" w:cs="Calibri"/>
          <w:color w:val="000000" w:themeColor="text1"/>
        </w:rPr>
        <w:t xml:space="preserve">d </w:t>
      </w:r>
      <w:r w:rsidR="006A4903">
        <w:rPr>
          <w:rFonts w:eastAsia="Calibri" w:cs="Calibri"/>
          <w:color w:val="000000" w:themeColor="text1"/>
        </w:rPr>
        <w:t>this investment</w:t>
      </w:r>
      <w:r w:rsidR="00DD4D44" w:rsidRPr="003072DD">
        <w:rPr>
          <w:rFonts w:eastAsia="Calibri" w:cs="Calibri"/>
          <w:color w:val="000000" w:themeColor="text1"/>
        </w:rPr>
        <w:t xml:space="preserve"> t</w:t>
      </w:r>
      <w:r w:rsidRPr="003072DD">
        <w:rPr>
          <w:rFonts w:eastAsia="Calibri" w:cs="Calibri"/>
          <w:color w:val="000000" w:themeColor="text1"/>
        </w:rPr>
        <w:t>o r</w:t>
      </w:r>
      <w:r w:rsidR="003A07AC" w:rsidRPr="003072DD">
        <w:rPr>
          <w:rFonts w:eastAsia="Calibri" w:cs="Calibri"/>
          <w:color w:val="000000" w:themeColor="text1"/>
        </w:rPr>
        <w:t>each</w:t>
      </w:r>
      <w:r w:rsidR="00DD4D44" w:rsidRPr="003072DD">
        <w:rPr>
          <w:rFonts w:eastAsia="Calibri" w:cs="Calibri"/>
          <w:color w:val="000000" w:themeColor="text1"/>
        </w:rPr>
        <w:t xml:space="preserve"> licensed school-age</w:t>
      </w:r>
      <w:r w:rsidR="00DD4D44" w:rsidRPr="003072DD" w:rsidDel="00A36CF4">
        <w:rPr>
          <w:rFonts w:eastAsia="Calibri" w:cs="Calibri"/>
          <w:color w:val="000000" w:themeColor="text1"/>
        </w:rPr>
        <w:t xml:space="preserve"> </w:t>
      </w:r>
      <w:r w:rsidR="00DD4D44" w:rsidRPr="003072DD">
        <w:rPr>
          <w:rFonts w:eastAsia="Calibri" w:cs="Calibri"/>
          <w:color w:val="000000" w:themeColor="text1"/>
        </w:rPr>
        <w:t xml:space="preserve">providers serving youth ages </w:t>
      </w:r>
      <w:r w:rsidR="00F475E0">
        <w:rPr>
          <w:rFonts w:eastAsia="Calibri" w:cs="Calibri"/>
          <w:color w:val="000000" w:themeColor="text1"/>
        </w:rPr>
        <w:t>five</w:t>
      </w:r>
      <w:r w:rsidR="00DD4D44" w:rsidRPr="003072DD">
        <w:rPr>
          <w:rFonts w:eastAsia="Calibri" w:cs="Calibri"/>
          <w:color w:val="000000" w:themeColor="text1"/>
        </w:rPr>
        <w:t xml:space="preserve"> to 12 years old </w:t>
      </w:r>
      <w:r w:rsidR="00542413" w:rsidRPr="003072DD">
        <w:rPr>
          <w:rFonts w:eastAsia="Calibri" w:cs="Calibri"/>
          <w:color w:val="000000" w:themeColor="text1"/>
        </w:rPr>
        <w:t xml:space="preserve">to build </w:t>
      </w:r>
      <w:r w:rsidR="005E4C3A">
        <w:rPr>
          <w:rFonts w:eastAsia="Calibri" w:cs="Calibri"/>
          <w:color w:val="000000" w:themeColor="text1"/>
        </w:rPr>
        <w:t>on</w:t>
      </w:r>
      <w:r w:rsidR="00DD4D44" w:rsidRPr="003072DD">
        <w:rPr>
          <w:rFonts w:eastAsia="Calibri" w:cs="Calibri"/>
          <w:color w:val="000000" w:themeColor="text1"/>
        </w:rPr>
        <w:t xml:space="preserve"> </w:t>
      </w:r>
      <w:r w:rsidR="00542413" w:rsidRPr="003072DD">
        <w:rPr>
          <w:rFonts w:eastAsia="Calibri" w:cs="Calibri"/>
          <w:color w:val="000000" w:themeColor="text1"/>
        </w:rPr>
        <w:t>the</w:t>
      </w:r>
      <w:r w:rsidR="00CF2EF4" w:rsidRPr="003072DD">
        <w:rPr>
          <w:rFonts w:eastAsia="Calibri" w:cs="Calibri"/>
          <w:color w:val="000000" w:themeColor="text1"/>
        </w:rPr>
        <w:t xml:space="preserve"> new </w:t>
      </w:r>
      <w:r w:rsidR="00DD4D44" w:rsidRPr="003072DD">
        <w:rPr>
          <w:rFonts w:eastAsia="Calibri" w:cs="Calibri"/>
          <w:i/>
          <w:color w:val="000000" w:themeColor="text1"/>
        </w:rPr>
        <w:t xml:space="preserve">Best </w:t>
      </w:r>
      <w:r w:rsidR="00CF2EF4" w:rsidRPr="003072DD">
        <w:rPr>
          <w:rFonts w:eastAsia="Calibri" w:cs="Calibri"/>
          <w:i/>
          <w:color w:val="000000" w:themeColor="text1"/>
        </w:rPr>
        <w:t xml:space="preserve">Starts </w:t>
      </w:r>
      <w:r w:rsidR="00CF2EF4" w:rsidRPr="003072DD">
        <w:rPr>
          <w:rFonts w:eastAsia="Calibri" w:cs="Calibri"/>
          <w:color w:val="000000" w:themeColor="text1"/>
        </w:rPr>
        <w:t>Investment</w:t>
      </w:r>
      <w:r w:rsidR="00FA57CD" w:rsidRPr="003072DD">
        <w:rPr>
          <w:rFonts w:eastAsia="Calibri" w:cs="Calibri"/>
          <w:color w:val="000000" w:themeColor="text1"/>
        </w:rPr>
        <w:t xml:space="preserve"> in child care </w:t>
      </w:r>
      <w:r w:rsidR="00DD4D44" w:rsidRPr="003072DD">
        <w:rPr>
          <w:rFonts w:eastAsia="Calibri" w:cs="Calibri"/>
          <w:color w:val="000000" w:themeColor="text1"/>
        </w:rPr>
        <w:t xml:space="preserve">for children under </w:t>
      </w:r>
      <w:r w:rsidR="00F475E0">
        <w:rPr>
          <w:rFonts w:eastAsia="Calibri" w:cs="Calibri"/>
          <w:color w:val="000000" w:themeColor="text1"/>
        </w:rPr>
        <w:t>five</w:t>
      </w:r>
      <w:r w:rsidR="00DD4D44" w:rsidRPr="003072DD">
        <w:rPr>
          <w:rFonts w:eastAsia="Calibri" w:cs="Calibri"/>
          <w:color w:val="000000" w:themeColor="text1"/>
        </w:rPr>
        <w:t xml:space="preserve"> years old. </w:t>
      </w:r>
      <w:r w:rsidR="00677AA3" w:rsidRPr="003072DD">
        <w:rPr>
          <w:rFonts w:eastAsia="Calibri" w:cs="Calibri"/>
          <w:color w:val="000000" w:themeColor="text1"/>
        </w:rPr>
        <w:t>License</w:t>
      </w:r>
      <w:r w:rsidR="005E4C3A">
        <w:rPr>
          <w:rFonts w:eastAsia="Calibri" w:cs="Calibri"/>
          <w:color w:val="000000" w:themeColor="text1"/>
        </w:rPr>
        <w:t>d</w:t>
      </w:r>
      <w:r w:rsidR="00677AA3" w:rsidRPr="003072DD">
        <w:rPr>
          <w:rFonts w:eastAsia="Calibri" w:cs="Calibri"/>
          <w:color w:val="000000" w:themeColor="text1"/>
        </w:rPr>
        <w:t xml:space="preserve"> childcare providers will be folded into the Expanded Learning portfolio</w:t>
      </w:r>
      <w:r w:rsidR="003072DD" w:rsidRPr="003072DD">
        <w:rPr>
          <w:rFonts w:eastAsia="Calibri" w:cs="Calibri"/>
          <w:color w:val="000000" w:themeColor="text1"/>
        </w:rPr>
        <w:t>.</w:t>
      </w:r>
      <w:r w:rsidR="00677AA3" w:rsidRPr="003072DD">
        <w:rPr>
          <w:rFonts w:eastAsia="Calibri" w:cs="Calibri"/>
          <w:color w:val="000000" w:themeColor="text1"/>
        </w:rPr>
        <w:t xml:space="preserve"> </w:t>
      </w:r>
    </w:p>
    <w:p w14:paraId="6C41F47C" w14:textId="007E78E3" w:rsidR="00DD4D44" w:rsidRPr="008D6F63" w:rsidRDefault="00EE5F06" w:rsidP="00025030">
      <w:pPr>
        <w:pStyle w:val="ListParagraph"/>
        <w:numPr>
          <w:ilvl w:val="0"/>
          <w:numId w:val="46"/>
        </w:numPr>
        <w:contextualSpacing w:val="0"/>
        <w:rPr>
          <w:rFonts w:eastAsia="Calibri" w:cs="Calibri"/>
          <w:color w:val="000000" w:themeColor="text1"/>
        </w:rPr>
      </w:pPr>
      <w:r w:rsidRPr="00EE5F06">
        <w:rPr>
          <w:rFonts w:eastAsia="Calibri" w:cs="Calibri"/>
          <w:color w:val="000000" w:themeColor="text1"/>
        </w:rPr>
        <w:t>R</w:t>
      </w:r>
      <w:r w:rsidR="208F8E7D" w:rsidRPr="00EE5F06">
        <w:rPr>
          <w:rFonts w:eastAsia="Calibri" w:cs="Calibri"/>
          <w:color w:val="000000" w:themeColor="text1"/>
        </w:rPr>
        <w:t>estr</w:t>
      </w:r>
      <w:r w:rsidR="208F8E7D" w:rsidRPr="001525DE">
        <w:rPr>
          <w:rFonts w:eastAsia="Calibri" w:cs="Calibri"/>
          <w:color w:val="000000" w:themeColor="text1"/>
        </w:rPr>
        <w:t xml:space="preserve">ucture the </w:t>
      </w:r>
      <w:r w:rsidR="6F7D622E" w:rsidRPr="001525DE">
        <w:rPr>
          <w:rFonts w:eastAsia="Calibri" w:cs="Calibri"/>
          <w:color w:val="000000" w:themeColor="text1"/>
        </w:rPr>
        <w:t xml:space="preserve">YPQI </w:t>
      </w:r>
      <w:r w:rsidR="208F8E7D">
        <w:t>e</w:t>
      </w:r>
      <w:r w:rsidR="208F8E7D" w:rsidRPr="001525DE">
        <w:rPr>
          <w:rFonts w:eastAsia="Calibri" w:cs="Calibri"/>
          <w:color w:val="000000" w:themeColor="text1"/>
        </w:rPr>
        <w:t>xperience to better respond to an organization’s level of experience by implementing a three-tiered approach that</w:t>
      </w:r>
      <w:r w:rsidR="003A07AC">
        <w:rPr>
          <w:rFonts w:eastAsia="Calibri" w:cs="Calibri"/>
          <w:color w:val="000000" w:themeColor="text1"/>
        </w:rPr>
        <w:t xml:space="preserve"> </w:t>
      </w:r>
      <w:r w:rsidR="002B77BB" w:rsidRPr="001525DE">
        <w:rPr>
          <w:rFonts w:eastAsia="Calibri" w:cs="Calibri"/>
          <w:color w:val="000000" w:themeColor="text1"/>
        </w:rPr>
        <w:t>provides</w:t>
      </w:r>
      <w:r w:rsidR="208F8E7D" w:rsidRPr="001525DE">
        <w:rPr>
          <w:rFonts w:eastAsia="Calibri" w:cs="Calibri"/>
          <w:color w:val="000000" w:themeColor="text1"/>
        </w:rPr>
        <w:t xml:space="preserve"> tailored access to </w:t>
      </w:r>
      <w:r w:rsidR="3E83AF6F" w:rsidRPr="001525DE">
        <w:rPr>
          <w:rFonts w:eastAsia="Calibri" w:cs="Calibri"/>
          <w:color w:val="000000" w:themeColor="text1"/>
        </w:rPr>
        <w:t>professional development opportunities</w:t>
      </w:r>
      <w:r w:rsidR="3D65E572" w:rsidRPr="001525DE">
        <w:rPr>
          <w:rFonts w:eastAsia="Calibri" w:cs="Calibri"/>
          <w:color w:val="000000" w:themeColor="text1"/>
        </w:rPr>
        <w:t xml:space="preserve"> such as training and coaching</w:t>
      </w:r>
      <w:r w:rsidR="1A61FE64" w:rsidRPr="001525DE">
        <w:rPr>
          <w:rFonts w:eastAsia="Calibri" w:cs="Calibri"/>
          <w:color w:val="000000" w:themeColor="text1"/>
        </w:rPr>
        <w:t xml:space="preserve"> to increase program </w:t>
      </w:r>
      <w:r w:rsidR="208F8E7D" w:rsidRPr="001525DE">
        <w:rPr>
          <w:rFonts w:eastAsia="Calibri" w:cs="Calibri"/>
          <w:color w:val="000000" w:themeColor="text1"/>
        </w:rPr>
        <w:t>quality</w:t>
      </w:r>
      <w:r w:rsidR="1A61FE64" w:rsidRPr="001525DE">
        <w:rPr>
          <w:rFonts w:eastAsia="Calibri" w:cs="Calibri"/>
          <w:color w:val="000000" w:themeColor="text1"/>
        </w:rPr>
        <w:t>.</w:t>
      </w:r>
      <w:r w:rsidR="000D3376">
        <w:rPr>
          <w:rStyle w:val="FootnoteReference"/>
          <w:rFonts w:eastAsia="Calibri" w:cs="Calibri"/>
          <w:color w:val="000000" w:themeColor="text1"/>
        </w:rPr>
        <w:footnoteReference w:id="169"/>
      </w:r>
      <w:r w:rsidR="208F8E7D" w:rsidRPr="001525DE">
        <w:rPr>
          <w:rFonts w:eastAsia="Calibri" w:cs="Calibri"/>
          <w:color w:val="000000" w:themeColor="text1"/>
        </w:rPr>
        <w:t xml:space="preserve"> </w:t>
      </w:r>
    </w:p>
    <w:p w14:paraId="394D17E8" w14:textId="44057268" w:rsidR="00DD4D44" w:rsidRPr="001525DE" w:rsidRDefault="00455490" w:rsidP="00025030">
      <w:pPr>
        <w:pStyle w:val="ListParagraph"/>
        <w:numPr>
          <w:ilvl w:val="0"/>
          <w:numId w:val="46"/>
        </w:numPr>
        <w:contextualSpacing w:val="0"/>
        <w:rPr>
          <w:rFonts w:eastAsia="Calibri" w:cs="Calibri"/>
          <w:color w:val="000000" w:themeColor="text1"/>
        </w:rPr>
      </w:pPr>
      <w:r>
        <w:rPr>
          <w:rFonts w:eastAsia="Calibri" w:cs="Calibri"/>
          <w:color w:val="000000" w:themeColor="text1"/>
        </w:rPr>
        <w:t>T</w:t>
      </w:r>
      <w:r w:rsidR="208F8E7D" w:rsidRPr="001525DE">
        <w:rPr>
          <w:rFonts w:eastAsia="Calibri" w:cs="Calibri"/>
          <w:color w:val="000000" w:themeColor="text1"/>
        </w:rPr>
        <w:t xml:space="preserve">he new name </w:t>
      </w:r>
      <w:r w:rsidR="208F8E7D" w:rsidRPr="001525DE" w:rsidDel="00823BCC">
        <w:rPr>
          <w:rFonts w:eastAsia="Calibri" w:cs="Calibri"/>
          <w:color w:val="000000" w:themeColor="text1"/>
        </w:rPr>
        <w:t>of</w:t>
      </w:r>
      <w:r w:rsidR="208F8E7D" w:rsidRPr="001525DE">
        <w:rPr>
          <w:rFonts w:eastAsia="Calibri" w:cs="Calibri"/>
          <w:color w:val="000000" w:themeColor="text1"/>
        </w:rPr>
        <w:t xml:space="preserve"> Expanded Learning </w:t>
      </w:r>
      <w:r w:rsidR="00D608F7">
        <w:rPr>
          <w:rFonts w:eastAsia="Calibri" w:cs="Calibri"/>
          <w:color w:val="000000" w:themeColor="text1"/>
        </w:rPr>
        <w:t xml:space="preserve">for this strategy </w:t>
      </w:r>
      <w:r w:rsidR="208F8E7D" w:rsidRPr="001525DE">
        <w:rPr>
          <w:rFonts w:eastAsia="Calibri" w:cs="Calibri"/>
          <w:color w:val="000000" w:themeColor="text1"/>
        </w:rPr>
        <w:t xml:space="preserve">aligns with a shift in the youth services industry toward language that emphasizes </w:t>
      </w:r>
      <w:r w:rsidR="208F8E7D" w:rsidRPr="001525DE">
        <w:rPr>
          <w:rFonts w:eastAsia="Calibri" w:cs="Calibri"/>
          <w:i/>
          <w:iCs/>
          <w:color w:val="000000" w:themeColor="text1"/>
        </w:rPr>
        <w:t xml:space="preserve">why and how </w:t>
      </w:r>
      <w:r w:rsidR="0063124A">
        <w:rPr>
          <w:rFonts w:eastAsia="Calibri" w:cs="Calibri"/>
          <w:color w:val="000000" w:themeColor="text1"/>
        </w:rPr>
        <w:t xml:space="preserve">services occur </w:t>
      </w:r>
      <w:r w:rsidR="208F8E7D" w:rsidRPr="001525DE">
        <w:rPr>
          <w:rFonts w:eastAsia="Calibri" w:cs="Calibri"/>
          <w:color w:val="000000" w:themeColor="text1"/>
        </w:rPr>
        <w:t xml:space="preserve">rather than </w:t>
      </w:r>
      <w:r w:rsidR="208F8E7D" w:rsidRPr="001525DE">
        <w:rPr>
          <w:rFonts w:eastAsia="Calibri" w:cs="Calibri"/>
          <w:i/>
          <w:iCs/>
          <w:color w:val="000000" w:themeColor="text1"/>
        </w:rPr>
        <w:t>when and where</w:t>
      </w:r>
      <w:r w:rsidR="0063124A">
        <w:rPr>
          <w:rFonts w:eastAsia="Calibri" w:cs="Calibri"/>
          <w:i/>
          <w:iCs/>
          <w:color w:val="000000" w:themeColor="text1"/>
        </w:rPr>
        <w:t xml:space="preserve"> </w:t>
      </w:r>
      <w:r w:rsidR="0063124A" w:rsidRPr="00A209CA">
        <w:rPr>
          <w:rFonts w:eastAsia="Calibri" w:cs="Calibri"/>
          <w:color w:val="000000" w:themeColor="text1"/>
        </w:rPr>
        <w:t xml:space="preserve">they </w:t>
      </w:r>
      <w:r w:rsidR="00302F5C" w:rsidRPr="00A209CA">
        <w:rPr>
          <w:rFonts w:eastAsia="Calibri" w:cs="Calibri"/>
          <w:color w:val="000000" w:themeColor="text1"/>
        </w:rPr>
        <w:t>happen</w:t>
      </w:r>
      <w:r w:rsidR="007D2939">
        <w:rPr>
          <w:rFonts w:eastAsia="Calibri" w:cs="Calibri"/>
          <w:i/>
          <w:iCs/>
          <w:color w:val="000000" w:themeColor="text1"/>
        </w:rPr>
        <w:t xml:space="preserve">. </w:t>
      </w:r>
      <w:r w:rsidR="208F8E7D" w:rsidRPr="001525DE">
        <w:rPr>
          <w:rFonts w:eastAsia="Calibri" w:cs="Calibri"/>
          <w:color w:val="000000" w:themeColor="text1"/>
        </w:rPr>
        <w:t>The focus on expanded learning underscores the important learning taking place in these community-based programs, and</w:t>
      </w:r>
      <w:r w:rsidR="208F8E7D" w:rsidRPr="001525DE" w:rsidDel="00D4766C">
        <w:rPr>
          <w:rFonts w:eastAsia="Calibri" w:cs="Calibri"/>
          <w:color w:val="000000" w:themeColor="text1"/>
        </w:rPr>
        <w:t xml:space="preserve"> that</w:t>
      </w:r>
      <w:r w:rsidR="208F8E7D" w:rsidRPr="001525DE">
        <w:rPr>
          <w:rFonts w:eastAsia="Calibri" w:cs="Calibri"/>
          <w:color w:val="000000" w:themeColor="text1"/>
        </w:rPr>
        <w:t xml:space="preserve"> </w:t>
      </w:r>
      <w:r w:rsidR="208F8E7D" w:rsidRPr="001525DE" w:rsidDel="00F92399">
        <w:rPr>
          <w:rFonts w:eastAsia="Calibri" w:cs="Calibri"/>
          <w:color w:val="000000" w:themeColor="text1"/>
        </w:rPr>
        <w:t xml:space="preserve">the </w:t>
      </w:r>
      <w:r w:rsidR="208F8E7D" w:rsidRPr="001525DE">
        <w:rPr>
          <w:rFonts w:eastAsia="Calibri" w:cs="Calibri"/>
          <w:color w:val="000000" w:themeColor="text1"/>
        </w:rPr>
        <w:t>field is united by common goals and a commitment to standards and quality improvement.</w:t>
      </w:r>
      <w:r w:rsidR="00DD4D44" w:rsidRPr="00D03F1F">
        <w:rPr>
          <w:rStyle w:val="FootnoteReference"/>
          <w:rFonts w:eastAsia="Calibri" w:cs="Calibri"/>
          <w:color w:val="000000" w:themeColor="text1"/>
        </w:rPr>
        <w:footnoteReference w:id="170"/>
      </w:r>
    </w:p>
    <w:p w14:paraId="5D9AF79F" w14:textId="77777777" w:rsidR="00DD4D44" w:rsidRPr="00D03F1F" w:rsidRDefault="00DD4D44" w:rsidP="00DD4D44">
      <w:pPr>
        <w:contextualSpacing/>
        <w:rPr>
          <w:rFonts w:eastAsia="Calibri" w:cs="Calibri"/>
          <w:b/>
          <w:bCs/>
          <w:color w:val="000000" w:themeColor="text1"/>
        </w:rPr>
      </w:pPr>
    </w:p>
    <w:p w14:paraId="5EDC2093" w14:textId="3881853F" w:rsidR="00DD4D44" w:rsidRPr="00D03F1F" w:rsidRDefault="00DD4D44" w:rsidP="00DD4D44">
      <w:pPr>
        <w:contextualSpacing/>
        <w:rPr>
          <w:rFonts w:eastAsia="Calibri" w:cs="Calibri"/>
          <w:color w:val="000000" w:themeColor="text1"/>
        </w:rPr>
      </w:pPr>
      <w:r w:rsidRPr="00D03F1F">
        <w:rPr>
          <w:rFonts w:eastAsia="Calibri" w:cs="Calibri"/>
          <w:b/>
          <w:color w:val="000000" w:themeColor="text1"/>
        </w:rPr>
        <w:t xml:space="preserve">Rationale </w:t>
      </w:r>
      <w:r w:rsidR="00FA576E">
        <w:rPr>
          <w:rFonts w:eastAsia="Calibri" w:cs="Calibri"/>
          <w:b/>
          <w:color w:val="000000" w:themeColor="text1"/>
        </w:rPr>
        <w:t>f</w:t>
      </w:r>
      <w:r w:rsidR="00FB31E6">
        <w:rPr>
          <w:rFonts w:eastAsia="Calibri" w:cs="Calibri"/>
          <w:b/>
          <w:color w:val="000000" w:themeColor="text1"/>
        </w:rPr>
        <w:t xml:space="preserve">or </w:t>
      </w:r>
      <w:r w:rsidR="00D74FF7">
        <w:rPr>
          <w:rFonts w:eastAsia="Calibri" w:cs="Calibri"/>
          <w:b/>
          <w:color w:val="000000" w:themeColor="text1"/>
        </w:rPr>
        <w:t xml:space="preserve">Increased Funding </w:t>
      </w:r>
    </w:p>
    <w:p w14:paraId="3DDA8956" w14:textId="26BA5E58" w:rsidR="00DD4D44" w:rsidRDefault="00EE5C48" w:rsidP="00DD4D44">
      <w:pPr>
        <w:contextualSpacing/>
        <w:rPr>
          <w:rFonts w:eastAsia="Calibri" w:cs="Calibri"/>
          <w:color w:val="000000" w:themeColor="text1"/>
        </w:rPr>
      </w:pPr>
      <w:r>
        <w:rPr>
          <w:rFonts w:eastAsia="Calibri" w:cs="Calibri"/>
          <w:color w:val="000000" w:themeColor="text1"/>
        </w:rPr>
        <w:t xml:space="preserve">Increasing the </w:t>
      </w:r>
      <w:r w:rsidR="00DD4D44" w:rsidRPr="00D03F1F">
        <w:rPr>
          <w:rFonts w:eastAsia="Calibri" w:cs="Calibri"/>
          <w:color w:val="000000" w:themeColor="text1"/>
        </w:rPr>
        <w:t xml:space="preserve">funding through the </w:t>
      </w:r>
      <w:r w:rsidR="00DD4D44" w:rsidRPr="00D03F1F">
        <w:rPr>
          <w:rFonts w:eastAsia="Calibri" w:cs="Calibri"/>
          <w:i/>
          <w:color w:val="000000" w:themeColor="text1"/>
        </w:rPr>
        <w:t>Best Starts</w:t>
      </w:r>
      <w:r w:rsidR="00DD4D44" w:rsidRPr="00D03F1F">
        <w:rPr>
          <w:rFonts w:eastAsia="Calibri" w:cs="Calibri"/>
          <w:color w:val="000000" w:themeColor="text1"/>
        </w:rPr>
        <w:t xml:space="preserve"> Expanded Learning strategy will </w:t>
      </w:r>
      <w:r w:rsidR="0032257D">
        <w:rPr>
          <w:rFonts w:eastAsia="Calibri" w:cs="Calibri"/>
          <w:color w:val="000000" w:themeColor="text1"/>
        </w:rPr>
        <w:t>double</w:t>
      </w:r>
      <w:r w:rsidR="00AF3FC5">
        <w:rPr>
          <w:rFonts w:eastAsia="Calibri" w:cs="Calibri"/>
          <w:color w:val="000000" w:themeColor="text1"/>
        </w:rPr>
        <w:t xml:space="preserve"> </w:t>
      </w:r>
      <w:r w:rsidR="002012D4">
        <w:rPr>
          <w:rFonts w:eastAsia="Calibri" w:cs="Calibri"/>
          <w:color w:val="000000" w:themeColor="text1"/>
        </w:rPr>
        <w:t xml:space="preserve">the number </w:t>
      </w:r>
      <w:r w:rsidR="008539BA">
        <w:rPr>
          <w:rFonts w:eastAsia="Calibri" w:cs="Calibri"/>
          <w:color w:val="000000" w:themeColor="text1"/>
        </w:rPr>
        <w:t>of more</w:t>
      </w:r>
      <w:r w:rsidR="00F771ED">
        <w:rPr>
          <w:rFonts w:eastAsia="Calibri" w:cs="Calibri"/>
          <w:color w:val="000000" w:themeColor="text1"/>
        </w:rPr>
        <w:t xml:space="preserve"> </w:t>
      </w:r>
      <w:r w:rsidR="00666B46">
        <w:rPr>
          <w:rFonts w:eastAsia="Calibri" w:cs="Calibri"/>
          <w:color w:val="000000" w:themeColor="text1"/>
        </w:rPr>
        <w:t xml:space="preserve">children and youth </w:t>
      </w:r>
      <w:r w:rsidR="00F771ED">
        <w:rPr>
          <w:rFonts w:eastAsia="Calibri" w:cs="Calibri"/>
          <w:color w:val="000000" w:themeColor="text1"/>
        </w:rPr>
        <w:t>annually</w:t>
      </w:r>
      <w:r>
        <w:rPr>
          <w:rFonts w:eastAsia="Calibri" w:cs="Calibri"/>
          <w:color w:val="000000" w:themeColor="text1"/>
        </w:rPr>
        <w:t xml:space="preserve"> than </w:t>
      </w:r>
      <w:r w:rsidR="00666B46">
        <w:rPr>
          <w:rFonts w:eastAsia="Calibri" w:cs="Calibri"/>
          <w:color w:val="000000" w:themeColor="text1"/>
        </w:rPr>
        <w:t xml:space="preserve">in Best Starts 2016-2021. </w:t>
      </w:r>
      <w:r w:rsidR="00DD4D44" w:rsidRPr="00D03F1F">
        <w:rPr>
          <w:rFonts w:eastAsia="Calibri" w:cs="Calibri"/>
          <w:color w:val="000000" w:themeColor="text1"/>
        </w:rPr>
        <w:t xml:space="preserve"> </w:t>
      </w:r>
      <w:r w:rsidR="00F771ED">
        <w:rPr>
          <w:rFonts w:eastAsia="Calibri" w:cs="Calibri"/>
          <w:color w:val="000000" w:themeColor="text1"/>
        </w:rPr>
        <w:t>P</w:t>
      </w:r>
      <w:r w:rsidR="00DD4D44" w:rsidRPr="00D03F1F">
        <w:rPr>
          <w:rFonts w:eastAsia="Calibri" w:cs="Calibri"/>
          <w:color w:val="000000" w:themeColor="text1"/>
        </w:rPr>
        <w:t>roviders</w:t>
      </w:r>
      <w:r w:rsidR="00DD4D44" w:rsidRPr="00D03F1F" w:rsidDel="004F4546">
        <w:rPr>
          <w:rFonts w:eastAsia="Calibri" w:cs="Calibri"/>
          <w:color w:val="000000" w:themeColor="text1"/>
        </w:rPr>
        <w:t xml:space="preserve"> </w:t>
      </w:r>
      <w:r w:rsidR="00F750B8">
        <w:rPr>
          <w:rFonts w:eastAsia="Calibri" w:cs="Calibri"/>
          <w:color w:val="000000" w:themeColor="text1"/>
        </w:rPr>
        <w:t xml:space="preserve">serve more children ages </w:t>
      </w:r>
      <w:r w:rsidR="00356583">
        <w:rPr>
          <w:rFonts w:eastAsia="Calibri" w:cs="Calibri"/>
          <w:color w:val="000000" w:themeColor="text1"/>
        </w:rPr>
        <w:t xml:space="preserve">five to </w:t>
      </w:r>
      <w:r w:rsidR="00F750B8">
        <w:rPr>
          <w:rFonts w:eastAsia="Calibri" w:cs="Calibri"/>
          <w:color w:val="000000" w:themeColor="text1"/>
        </w:rPr>
        <w:t xml:space="preserve">12, </w:t>
      </w:r>
      <w:r w:rsidR="00DD4D44" w:rsidRPr="00D03F1F">
        <w:rPr>
          <w:rFonts w:eastAsia="Calibri" w:cs="Calibri"/>
          <w:color w:val="000000" w:themeColor="text1"/>
        </w:rPr>
        <w:t xml:space="preserve">start new programs in under-resourced areas, serve a higher percentage of families in poverty, deliver higher quality programming, and </w:t>
      </w:r>
      <w:r w:rsidR="004C68AD">
        <w:rPr>
          <w:rFonts w:eastAsia="Calibri" w:cs="Calibri"/>
          <w:color w:val="000000" w:themeColor="text1"/>
        </w:rPr>
        <w:t xml:space="preserve">create </w:t>
      </w:r>
      <w:r w:rsidR="00904221">
        <w:rPr>
          <w:rFonts w:eastAsia="Calibri" w:cs="Calibri"/>
          <w:color w:val="000000" w:themeColor="text1"/>
        </w:rPr>
        <w:t>stronger</w:t>
      </w:r>
      <w:r w:rsidR="00DD4D44" w:rsidRPr="00D03F1F">
        <w:rPr>
          <w:rFonts w:eastAsia="Calibri" w:cs="Calibri"/>
          <w:color w:val="000000" w:themeColor="text1"/>
        </w:rPr>
        <w:t xml:space="preserve"> partner</w:t>
      </w:r>
      <w:r w:rsidR="004C68AD">
        <w:rPr>
          <w:rFonts w:eastAsia="Calibri" w:cs="Calibri"/>
          <w:color w:val="000000" w:themeColor="text1"/>
        </w:rPr>
        <w:t>ships</w:t>
      </w:r>
      <w:r w:rsidR="00DD4D44" w:rsidRPr="00D03F1F">
        <w:rPr>
          <w:rFonts w:eastAsia="Calibri" w:cs="Calibri"/>
          <w:color w:val="000000" w:themeColor="text1"/>
        </w:rPr>
        <w:t xml:space="preserve"> with schools, and other expanded learning providers</w:t>
      </w:r>
      <w:r w:rsidR="00193EF2">
        <w:rPr>
          <w:rFonts w:eastAsia="Calibri" w:cs="Calibri"/>
          <w:color w:val="000000" w:themeColor="text1"/>
        </w:rPr>
        <w:t>. Partners will</w:t>
      </w:r>
      <w:r w:rsidR="00DD4D44" w:rsidRPr="00D03F1F">
        <w:rPr>
          <w:rFonts w:eastAsia="Calibri" w:cs="Calibri"/>
          <w:color w:val="000000" w:themeColor="text1"/>
        </w:rPr>
        <w:t xml:space="preserve"> provide holistic </w:t>
      </w:r>
      <w:r w:rsidR="00125EF9">
        <w:rPr>
          <w:rFonts w:eastAsia="Calibri" w:cs="Calibri"/>
          <w:color w:val="000000" w:themeColor="text1"/>
        </w:rPr>
        <w:t>programs</w:t>
      </w:r>
      <w:r w:rsidR="00DD4D44" w:rsidRPr="00D03F1F">
        <w:rPr>
          <w:rFonts w:eastAsia="Calibri" w:cs="Calibri"/>
          <w:color w:val="000000" w:themeColor="text1"/>
        </w:rPr>
        <w:t xml:space="preserve"> for </w:t>
      </w:r>
      <w:r w:rsidR="00A92F97">
        <w:rPr>
          <w:rFonts w:eastAsia="Calibri" w:cs="Calibri"/>
          <w:color w:val="000000" w:themeColor="text1"/>
        </w:rPr>
        <w:t xml:space="preserve">children, </w:t>
      </w:r>
      <w:r w:rsidR="00DD4D44" w:rsidRPr="00D03F1F">
        <w:rPr>
          <w:rFonts w:eastAsia="Calibri" w:cs="Calibri"/>
          <w:color w:val="000000" w:themeColor="text1"/>
        </w:rPr>
        <w:t xml:space="preserve">youth and families in schools and low-income housing settings. </w:t>
      </w:r>
    </w:p>
    <w:p w14:paraId="43AC5B57" w14:textId="48CAD2BA" w:rsidR="00C90880" w:rsidRDefault="00C90880" w:rsidP="00C90880">
      <w:pPr>
        <w:spacing w:line="240" w:lineRule="auto"/>
        <w:textAlignment w:val="baseline"/>
        <w:rPr>
          <w:rFonts w:eastAsia="Times New Roman" w:cs="Calibri"/>
          <w:b/>
          <w:bCs/>
          <w:color w:val="000000"/>
        </w:rPr>
      </w:pPr>
    </w:p>
    <w:p w14:paraId="4052020C" w14:textId="01B9D73B" w:rsidR="00C90880" w:rsidRPr="00D03F1F" w:rsidRDefault="00D752A9" w:rsidP="00DD4D44">
      <w:pPr>
        <w:contextualSpacing/>
        <w:rPr>
          <w:rFonts w:eastAsia="Calibri" w:cs="Calibri"/>
          <w:color w:val="000000" w:themeColor="text1"/>
        </w:rPr>
      </w:pPr>
      <w:r>
        <w:rPr>
          <w:rFonts w:eastAsia="Times New Roman" w:cs="Calibri"/>
          <w:b/>
          <w:bCs/>
        </w:rPr>
        <w:t>A</w:t>
      </w:r>
      <w:r w:rsidR="003A1C26">
        <w:rPr>
          <w:rFonts w:eastAsia="Times New Roman" w:cs="Calibri"/>
          <w:b/>
          <w:bCs/>
        </w:rPr>
        <w:t>pproximate Scope</w:t>
      </w:r>
      <w:r w:rsidR="00E348E5">
        <w:rPr>
          <w:rFonts w:eastAsia="Times New Roman" w:cs="Calibri"/>
          <w:b/>
          <w:bCs/>
        </w:rPr>
        <w:t>:</w:t>
      </w:r>
      <w:r w:rsidR="00EE30B1">
        <w:rPr>
          <w:rFonts w:eastAsia="Times New Roman" w:cs="Calibri"/>
          <w:b/>
          <w:bCs/>
        </w:rPr>
        <w:t xml:space="preserve">  </w:t>
      </w:r>
      <w:r w:rsidR="005147BE">
        <w:rPr>
          <w:rFonts w:eastAsia="Times New Roman" w:cs="Calibri"/>
        </w:rPr>
        <w:t>Ex</w:t>
      </w:r>
      <w:r w:rsidR="006D53B2">
        <w:rPr>
          <w:rFonts w:eastAsia="Times New Roman" w:cs="Calibri"/>
        </w:rPr>
        <w:t>pan</w:t>
      </w:r>
      <w:r w:rsidR="005147BE">
        <w:rPr>
          <w:rFonts w:eastAsia="Times New Roman" w:cs="Calibri"/>
        </w:rPr>
        <w:t xml:space="preserve">ded </w:t>
      </w:r>
      <w:r w:rsidR="00991B57">
        <w:rPr>
          <w:rFonts w:eastAsia="Times New Roman" w:cs="Calibri"/>
        </w:rPr>
        <w:t>L</w:t>
      </w:r>
      <w:r w:rsidR="005147BE">
        <w:rPr>
          <w:rFonts w:eastAsia="Times New Roman" w:cs="Calibri"/>
        </w:rPr>
        <w:t xml:space="preserve">earning </w:t>
      </w:r>
      <w:r w:rsidR="00EE30B1" w:rsidRPr="005147BE">
        <w:rPr>
          <w:rFonts w:eastAsia="Times New Roman" w:cs="Calibri"/>
        </w:rPr>
        <w:t xml:space="preserve">intends to serve </w:t>
      </w:r>
      <w:r w:rsidR="00124FF3" w:rsidRPr="005147BE">
        <w:rPr>
          <w:rFonts w:eastAsia="Times New Roman" w:cs="Calibri"/>
        </w:rPr>
        <w:t>up to 4,000 youth annually through this work.</w:t>
      </w:r>
      <w:r w:rsidR="00124FF3">
        <w:rPr>
          <w:rFonts w:eastAsia="Times New Roman" w:cs="Calibri"/>
          <w:b/>
          <w:bCs/>
        </w:rPr>
        <w:t xml:space="preserve"> </w:t>
      </w:r>
    </w:p>
    <w:p w14:paraId="4EF50F64" w14:textId="5F944565" w:rsidR="00DD4D44" w:rsidRDefault="00DD4D44" w:rsidP="00DD4D44">
      <w:pPr>
        <w:pStyle w:val="NormalWeb"/>
        <w:spacing w:after="0"/>
        <w:contextualSpacing/>
        <w:rPr>
          <w:rFonts w:eastAsiaTheme="minorEastAsia" w:cs="Calibri"/>
          <w:b/>
          <w:szCs w:val="22"/>
          <w:lang w:val="en"/>
        </w:rPr>
      </w:pPr>
    </w:p>
    <w:p w14:paraId="0ED66B3E" w14:textId="3F90E7E7" w:rsidR="00182E03" w:rsidRPr="00ED7EDF" w:rsidRDefault="005147BE" w:rsidP="00182E03">
      <w:pPr>
        <w:contextualSpacing/>
        <w:rPr>
          <w:rFonts w:eastAsia="Times New Roman" w:cs="Calibri"/>
        </w:rPr>
      </w:pPr>
      <w:r>
        <w:rPr>
          <w:rFonts w:eastAsiaTheme="minorEastAsia" w:cs="Calibri"/>
          <w:b/>
          <w:lang w:val="en"/>
        </w:rPr>
        <w:t>A</w:t>
      </w:r>
      <w:r w:rsidR="00817975">
        <w:rPr>
          <w:rFonts w:eastAsiaTheme="minorEastAsia" w:cs="Calibri"/>
          <w:b/>
          <w:lang w:val="en"/>
        </w:rPr>
        <w:t>nti</w:t>
      </w:r>
      <w:r w:rsidR="009D2CB8">
        <w:rPr>
          <w:rFonts w:eastAsiaTheme="minorEastAsia" w:cs="Calibri"/>
          <w:b/>
          <w:lang w:val="en"/>
        </w:rPr>
        <w:t>cipated</w:t>
      </w:r>
      <w:r>
        <w:rPr>
          <w:rFonts w:eastAsiaTheme="minorEastAsia" w:cs="Calibri"/>
          <w:b/>
          <w:lang w:val="en"/>
        </w:rPr>
        <w:t xml:space="preserve"> Timeline:</w:t>
      </w:r>
      <w:r w:rsidR="00210432">
        <w:rPr>
          <w:rFonts w:eastAsiaTheme="minorEastAsia" w:cs="Calibri"/>
          <w:b/>
          <w:lang w:val="en"/>
        </w:rPr>
        <w:t xml:space="preserve"> </w:t>
      </w:r>
      <w:r w:rsidR="00D752A9" w:rsidRPr="1B60CC28">
        <w:rPr>
          <w:rFonts w:cs="Calibri"/>
          <w:color w:val="000000" w:themeColor="text1"/>
        </w:rPr>
        <w:t xml:space="preserve">Release </w:t>
      </w:r>
      <w:r w:rsidR="08DAA0F8" w:rsidRPr="1B60CC28">
        <w:rPr>
          <w:rFonts w:cs="Calibri"/>
          <w:color w:val="000000" w:themeColor="text1"/>
        </w:rPr>
        <w:t>first</w:t>
      </w:r>
      <w:r w:rsidR="00D752A9" w:rsidRPr="1B60CC28">
        <w:rPr>
          <w:rFonts w:cs="Calibri"/>
          <w:color w:val="000000" w:themeColor="text1"/>
        </w:rPr>
        <w:t xml:space="preserve"> RFP</w:t>
      </w:r>
      <w:r w:rsidR="00D752A9" w:rsidRPr="1B60CC28">
        <w:rPr>
          <w:rFonts w:cs="Calibri"/>
          <w:b/>
          <w:color w:val="000000" w:themeColor="text1"/>
        </w:rPr>
        <w:t> </w:t>
      </w:r>
      <w:r w:rsidR="00D752A9" w:rsidRPr="1B60CC28">
        <w:rPr>
          <w:rFonts w:cs="Calibri"/>
          <w:color w:val="000000" w:themeColor="text1"/>
        </w:rPr>
        <w:t xml:space="preserve">in </w:t>
      </w:r>
      <w:r w:rsidR="00C01D82" w:rsidRPr="1B60CC28">
        <w:rPr>
          <w:rFonts w:cs="Calibri"/>
          <w:color w:val="000000" w:themeColor="text1"/>
        </w:rPr>
        <w:t>Q</w:t>
      </w:r>
      <w:r w:rsidR="00E44049" w:rsidRPr="1B60CC28">
        <w:rPr>
          <w:rFonts w:cs="Calibri"/>
          <w:color w:val="000000" w:themeColor="text1"/>
        </w:rPr>
        <w:t>1</w:t>
      </w:r>
      <w:r w:rsidR="00D752A9" w:rsidRPr="1B60CC28">
        <w:rPr>
          <w:rFonts w:cs="Calibri"/>
          <w:color w:val="000000" w:themeColor="text1"/>
        </w:rPr>
        <w:t xml:space="preserve"> 2022</w:t>
      </w:r>
      <w:r w:rsidR="007D2939">
        <w:rPr>
          <w:rFonts w:cs="Calibri"/>
          <w:color w:val="000000" w:themeColor="text1"/>
        </w:rPr>
        <w:t>.</w:t>
      </w:r>
      <w:r w:rsidR="00791013">
        <w:rPr>
          <w:rFonts w:cs="Calibri"/>
          <w:color w:val="000000" w:themeColor="text1"/>
        </w:rPr>
        <w:t xml:space="preserve"> </w:t>
      </w:r>
      <w:r w:rsidR="00D752A9" w:rsidRPr="1B60CC28">
        <w:rPr>
          <w:rFonts w:cs="Calibri"/>
          <w:color w:val="000000" w:themeColor="text1"/>
        </w:rPr>
        <w:t xml:space="preserve">Release </w:t>
      </w:r>
      <w:r w:rsidR="40A0E711" w:rsidRPr="1B60CC28">
        <w:rPr>
          <w:rFonts w:cs="Calibri"/>
          <w:color w:val="000000" w:themeColor="text1"/>
        </w:rPr>
        <w:t>second</w:t>
      </w:r>
      <w:r w:rsidR="00D752A9" w:rsidRPr="1B60CC28">
        <w:rPr>
          <w:rFonts w:cs="Calibri"/>
          <w:b/>
          <w:color w:val="000000" w:themeColor="text1"/>
        </w:rPr>
        <w:t> </w:t>
      </w:r>
      <w:r w:rsidR="00D752A9" w:rsidRPr="1B60CC28">
        <w:rPr>
          <w:rFonts w:cs="Calibri"/>
          <w:color w:val="000000" w:themeColor="text1"/>
        </w:rPr>
        <w:t xml:space="preserve">RFP </w:t>
      </w:r>
      <w:r w:rsidR="00C01D82" w:rsidRPr="1B60CC28">
        <w:rPr>
          <w:rFonts w:cs="Calibri"/>
          <w:color w:val="000000" w:themeColor="text1"/>
        </w:rPr>
        <w:t>Q</w:t>
      </w:r>
      <w:r w:rsidR="00D752A9" w:rsidRPr="1B60CC28">
        <w:rPr>
          <w:rFonts w:cs="Calibri"/>
          <w:color w:val="000000" w:themeColor="text1"/>
        </w:rPr>
        <w:t>3 2024. </w:t>
      </w:r>
    </w:p>
    <w:p w14:paraId="0CB434BD" w14:textId="77777777" w:rsidR="007B6484" w:rsidRDefault="007B6484">
      <w:bookmarkStart w:id="71" w:name="Youth_Development"/>
      <w:r>
        <w:br w:type="page"/>
      </w:r>
    </w:p>
    <w:tbl>
      <w:tblPr>
        <w:tblStyle w:val="TableGrid"/>
        <w:tblpPr w:leftFromText="180" w:rightFromText="180" w:vertAnchor="text" w:horzAnchor="margin" w:tblpY="377"/>
        <w:tblW w:w="9420" w:type="dxa"/>
        <w:tblLook w:val="04A0" w:firstRow="1" w:lastRow="0" w:firstColumn="1" w:lastColumn="0" w:noHBand="0" w:noVBand="1"/>
      </w:tblPr>
      <w:tblGrid>
        <w:gridCol w:w="9420"/>
      </w:tblGrid>
      <w:tr w:rsidR="00182E03" w:rsidRPr="00D03F1F" w14:paraId="7CACEAF7" w14:textId="77777777" w:rsidTr="006D0CC5">
        <w:trPr>
          <w:trHeight w:val="663"/>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2DCD38F" w14:textId="692AC597" w:rsidR="00182E03" w:rsidRPr="00ED7EDF" w:rsidRDefault="00182E03" w:rsidP="009B00D1">
            <w:pPr>
              <w:contextualSpacing/>
              <w:rPr>
                <w:rFonts w:eastAsia="Calibri" w:cs="Calibri"/>
                <w:color w:val="000000" w:themeColor="text1"/>
              </w:rPr>
            </w:pPr>
            <w:r w:rsidRPr="00BB1A2A">
              <w:rPr>
                <w:rFonts w:eastAsia="Calibri" w:cs="Calibri"/>
                <w:b/>
                <w:color w:val="000000" w:themeColor="text1"/>
                <w:sz w:val="28"/>
                <w:szCs w:val="28"/>
              </w:rPr>
              <w:lastRenderedPageBreak/>
              <w:t>Youth Development</w:t>
            </w:r>
            <w:r w:rsidRPr="00ED7EDF">
              <w:rPr>
                <w:rFonts w:eastAsia="Calibri" w:cs="Calibri"/>
                <w:color w:val="000000" w:themeColor="text1"/>
              </w:rPr>
              <w:t xml:space="preserve"> </w:t>
            </w:r>
            <w:bookmarkEnd w:id="71"/>
            <w:r w:rsidRPr="00ED7EDF">
              <w:rPr>
                <w:rFonts w:eastAsia="Calibri" w:cs="Calibri"/>
                <w:color w:val="000000" w:themeColor="text1"/>
              </w:rPr>
              <w:t>(formerly Positive Identity Development, Healthy Relationships, Youth Leadership, and</w:t>
            </w:r>
            <w:r w:rsidRPr="00ED7EDF" w:rsidDel="00804DFB">
              <w:rPr>
                <w:rFonts w:eastAsia="Calibri" w:cs="Calibri"/>
                <w:color w:val="000000" w:themeColor="text1"/>
              </w:rPr>
              <w:t xml:space="preserve"> </w:t>
            </w:r>
            <w:r w:rsidRPr="00ED7EDF">
              <w:rPr>
                <w:rFonts w:eastAsia="Calibri" w:cs="Calibri"/>
                <w:color w:val="000000" w:themeColor="text1"/>
              </w:rPr>
              <w:t>Mentoring strategies)</w:t>
            </w:r>
          </w:p>
        </w:tc>
      </w:tr>
    </w:tbl>
    <w:tbl>
      <w:tblPr>
        <w:tblW w:w="9450" w:type="dxa"/>
        <w:tblLook w:val="04A0" w:firstRow="1" w:lastRow="0" w:firstColumn="1" w:lastColumn="0" w:noHBand="0" w:noVBand="1"/>
      </w:tblPr>
      <w:tblGrid>
        <w:gridCol w:w="974"/>
        <w:gridCol w:w="1191"/>
        <w:gridCol w:w="1191"/>
        <w:gridCol w:w="1191"/>
        <w:gridCol w:w="1191"/>
        <w:gridCol w:w="1191"/>
        <w:gridCol w:w="1191"/>
        <w:gridCol w:w="1333"/>
      </w:tblGrid>
      <w:tr w:rsidR="00182E03" w:rsidRPr="007E3090" w14:paraId="08961321" w14:textId="77777777" w:rsidTr="00D10778">
        <w:trPr>
          <w:trHeight w:val="304"/>
        </w:trPr>
        <w:tc>
          <w:tcPr>
            <w:tcW w:w="9450" w:type="dxa"/>
            <w:gridSpan w:val="8"/>
            <w:tcBorders>
              <w:top w:val="nil"/>
              <w:left w:val="nil"/>
              <w:bottom w:val="single" w:sz="12" w:space="0" w:color="FFD966"/>
              <w:right w:val="nil"/>
            </w:tcBorders>
            <w:shd w:val="clear" w:color="auto" w:fill="auto"/>
            <w:noWrap/>
            <w:vAlign w:val="bottom"/>
            <w:hideMark/>
          </w:tcPr>
          <w:p w14:paraId="10BEF3A7" w14:textId="77777777" w:rsidR="00182E03" w:rsidRPr="007E3090" w:rsidRDefault="00182E03" w:rsidP="009B00D1">
            <w:pPr>
              <w:spacing w:line="240" w:lineRule="auto"/>
              <w:rPr>
                <w:rFonts w:eastAsia="Times New Roman" w:cs="Calibri"/>
                <w:b/>
                <w:bCs/>
                <w:i/>
                <w:iCs/>
                <w:color w:val="000000"/>
              </w:rPr>
            </w:pPr>
            <w:r w:rsidRPr="007E3090">
              <w:rPr>
                <w:rFonts w:eastAsia="Times New Roman" w:cs="Calibri"/>
                <w:b/>
                <w:bCs/>
                <w:i/>
                <w:iCs/>
                <w:color w:val="000000"/>
              </w:rPr>
              <w:t>Funding Estimate:</w:t>
            </w:r>
          </w:p>
        </w:tc>
      </w:tr>
      <w:tr w:rsidR="00182E03" w:rsidRPr="007E3090" w14:paraId="06C49340" w14:textId="77777777" w:rsidTr="00D10778">
        <w:trPr>
          <w:trHeight w:val="406"/>
        </w:trPr>
        <w:tc>
          <w:tcPr>
            <w:tcW w:w="974" w:type="dxa"/>
            <w:tcBorders>
              <w:top w:val="nil"/>
              <w:left w:val="single" w:sz="12" w:space="0" w:color="FFD966"/>
              <w:bottom w:val="single" w:sz="8" w:space="0" w:color="FFD966"/>
              <w:right w:val="single" w:sz="8" w:space="0" w:color="FFD966"/>
            </w:tcBorders>
            <w:shd w:val="clear" w:color="000000" w:fill="D9E1F2"/>
            <w:noWrap/>
            <w:vAlign w:val="center"/>
            <w:hideMark/>
          </w:tcPr>
          <w:p w14:paraId="00689B14" w14:textId="77777777" w:rsidR="00182E03" w:rsidRPr="007E3090" w:rsidRDefault="00182E03" w:rsidP="009B00D1">
            <w:pPr>
              <w:spacing w:line="240" w:lineRule="auto"/>
              <w:rPr>
                <w:rFonts w:eastAsia="Times New Roman" w:cs="Calibri"/>
                <w:b/>
                <w:bCs/>
                <w:i/>
                <w:iCs/>
              </w:rPr>
            </w:pPr>
            <w:r w:rsidRPr="007E3090">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481209AF" w14:textId="77777777" w:rsidR="00182E03" w:rsidRPr="007E3090" w:rsidRDefault="00182E03" w:rsidP="009B00D1">
            <w:pPr>
              <w:spacing w:line="240" w:lineRule="auto"/>
              <w:jc w:val="right"/>
              <w:rPr>
                <w:rFonts w:eastAsia="Times New Roman" w:cs="Calibri"/>
              </w:rPr>
            </w:pPr>
            <w:r w:rsidRPr="007E3090">
              <w:rPr>
                <w:rFonts w:eastAsia="Times New Roman" w:cs="Calibri"/>
              </w:rPr>
              <w:t>2022</w:t>
            </w:r>
          </w:p>
        </w:tc>
        <w:tc>
          <w:tcPr>
            <w:tcW w:w="1191" w:type="dxa"/>
            <w:tcBorders>
              <w:top w:val="nil"/>
              <w:left w:val="nil"/>
              <w:bottom w:val="single" w:sz="8" w:space="0" w:color="FFD966"/>
              <w:right w:val="single" w:sz="8" w:space="0" w:color="FFD966"/>
            </w:tcBorders>
            <w:shd w:val="clear" w:color="000000" w:fill="D9E1F2"/>
            <w:noWrap/>
            <w:vAlign w:val="center"/>
            <w:hideMark/>
          </w:tcPr>
          <w:p w14:paraId="770A59FC" w14:textId="77777777" w:rsidR="00182E03" w:rsidRPr="007E3090" w:rsidRDefault="00182E03" w:rsidP="009B00D1">
            <w:pPr>
              <w:spacing w:line="240" w:lineRule="auto"/>
              <w:jc w:val="right"/>
              <w:rPr>
                <w:rFonts w:eastAsia="Times New Roman" w:cs="Calibri"/>
              </w:rPr>
            </w:pPr>
            <w:r w:rsidRPr="007E3090">
              <w:rPr>
                <w:rFonts w:eastAsia="Times New Roman" w:cs="Calibri"/>
              </w:rPr>
              <w:t>2023</w:t>
            </w:r>
          </w:p>
        </w:tc>
        <w:tc>
          <w:tcPr>
            <w:tcW w:w="1191" w:type="dxa"/>
            <w:tcBorders>
              <w:top w:val="nil"/>
              <w:left w:val="nil"/>
              <w:bottom w:val="single" w:sz="8" w:space="0" w:color="FFD966"/>
              <w:right w:val="single" w:sz="8" w:space="0" w:color="FFD966"/>
            </w:tcBorders>
            <w:shd w:val="clear" w:color="000000" w:fill="D9E1F2"/>
            <w:noWrap/>
            <w:vAlign w:val="center"/>
            <w:hideMark/>
          </w:tcPr>
          <w:p w14:paraId="632B17D9" w14:textId="77777777" w:rsidR="00182E03" w:rsidRPr="007E3090" w:rsidRDefault="00182E03" w:rsidP="009B00D1">
            <w:pPr>
              <w:spacing w:line="240" w:lineRule="auto"/>
              <w:jc w:val="right"/>
              <w:rPr>
                <w:rFonts w:eastAsia="Times New Roman" w:cs="Calibri"/>
              </w:rPr>
            </w:pPr>
            <w:r w:rsidRPr="007E3090">
              <w:rPr>
                <w:rFonts w:eastAsia="Times New Roman" w:cs="Calibri"/>
              </w:rPr>
              <w:t>2024</w:t>
            </w:r>
          </w:p>
        </w:tc>
        <w:tc>
          <w:tcPr>
            <w:tcW w:w="1191" w:type="dxa"/>
            <w:tcBorders>
              <w:top w:val="nil"/>
              <w:left w:val="nil"/>
              <w:bottom w:val="single" w:sz="8" w:space="0" w:color="FFD966"/>
              <w:right w:val="single" w:sz="8" w:space="0" w:color="FFD966"/>
            </w:tcBorders>
            <w:shd w:val="clear" w:color="000000" w:fill="D9E1F2"/>
            <w:noWrap/>
            <w:vAlign w:val="center"/>
            <w:hideMark/>
          </w:tcPr>
          <w:p w14:paraId="073ED10D" w14:textId="77777777" w:rsidR="00182E03" w:rsidRPr="007E3090" w:rsidRDefault="00182E03" w:rsidP="009B00D1">
            <w:pPr>
              <w:spacing w:line="240" w:lineRule="auto"/>
              <w:jc w:val="right"/>
              <w:rPr>
                <w:rFonts w:eastAsia="Times New Roman" w:cs="Calibri"/>
              </w:rPr>
            </w:pPr>
            <w:r w:rsidRPr="007E3090">
              <w:rPr>
                <w:rFonts w:eastAsia="Times New Roman" w:cs="Calibri"/>
              </w:rPr>
              <w:t>2025</w:t>
            </w:r>
          </w:p>
        </w:tc>
        <w:tc>
          <w:tcPr>
            <w:tcW w:w="1191" w:type="dxa"/>
            <w:tcBorders>
              <w:top w:val="nil"/>
              <w:left w:val="nil"/>
              <w:bottom w:val="single" w:sz="8" w:space="0" w:color="FFD966"/>
              <w:right w:val="single" w:sz="8" w:space="0" w:color="FFD966"/>
            </w:tcBorders>
            <w:shd w:val="clear" w:color="000000" w:fill="D9E1F2"/>
            <w:noWrap/>
            <w:vAlign w:val="center"/>
            <w:hideMark/>
          </w:tcPr>
          <w:p w14:paraId="0FE6A4CF" w14:textId="77777777" w:rsidR="00182E03" w:rsidRPr="007E3090" w:rsidRDefault="00182E03" w:rsidP="009B00D1">
            <w:pPr>
              <w:spacing w:line="240" w:lineRule="auto"/>
              <w:jc w:val="right"/>
              <w:rPr>
                <w:rFonts w:eastAsia="Times New Roman" w:cs="Calibri"/>
              </w:rPr>
            </w:pPr>
            <w:r w:rsidRPr="007E3090">
              <w:rPr>
                <w:rFonts w:eastAsia="Times New Roman" w:cs="Calibri"/>
              </w:rPr>
              <w:t>2026</w:t>
            </w:r>
          </w:p>
        </w:tc>
        <w:tc>
          <w:tcPr>
            <w:tcW w:w="1191" w:type="dxa"/>
            <w:tcBorders>
              <w:top w:val="nil"/>
              <w:left w:val="nil"/>
              <w:bottom w:val="single" w:sz="8" w:space="0" w:color="FFD966"/>
              <w:right w:val="single" w:sz="8" w:space="0" w:color="FFD966"/>
            </w:tcBorders>
            <w:shd w:val="clear" w:color="000000" w:fill="D9E1F2"/>
            <w:noWrap/>
            <w:vAlign w:val="center"/>
            <w:hideMark/>
          </w:tcPr>
          <w:p w14:paraId="1E4D5ECF" w14:textId="77777777" w:rsidR="00182E03" w:rsidRPr="007E3090" w:rsidRDefault="00182E03" w:rsidP="009B00D1">
            <w:pPr>
              <w:spacing w:line="240" w:lineRule="auto"/>
              <w:jc w:val="right"/>
              <w:rPr>
                <w:rFonts w:eastAsia="Times New Roman" w:cs="Calibri"/>
              </w:rPr>
            </w:pPr>
            <w:r w:rsidRPr="007E3090">
              <w:rPr>
                <w:rFonts w:eastAsia="Times New Roman" w:cs="Calibri"/>
              </w:rPr>
              <w:t>2027</w:t>
            </w:r>
          </w:p>
        </w:tc>
        <w:tc>
          <w:tcPr>
            <w:tcW w:w="1330" w:type="dxa"/>
            <w:tcBorders>
              <w:top w:val="nil"/>
              <w:left w:val="nil"/>
              <w:bottom w:val="single" w:sz="8" w:space="0" w:color="FFD966"/>
              <w:right w:val="single" w:sz="12" w:space="0" w:color="FFD966"/>
            </w:tcBorders>
            <w:shd w:val="clear" w:color="000000" w:fill="D9E1F2"/>
            <w:noWrap/>
            <w:vAlign w:val="center"/>
            <w:hideMark/>
          </w:tcPr>
          <w:p w14:paraId="193AFB3A" w14:textId="77777777" w:rsidR="00182E03" w:rsidRPr="007E3090" w:rsidRDefault="00182E03" w:rsidP="009B00D1">
            <w:pPr>
              <w:spacing w:line="240" w:lineRule="auto"/>
              <w:jc w:val="right"/>
              <w:rPr>
                <w:rFonts w:eastAsia="Times New Roman" w:cs="Calibri"/>
                <w:b/>
                <w:bCs/>
                <w:i/>
                <w:iCs/>
              </w:rPr>
            </w:pPr>
            <w:r w:rsidRPr="007E3090">
              <w:rPr>
                <w:rFonts w:eastAsia="Times New Roman" w:cs="Calibri"/>
                <w:b/>
                <w:bCs/>
                <w:i/>
                <w:iCs/>
              </w:rPr>
              <w:t>Total</w:t>
            </w:r>
          </w:p>
        </w:tc>
      </w:tr>
      <w:tr w:rsidR="00182E03" w:rsidRPr="007E3090" w14:paraId="56E2EE8A" w14:textId="77777777" w:rsidTr="00D10778">
        <w:trPr>
          <w:trHeight w:val="406"/>
        </w:trPr>
        <w:tc>
          <w:tcPr>
            <w:tcW w:w="974" w:type="dxa"/>
            <w:tcBorders>
              <w:top w:val="nil"/>
              <w:left w:val="single" w:sz="12" w:space="0" w:color="FFD966"/>
              <w:bottom w:val="single" w:sz="12" w:space="0" w:color="FFD966"/>
              <w:right w:val="single" w:sz="8" w:space="0" w:color="FFD966"/>
            </w:tcBorders>
            <w:shd w:val="clear" w:color="auto" w:fill="auto"/>
            <w:noWrap/>
            <w:vAlign w:val="center"/>
            <w:hideMark/>
          </w:tcPr>
          <w:p w14:paraId="3E51B40D" w14:textId="77777777" w:rsidR="00182E03" w:rsidRPr="007E3090" w:rsidRDefault="00182E03" w:rsidP="009B00D1">
            <w:pPr>
              <w:spacing w:line="240" w:lineRule="auto"/>
              <w:rPr>
                <w:rFonts w:eastAsia="Times New Roman" w:cs="Calibri"/>
                <w:b/>
                <w:bCs/>
                <w:i/>
                <w:iCs/>
                <w:color w:val="000000"/>
              </w:rPr>
            </w:pPr>
            <w:r w:rsidRPr="007E3090">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5F751A3B"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$4,450,000 </w:t>
            </w:r>
          </w:p>
        </w:tc>
        <w:tc>
          <w:tcPr>
            <w:tcW w:w="1191" w:type="dxa"/>
            <w:tcBorders>
              <w:top w:val="nil"/>
              <w:left w:val="nil"/>
              <w:bottom w:val="single" w:sz="12" w:space="0" w:color="FFD966"/>
              <w:right w:val="single" w:sz="8" w:space="0" w:color="FFD966"/>
            </w:tcBorders>
            <w:shd w:val="clear" w:color="auto" w:fill="auto"/>
            <w:noWrap/>
            <w:vAlign w:val="center"/>
            <w:hideMark/>
          </w:tcPr>
          <w:p w14:paraId="2A7C3C86"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$4,548,000 </w:t>
            </w:r>
          </w:p>
        </w:tc>
        <w:tc>
          <w:tcPr>
            <w:tcW w:w="1191" w:type="dxa"/>
            <w:tcBorders>
              <w:top w:val="nil"/>
              <w:left w:val="nil"/>
              <w:bottom w:val="single" w:sz="12" w:space="0" w:color="FFD966"/>
              <w:right w:val="single" w:sz="8" w:space="0" w:color="FFD966"/>
            </w:tcBorders>
            <w:shd w:val="clear" w:color="auto" w:fill="auto"/>
            <w:noWrap/>
            <w:vAlign w:val="center"/>
            <w:hideMark/>
          </w:tcPr>
          <w:p w14:paraId="7B2ABA84"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$4,648,000 </w:t>
            </w:r>
          </w:p>
        </w:tc>
        <w:tc>
          <w:tcPr>
            <w:tcW w:w="1191" w:type="dxa"/>
            <w:tcBorders>
              <w:top w:val="nil"/>
              <w:left w:val="nil"/>
              <w:bottom w:val="single" w:sz="12" w:space="0" w:color="FFD966"/>
              <w:right w:val="single" w:sz="8" w:space="0" w:color="FFD966"/>
            </w:tcBorders>
            <w:shd w:val="clear" w:color="auto" w:fill="auto"/>
            <w:noWrap/>
            <w:vAlign w:val="center"/>
            <w:hideMark/>
          </w:tcPr>
          <w:p w14:paraId="314251FD"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$4,750,000 </w:t>
            </w:r>
          </w:p>
        </w:tc>
        <w:tc>
          <w:tcPr>
            <w:tcW w:w="1191" w:type="dxa"/>
            <w:tcBorders>
              <w:top w:val="nil"/>
              <w:left w:val="nil"/>
              <w:bottom w:val="single" w:sz="12" w:space="0" w:color="FFD966"/>
              <w:right w:val="single" w:sz="8" w:space="0" w:color="FFD966"/>
            </w:tcBorders>
            <w:shd w:val="clear" w:color="auto" w:fill="auto"/>
            <w:noWrap/>
            <w:vAlign w:val="center"/>
            <w:hideMark/>
          </w:tcPr>
          <w:p w14:paraId="58503073"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$4,855,000 </w:t>
            </w:r>
          </w:p>
        </w:tc>
        <w:tc>
          <w:tcPr>
            <w:tcW w:w="1191" w:type="dxa"/>
            <w:tcBorders>
              <w:top w:val="nil"/>
              <w:left w:val="nil"/>
              <w:bottom w:val="single" w:sz="12" w:space="0" w:color="FFD966"/>
              <w:right w:val="single" w:sz="8" w:space="0" w:color="FFD966"/>
            </w:tcBorders>
            <w:shd w:val="clear" w:color="auto" w:fill="auto"/>
            <w:noWrap/>
            <w:vAlign w:val="center"/>
            <w:hideMark/>
          </w:tcPr>
          <w:p w14:paraId="175F87F1"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$4,962,000 </w:t>
            </w:r>
          </w:p>
        </w:tc>
        <w:tc>
          <w:tcPr>
            <w:tcW w:w="1330" w:type="dxa"/>
            <w:tcBorders>
              <w:top w:val="nil"/>
              <w:left w:val="nil"/>
              <w:bottom w:val="single" w:sz="12" w:space="0" w:color="FFD966"/>
              <w:right w:val="single" w:sz="12" w:space="0" w:color="FFD966"/>
            </w:tcBorders>
            <w:shd w:val="clear" w:color="auto" w:fill="auto"/>
            <w:noWrap/>
            <w:vAlign w:val="center"/>
            <w:hideMark/>
          </w:tcPr>
          <w:p w14:paraId="46EEEC10" w14:textId="77777777" w:rsidR="00182E03" w:rsidRPr="007E3090" w:rsidRDefault="00182E03" w:rsidP="00D10778">
            <w:pPr>
              <w:spacing w:line="240" w:lineRule="auto"/>
              <w:rPr>
                <w:rFonts w:eastAsia="Times New Roman" w:cs="Calibri"/>
                <w:b/>
                <w:bCs/>
                <w:color w:val="000000"/>
              </w:rPr>
            </w:pPr>
            <w:r w:rsidRPr="007E3090">
              <w:rPr>
                <w:rFonts w:eastAsia="Times New Roman" w:cs="Calibri"/>
                <w:b/>
                <w:bCs/>
                <w:color w:val="000000"/>
              </w:rPr>
              <w:t xml:space="preserve">$28,212,000 </w:t>
            </w:r>
          </w:p>
        </w:tc>
      </w:tr>
    </w:tbl>
    <w:p w14:paraId="5AE5FDF8" w14:textId="77777777" w:rsidR="00182E03" w:rsidRDefault="00182E03" w:rsidP="00182E03">
      <w:pPr>
        <w:contextualSpacing/>
        <w:rPr>
          <w:rFonts w:eastAsia="Calibri" w:cs="Calibri"/>
          <w:b/>
          <w:bCs/>
          <w:color w:val="000000" w:themeColor="text1"/>
        </w:rPr>
      </w:pPr>
    </w:p>
    <w:p w14:paraId="444D0B21" w14:textId="77777777" w:rsidR="00182E03" w:rsidRDefault="00182E03" w:rsidP="00182E03">
      <w:pPr>
        <w:contextualSpacing/>
        <w:rPr>
          <w:rFonts w:eastAsia="Calibri" w:cs="Calibri"/>
          <w:color w:val="000000" w:themeColor="text1"/>
        </w:rPr>
      </w:pPr>
      <w:r w:rsidRPr="3863ED53">
        <w:rPr>
          <w:rFonts w:eastAsia="Calibri" w:cs="Calibri"/>
          <w:b/>
          <w:bCs/>
          <w:color w:val="000000" w:themeColor="text1"/>
        </w:rPr>
        <w:t>Description</w:t>
      </w:r>
    </w:p>
    <w:p w14:paraId="5AB0CA60" w14:textId="5182B3EC" w:rsidR="00182E03" w:rsidRDefault="00182E03" w:rsidP="00182E03">
      <w:pPr>
        <w:rPr>
          <w:rFonts w:eastAsia="Calibri" w:cs="Arial"/>
          <w:color w:val="000000" w:themeColor="text1"/>
        </w:rPr>
      </w:pPr>
      <w:r w:rsidRPr="1BF2F0B1">
        <w:rPr>
          <w:rFonts w:eastAsia="Calibri" w:cs="Calibri"/>
          <w:color w:val="000000" w:themeColor="text1"/>
        </w:rPr>
        <w:t xml:space="preserve">The Youth Development strategy invests in mentoring, </w:t>
      </w:r>
      <w:r w:rsidR="007A634D" w:rsidRPr="1BF2F0B1">
        <w:rPr>
          <w:rFonts w:eastAsia="Calibri" w:cs="Calibri"/>
          <w:color w:val="000000" w:themeColor="text1"/>
        </w:rPr>
        <w:t>leadership and</w:t>
      </w:r>
      <w:r w:rsidRPr="1BF2F0B1">
        <w:rPr>
          <w:rFonts w:eastAsia="Calibri" w:cs="Calibri"/>
          <w:color w:val="000000" w:themeColor="text1"/>
        </w:rPr>
        <w:t xml:space="preserve"> positive identity development, and opportunities to learn how to develop healthy and safe relationships (</w:t>
      </w:r>
      <w:r w:rsidR="002A5D4C">
        <w:rPr>
          <w:rFonts w:eastAsia="Calibri" w:cs="Calibri"/>
          <w:color w:val="000000" w:themeColor="text1"/>
        </w:rPr>
        <w:t xml:space="preserve">including </w:t>
      </w:r>
      <w:r w:rsidRPr="1BF2F0B1">
        <w:rPr>
          <w:rFonts w:eastAsia="Calibri" w:cs="Calibri"/>
          <w:color w:val="000000" w:themeColor="text1"/>
        </w:rPr>
        <w:t>domestic violence prevention</w:t>
      </w:r>
      <w:r w:rsidR="002A5D4C">
        <w:rPr>
          <w:rFonts w:eastAsia="Calibri" w:cs="Calibri"/>
          <w:color w:val="000000" w:themeColor="text1"/>
        </w:rPr>
        <w:t xml:space="preserve"> and peer to peer support</w:t>
      </w:r>
      <w:r w:rsidRPr="1BF2F0B1">
        <w:rPr>
          <w:rFonts w:eastAsia="Calibri" w:cs="Calibri"/>
          <w:color w:val="000000" w:themeColor="text1"/>
        </w:rPr>
        <w:t>)</w:t>
      </w:r>
      <w:r w:rsidR="007D2939">
        <w:rPr>
          <w:rFonts w:eastAsia="Calibri" w:cs="Calibri"/>
          <w:color w:val="000000" w:themeColor="text1"/>
        </w:rPr>
        <w:t xml:space="preserve">. </w:t>
      </w:r>
      <w:r>
        <w:rPr>
          <w:rFonts w:eastAsia="Calibri" w:cs="Calibri"/>
          <w:color w:val="000000" w:themeColor="text1"/>
        </w:rPr>
        <w:t>The Youth Development Strategy partners with community-based organizations who serve</w:t>
      </w:r>
      <w:r w:rsidRPr="1BF2F0B1">
        <w:rPr>
          <w:rFonts w:eastAsia="Calibri" w:cs="Calibri"/>
          <w:color w:val="000000" w:themeColor="text1"/>
        </w:rPr>
        <w:t xml:space="preserve"> youth navigating the child welfare system, unsheltered youth, LGBTQ</w:t>
      </w:r>
      <w:r w:rsidR="00F34C59">
        <w:rPr>
          <w:rFonts w:eastAsia="Calibri" w:cs="Calibri"/>
          <w:color w:val="000000" w:themeColor="text1"/>
        </w:rPr>
        <w:t>IA+</w:t>
      </w:r>
      <w:r w:rsidRPr="1BF2F0B1">
        <w:rPr>
          <w:rFonts w:eastAsia="Calibri" w:cs="Calibri"/>
          <w:color w:val="000000" w:themeColor="text1"/>
        </w:rPr>
        <w:t xml:space="preserve"> youth, and other historically and presently marginalized young people</w:t>
      </w:r>
      <w:r>
        <w:rPr>
          <w:rFonts w:eastAsia="Calibri" w:cs="Calibri"/>
          <w:color w:val="000000" w:themeColor="text1"/>
        </w:rPr>
        <w:t xml:space="preserve">. The programs supported </w:t>
      </w:r>
      <w:r w:rsidRPr="1BF2F0B1">
        <w:rPr>
          <w:rFonts w:eastAsia="Calibri" w:cs="Calibri"/>
          <w:color w:val="000000" w:themeColor="text1"/>
        </w:rPr>
        <w:t xml:space="preserve">spans a broad spectrum of activities and topics, from the arts to physical activity to community organizing, delivered in a location accessible to participating youth. </w:t>
      </w:r>
    </w:p>
    <w:p w14:paraId="4B50B977" w14:textId="77777777" w:rsidR="00182E03" w:rsidRDefault="00182E03" w:rsidP="00182E03">
      <w:pPr>
        <w:contextualSpacing/>
        <w:rPr>
          <w:rFonts w:eastAsia="Calibri" w:cs="Calibri"/>
          <w:b/>
          <w:bCs/>
          <w:color w:val="000000" w:themeColor="text1"/>
        </w:rPr>
      </w:pPr>
    </w:p>
    <w:p w14:paraId="72E7D5FB" w14:textId="48A36632" w:rsidR="00182E03" w:rsidRDefault="00182E03" w:rsidP="00182E03">
      <w:pPr>
        <w:contextualSpacing/>
        <w:rPr>
          <w:rFonts w:eastAsia="Calibri" w:cs="Calibri"/>
          <w:color w:val="000000" w:themeColor="text1"/>
        </w:rPr>
      </w:pPr>
      <w:r w:rsidRPr="1BF2F0B1">
        <w:rPr>
          <w:rFonts w:eastAsia="Calibri" w:cs="Calibri"/>
          <w:b/>
          <w:bCs/>
          <w:color w:val="000000" w:themeColor="text1"/>
        </w:rPr>
        <w:t xml:space="preserve">Planned Refinements in </w:t>
      </w:r>
      <w:r w:rsidR="00C95F87" w:rsidRPr="001F244E">
        <w:rPr>
          <w:rFonts w:eastAsia="Calibri" w:cs="Calibri"/>
          <w:b/>
          <w:bCs/>
          <w:i/>
          <w:iCs/>
          <w:color w:val="000000" w:themeColor="text1"/>
        </w:rPr>
        <w:t>B</w:t>
      </w:r>
      <w:r w:rsidR="00276BBF" w:rsidRPr="001F244E">
        <w:rPr>
          <w:rFonts w:eastAsia="Calibri" w:cs="Calibri"/>
          <w:b/>
          <w:bCs/>
          <w:i/>
          <w:iCs/>
          <w:color w:val="000000" w:themeColor="text1"/>
        </w:rPr>
        <w:t>est Starts for Kids</w:t>
      </w:r>
      <w:r w:rsidR="00C95F87">
        <w:rPr>
          <w:rFonts w:eastAsia="Calibri" w:cs="Calibri"/>
          <w:b/>
          <w:bCs/>
          <w:color w:val="000000" w:themeColor="text1"/>
        </w:rPr>
        <w:t xml:space="preserve"> 2022-2027</w:t>
      </w:r>
      <w:r w:rsidR="00276BBF">
        <w:rPr>
          <w:rFonts w:eastAsia="Calibri" w:cs="Calibri"/>
          <w:b/>
          <w:bCs/>
          <w:color w:val="000000" w:themeColor="text1"/>
        </w:rPr>
        <w:t>:</w:t>
      </w:r>
    </w:p>
    <w:p w14:paraId="4308F086" w14:textId="2423B970" w:rsidR="00182E03" w:rsidRPr="00F678EA" w:rsidRDefault="00182E03" w:rsidP="00025030">
      <w:pPr>
        <w:pStyle w:val="ListParagraph"/>
        <w:numPr>
          <w:ilvl w:val="0"/>
          <w:numId w:val="47"/>
        </w:numPr>
        <w:rPr>
          <w:rFonts w:eastAsia="MS Mincho" w:cs="Calibri"/>
          <w:color w:val="000000" w:themeColor="text1"/>
        </w:rPr>
      </w:pPr>
      <w:r w:rsidRPr="00F678EA">
        <w:rPr>
          <w:rFonts w:eastAsia="Calibri" w:cs="Calibri"/>
          <w:i/>
          <w:color w:val="000000" w:themeColor="text1"/>
        </w:rPr>
        <w:t>Best Starts</w:t>
      </w:r>
      <w:r w:rsidRPr="00F678EA">
        <w:rPr>
          <w:rFonts w:eastAsia="Calibri" w:cs="Calibri"/>
          <w:color w:val="000000" w:themeColor="text1"/>
        </w:rPr>
        <w:t xml:space="preserve"> will combine four strategy areas (Positive Identity Development, Healthy and Safe Relationships, Youth Leadership, and Mentoring) with frequent overlap in organizations serving youth to create the new Youth Development strategy, and will prioritize applicant</w:t>
      </w:r>
      <w:r w:rsidR="000E4035">
        <w:rPr>
          <w:rFonts w:eastAsia="Calibri" w:cs="Calibri"/>
          <w:color w:val="000000" w:themeColor="text1"/>
        </w:rPr>
        <w:t xml:space="preserve"> organization</w:t>
      </w:r>
      <w:r w:rsidRPr="00F678EA">
        <w:rPr>
          <w:rFonts w:eastAsia="Calibri" w:cs="Calibri"/>
          <w:color w:val="000000" w:themeColor="text1"/>
        </w:rPr>
        <w:t xml:space="preserve">s </w:t>
      </w:r>
      <w:r w:rsidR="000E4035">
        <w:rPr>
          <w:rFonts w:eastAsia="Calibri" w:cs="Calibri"/>
          <w:color w:val="000000" w:themeColor="text1"/>
        </w:rPr>
        <w:t>that</w:t>
      </w:r>
      <w:r w:rsidRPr="00F678EA">
        <w:rPr>
          <w:rFonts w:eastAsia="Calibri" w:cs="Calibri"/>
          <w:color w:val="000000" w:themeColor="text1"/>
        </w:rPr>
        <w:t xml:space="preserve"> clearly demonstrate a focus on at least one of those four areas. </w:t>
      </w:r>
    </w:p>
    <w:p w14:paraId="490025B6" w14:textId="77777777" w:rsidR="00182E03" w:rsidRDefault="00182E03" w:rsidP="00182E03">
      <w:pPr>
        <w:contextualSpacing/>
        <w:rPr>
          <w:rFonts w:eastAsia="Calibri" w:cs="Calibri"/>
          <w:b/>
          <w:bCs/>
          <w:color w:val="000000" w:themeColor="text1"/>
        </w:rPr>
      </w:pPr>
    </w:p>
    <w:p w14:paraId="25B39993" w14:textId="07858D17" w:rsidR="00182E03" w:rsidRDefault="00244543" w:rsidP="00182E03">
      <w:pPr>
        <w:contextualSpacing/>
        <w:rPr>
          <w:rFonts w:eastAsia="Calibri" w:cs="Calibri"/>
          <w:b/>
          <w:bCs/>
          <w:color w:val="000000" w:themeColor="text1"/>
        </w:rPr>
      </w:pPr>
      <w:r>
        <w:rPr>
          <w:rFonts w:eastAsia="Calibri" w:cs="Calibri"/>
          <w:b/>
          <w:bCs/>
          <w:color w:val="000000" w:themeColor="text1"/>
        </w:rPr>
        <w:t>Approximate</w:t>
      </w:r>
      <w:r w:rsidR="00182E03">
        <w:rPr>
          <w:rFonts w:eastAsia="Calibri" w:cs="Calibri"/>
          <w:b/>
          <w:bCs/>
          <w:color w:val="000000" w:themeColor="text1"/>
        </w:rPr>
        <w:t xml:space="preserve"> Scope: </w:t>
      </w:r>
      <w:r w:rsidR="00182E03" w:rsidRPr="00841526">
        <w:rPr>
          <w:rFonts w:eastAsia="Calibri" w:cs="Calibri"/>
          <w:color w:val="000000" w:themeColor="text1"/>
        </w:rPr>
        <w:t>Youth Development</w:t>
      </w:r>
      <w:r w:rsidR="00182E03" w:rsidRPr="00237A02">
        <w:rPr>
          <w:rFonts w:eastAsia="Calibri" w:cs="Calibri"/>
          <w:color w:val="000000" w:themeColor="text1"/>
        </w:rPr>
        <w:t xml:space="preserve"> anticipates serving 5</w:t>
      </w:r>
      <w:r w:rsidR="0067241A">
        <w:rPr>
          <w:rFonts w:eastAsia="Calibri" w:cs="Calibri"/>
          <w:color w:val="000000" w:themeColor="text1"/>
        </w:rPr>
        <w:t>,</w:t>
      </w:r>
      <w:r w:rsidR="00182E03" w:rsidRPr="00237A02">
        <w:rPr>
          <w:rFonts w:eastAsia="Calibri" w:cs="Calibri"/>
          <w:color w:val="000000" w:themeColor="text1"/>
        </w:rPr>
        <w:t>000 youth per year.</w:t>
      </w:r>
      <w:r w:rsidR="00182E03">
        <w:rPr>
          <w:rFonts w:eastAsia="Calibri" w:cs="Calibri"/>
          <w:b/>
          <w:bCs/>
          <w:color w:val="000000" w:themeColor="text1"/>
        </w:rPr>
        <w:t xml:space="preserve"> </w:t>
      </w:r>
    </w:p>
    <w:p w14:paraId="761769CD" w14:textId="77777777" w:rsidR="00182E03" w:rsidRDefault="00182E03" w:rsidP="00182E03">
      <w:pPr>
        <w:rPr>
          <w:rFonts w:eastAsia="Calibri" w:cs="Arial"/>
          <w:b/>
          <w:bCs/>
          <w:color w:val="000000" w:themeColor="text1"/>
        </w:rPr>
      </w:pPr>
    </w:p>
    <w:p w14:paraId="1CBAA629" w14:textId="3EA1FE79" w:rsidR="002A277B" w:rsidRDefault="00182E03" w:rsidP="00C01D82">
      <w:pPr>
        <w:rPr>
          <w:rFonts w:eastAsiaTheme="minorEastAsia" w:cs="Calibri"/>
          <w:b/>
          <w:lang w:val="en"/>
        </w:rPr>
      </w:pPr>
      <w:r w:rsidRPr="351B1C68">
        <w:rPr>
          <w:rFonts w:eastAsia="Calibri" w:cs="Calibri"/>
          <w:b/>
          <w:bCs/>
          <w:color w:val="000000" w:themeColor="text1"/>
        </w:rPr>
        <w:t>Anticipated Timeline:</w:t>
      </w:r>
      <w:r>
        <w:rPr>
          <w:rFonts w:eastAsia="Calibri" w:cs="Calibri"/>
          <w:b/>
          <w:bCs/>
          <w:color w:val="000000" w:themeColor="text1"/>
        </w:rPr>
        <w:t xml:space="preserve"> </w:t>
      </w:r>
      <w:r w:rsidRPr="00D559B2">
        <w:rPr>
          <w:rFonts w:cs="Calibri"/>
          <w:color w:val="000000"/>
          <w:shd w:val="clear" w:color="auto" w:fill="FFFFFF"/>
        </w:rPr>
        <w:t>RFP</w:t>
      </w:r>
      <w:r w:rsidR="00820715">
        <w:rPr>
          <w:rFonts w:cs="Calibri"/>
          <w:color w:val="000000"/>
          <w:shd w:val="clear" w:color="auto" w:fill="FFFFFF"/>
        </w:rPr>
        <w:t xml:space="preserve"> to be released</w:t>
      </w:r>
      <w:r w:rsidRPr="00D559B2">
        <w:rPr>
          <w:rFonts w:cs="Calibri"/>
          <w:color w:val="000000"/>
          <w:shd w:val="clear" w:color="auto" w:fill="FFFFFF"/>
        </w:rPr>
        <w:t xml:space="preserve"> in </w:t>
      </w:r>
      <w:r w:rsidR="00820715">
        <w:rPr>
          <w:rFonts w:cs="Calibri"/>
          <w:color w:val="000000"/>
          <w:shd w:val="clear" w:color="auto" w:fill="FFFFFF"/>
        </w:rPr>
        <w:t>Q4</w:t>
      </w:r>
      <w:r w:rsidR="00064528">
        <w:rPr>
          <w:rFonts w:cs="Calibri"/>
          <w:color w:val="000000"/>
          <w:shd w:val="clear" w:color="auto" w:fill="FFFFFF"/>
        </w:rPr>
        <w:t xml:space="preserve"> 2021</w:t>
      </w:r>
      <w:r w:rsidR="00BB4C8B">
        <w:rPr>
          <w:rFonts w:cs="Calibri"/>
          <w:color w:val="000000"/>
          <w:shd w:val="clear" w:color="auto" w:fill="FFFFFF"/>
        </w:rPr>
        <w:t>.</w:t>
      </w:r>
      <w:r w:rsidR="00AE2CFE">
        <w:rPr>
          <w:rFonts w:cs="Calibri"/>
          <w:color w:val="000000"/>
          <w:shd w:val="clear" w:color="auto" w:fill="FFFFFF"/>
        </w:rPr>
        <w:t xml:space="preserve"> </w:t>
      </w:r>
    </w:p>
    <w:p w14:paraId="0488ECED" w14:textId="77777777" w:rsidR="00E24924" w:rsidRPr="00CB236B" w:rsidRDefault="00E24924" w:rsidP="00E24924">
      <w:pPr>
        <w:rPr>
          <w:rFonts w:eastAsia="Calibri" w:cs="Arial"/>
          <w:b/>
          <w:color w:val="000000" w:themeColor="text1"/>
        </w:rPr>
      </w:pPr>
    </w:p>
    <w:p w14:paraId="60452C4F" w14:textId="77777777" w:rsidR="007B6484" w:rsidRDefault="007B6484">
      <w:bookmarkStart w:id="72" w:name="SBSBIRT"/>
      <w:r>
        <w:br w:type="page"/>
      </w:r>
    </w:p>
    <w:tbl>
      <w:tblPr>
        <w:tblStyle w:val="TableGrid"/>
        <w:tblpPr w:leftFromText="180" w:rightFromText="180" w:vertAnchor="text" w:horzAnchor="margin" w:tblpY="162"/>
        <w:tblW w:w="9510" w:type="dxa"/>
        <w:tblLook w:val="04A0" w:firstRow="1" w:lastRow="0" w:firstColumn="1" w:lastColumn="0" w:noHBand="0" w:noVBand="1"/>
      </w:tblPr>
      <w:tblGrid>
        <w:gridCol w:w="9510"/>
      </w:tblGrid>
      <w:tr w:rsidR="00E24924" w:rsidRPr="00D03F1F" w14:paraId="5B8E7718" w14:textId="77777777" w:rsidTr="0058327A">
        <w:trPr>
          <w:trHeight w:val="360"/>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13F5E63D" w14:textId="77777777" w:rsidR="00E24924" w:rsidRPr="003123D6" w:rsidRDefault="00E24924" w:rsidP="009B00D1">
            <w:pPr>
              <w:contextualSpacing/>
              <w:rPr>
                <w:rFonts w:eastAsia="Calibri" w:cs="Calibri"/>
                <w:color w:val="000000" w:themeColor="text1"/>
              </w:rPr>
            </w:pPr>
            <w:r w:rsidRPr="008B5A1F">
              <w:rPr>
                <w:rFonts w:eastAsia="Calibri" w:cs="Calibri"/>
                <w:b/>
                <w:color w:val="000000" w:themeColor="text1"/>
                <w:sz w:val="28"/>
                <w:szCs w:val="28"/>
              </w:rPr>
              <w:lastRenderedPageBreak/>
              <w:t xml:space="preserve">SB:SBIRT </w:t>
            </w:r>
            <w:bookmarkEnd w:id="72"/>
            <w:r w:rsidRPr="008B5A1F">
              <w:rPr>
                <w:rFonts w:eastAsia="Calibri" w:cs="Calibri"/>
                <w:b/>
                <w:color w:val="000000" w:themeColor="text1"/>
                <w:sz w:val="28"/>
                <w:szCs w:val="28"/>
              </w:rPr>
              <w:t>School-Based Screening, Brief intervention and Referral to Treatment/Services</w:t>
            </w:r>
            <w:r w:rsidRPr="003123D6">
              <w:rPr>
                <w:rFonts w:eastAsia="Calibri" w:cs="Calibri"/>
                <w:color w:val="000000" w:themeColor="text1"/>
              </w:rPr>
              <w:t xml:space="preserve"> (formerly Screening, Brief intervention and Referral to Treatment SBIRT)</w:t>
            </w:r>
          </w:p>
        </w:tc>
      </w:tr>
    </w:tbl>
    <w:tbl>
      <w:tblPr>
        <w:tblW w:w="9540" w:type="dxa"/>
        <w:tblLook w:val="04A0" w:firstRow="1" w:lastRow="0" w:firstColumn="1" w:lastColumn="0" w:noHBand="0" w:noVBand="1"/>
      </w:tblPr>
      <w:tblGrid>
        <w:gridCol w:w="951"/>
        <w:gridCol w:w="1127"/>
        <w:gridCol w:w="1338"/>
        <w:gridCol w:w="1165"/>
        <w:gridCol w:w="1165"/>
        <w:gridCol w:w="1165"/>
        <w:gridCol w:w="1165"/>
        <w:gridCol w:w="1486"/>
      </w:tblGrid>
      <w:tr w:rsidR="00E24924" w:rsidRPr="00ED7EDF" w14:paraId="3B5F1161" w14:textId="77777777" w:rsidTr="00B22468">
        <w:trPr>
          <w:trHeight w:val="281"/>
        </w:trPr>
        <w:tc>
          <w:tcPr>
            <w:tcW w:w="9540" w:type="dxa"/>
            <w:gridSpan w:val="8"/>
            <w:tcBorders>
              <w:top w:val="nil"/>
              <w:left w:val="nil"/>
              <w:bottom w:val="single" w:sz="12" w:space="0" w:color="FFD966"/>
              <w:right w:val="nil"/>
            </w:tcBorders>
            <w:shd w:val="clear" w:color="auto" w:fill="auto"/>
            <w:noWrap/>
            <w:vAlign w:val="bottom"/>
            <w:hideMark/>
          </w:tcPr>
          <w:p w14:paraId="037BB1C2" w14:textId="77777777" w:rsidR="00E24924" w:rsidRPr="00ED7EDF" w:rsidRDefault="00E24924" w:rsidP="009B00D1">
            <w:pPr>
              <w:spacing w:line="240" w:lineRule="auto"/>
              <w:rPr>
                <w:rFonts w:eastAsia="Times New Roman" w:cs="Calibri"/>
                <w:b/>
                <w:bCs/>
                <w:i/>
                <w:iCs/>
                <w:color w:val="000000"/>
              </w:rPr>
            </w:pPr>
            <w:r w:rsidRPr="00ED7EDF">
              <w:rPr>
                <w:rFonts w:eastAsia="Times New Roman" w:cs="Calibri"/>
                <w:b/>
                <w:bCs/>
                <w:i/>
                <w:iCs/>
                <w:color w:val="000000"/>
              </w:rPr>
              <w:t>Funding Estimate:</w:t>
            </w:r>
          </w:p>
        </w:tc>
      </w:tr>
      <w:tr w:rsidR="00E24924" w:rsidRPr="00ED7EDF" w14:paraId="02B242EA" w14:textId="77777777" w:rsidTr="00B22468">
        <w:trPr>
          <w:trHeight w:val="465"/>
        </w:trPr>
        <w:tc>
          <w:tcPr>
            <w:tcW w:w="951" w:type="dxa"/>
            <w:tcBorders>
              <w:top w:val="nil"/>
              <w:left w:val="single" w:sz="12" w:space="0" w:color="FFD966"/>
              <w:bottom w:val="single" w:sz="8" w:space="0" w:color="FFD966"/>
              <w:right w:val="single" w:sz="8" w:space="0" w:color="FFD966"/>
            </w:tcBorders>
            <w:shd w:val="clear" w:color="000000" w:fill="D9E1F2"/>
            <w:noWrap/>
            <w:vAlign w:val="center"/>
            <w:hideMark/>
          </w:tcPr>
          <w:p w14:paraId="492A8F07" w14:textId="77777777" w:rsidR="00E24924" w:rsidRPr="00ED7EDF" w:rsidRDefault="00E24924" w:rsidP="009B00D1">
            <w:pPr>
              <w:spacing w:line="240" w:lineRule="auto"/>
              <w:rPr>
                <w:rFonts w:eastAsia="Times New Roman" w:cs="Calibri"/>
                <w:b/>
                <w:bCs/>
                <w:i/>
                <w:iCs/>
              </w:rPr>
            </w:pPr>
            <w:r w:rsidRPr="00ED7EDF">
              <w:rPr>
                <w:rFonts w:eastAsia="Times New Roman" w:cs="Calibri"/>
                <w:b/>
                <w:bCs/>
                <w:i/>
                <w:iCs/>
              </w:rPr>
              <w:t>Year</w:t>
            </w:r>
          </w:p>
        </w:tc>
        <w:tc>
          <w:tcPr>
            <w:tcW w:w="1105" w:type="dxa"/>
            <w:tcBorders>
              <w:top w:val="nil"/>
              <w:left w:val="nil"/>
              <w:bottom w:val="single" w:sz="8" w:space="0" w:color="FFD966"/>
              <w:right w:val="single" w:sz="8" w:space="0" w:color="FFD966"/>
            </w:tcBorders>
            <w:shd w:val="clear" w:color="000000" w:fill="D9E1F2"/>
            <w:noWrap/>
            <w:vAlign w:val="center"/>
            <w:hideMark/>
          </w:tcPr>
          <w:p w14:paraId="00BDE2C1" w14:textId="77777777" w:rsidR="00E24924" w:rsidRPr="00ED7EDF" w:rsidRDefault="00E24924" w:rsidP="009B00D1">
            <w:pPr>
              <w:spacing w:line="240" w:lineRule="auto"/>
              <w:jc w:val="right"/>
              <w:rPr>
                <w:rFonts w:eastAsia="Times New Roman" w:cs="Calibri"/>
              </w:rPr>
            </w:pPr>
            <w:r w:rsidRPr="00ED7EDF">
              <w:rPr>
                <w:rFonts w:eastAsia="Times New Roman" w:cs="Calibri"/>
              </w:rPr>
              <w:t>2022</w:t>
            </w:r>
          </w:p>
        </w:tc>
        <w:tc>
          <w:tcPr>
            <w:tcW w:w="1338" w:type="dxa"/>
            <w:tcBorders>
              <w:top w:val="nil"/>
              <w:left w:val="nil"/>
              <w:bottom w:val="single" w:sz="8" w:space="0" w:color="FFD966"/>
              <w:right w:val="single" w:sz="8" w:space="0" w:color="FFD966"/>
            </w:tcBorders>
            <w:shd w:val="clear" w:color="000000" w:fill="D9E1F2"/>
            <w:noWrap/>
            <w:vAlign w:val="center"/>
            <w:hideMark/>
          </w:tcPr>
          <w:p w14:paraId="0FB0A61C" w14:textId="77777777" w:rsidR="00E24924" w:rsidRPr="00ED7EDF" w:rsidRDefault="00E24924" w:rsidP="009B00D1">
            <w:pPr>
              <w:spacing w:line="240" w:lineRule="auto"/>
              <w:jc w:val="right"/>
              <w:rPr>
                <w:rFonts w:eastAsia="Times New Roman" w:cs="Calibri"/>
              </w:rPr>
            </w:pPr>
            <w:r w:rsidRPr="00ED7EDF">
              <w:rPr>
                <w:rFonts w:eastAsia="Times New Roman" w:cs="Calibri"/>
              </w:rPr>
              <w:t>2023</w:t>
            </w:r>
          </w:p>
        </w:tc>
        <w:tc>
          <w:tcPr>
            <w:tcW w:w="1165" w:type="dxa"/>
            <w:tcBorders>
              <w:top w:val="nil"/>
              <w:left w:val="nil"/>
              <w:bottom w:val="single" w:sz="8" w:space="0" w:color="FFD966"/>
              <w:right w:val="single" w:sz="8" w:space="0" w:color="FFD966"/>
            </w:tcBorders>
            <w:shd w:val="clear" w:color="000000" w:fill="D9E1F2"/>
            <w:noWrap/>
            <w:vAlign w:val="center"/>
            <w:hideMark/>
          </w:tcPr>
          <w:p w14:paraId="06E14928" w14:textId="77777777" w:rsidR="00E24924" w:rsidRPr="00ED7EDF" w:rsidRDefault="00E24924" w:rsidP="009B00D1">
            <w:pPr>
              <w:spacing w:line="240" w:lineRule="auto"/>
              <w:jc w:val="right"/>
              <w:rPr>
                <w:rFonts w:eastAsia="Times New Roman" w:cs="Calibri"/>
              </w:rPr>
            </w:pPr>
            <w:r w:rsidRPr="00ED7EDF">
              <w:rPr>
                <w:rFonts w:eastAsia="Times New Roman" w:cs="Calibri"/>
              </w:rPr>
              <w:t>2024</w:t>
            </w:r>
          </w:p>
        </w:tc>
        <w:tc>
          <w:tcPr>
            <w:tcW w:w="1165" w:type="dxa"/>
            <w:tcBorders>
              <w:top w:val="nil"/>
              <w:left w:val="nil"/>
              <w:bottom w:val="single" w:sz="8" w:space="0" w:color="FFD966"/>
              <w:right w:val="single" w:sz="8" w:space="0" w:color="FFD966"/>
            </w:tcBorders>
            <w:shd w:val="clear" w:color="000000" w:fill="D9E1F2"/>
            <w:noWrap/>
            <w:vAlign w:val="center"/>
            <w:hideMark/>
          </w:tcPr>
          <w:p w14:paraId="0BC03F5D" w14:textId="77777777" w:rsidR="00E24924" w:rsidRPr="00ED7EDF" w:rsidRDefault="00E24924" w:rsidP="009B00D1">
            <w:pPr>
              <w:spacing w:line="240" w:lineRule="auto"/>
              <w:jc w:val="right"/>
              <w:rPr>
                <w:rFonts w:eastAsia="Times New Roman" w:cs="Calibri"/>
              </w:rPr>
            </w:pPr>
            <w:r w:rsidRPr="00ED7EDF">
              <w:rPr>
                <w:rFonts w:eastAsia="Times New Roman" w:cs="Calibri"/>
              </w:rPr>
              <w:t>2025</w:t>
            </w:r>
          </w:p>
        </w:tc>
        <w:tc>
          <w:tcPr>
            <w:tcW w:w="1165" w:type="dxa"/>
            <w:tcBorders>
              <w:top w:val="nil"/>
              <w:left w:val="nil"/>
              <w:bottom w:val="single" w:sz="8" w:space="0" w:color="FFD966"/>
              <w:right w:val="single" w:sz="8" w:space="0" w:color="FFD966"/>
            </w:tcBorders>
            <w:shd w:val="clear" w:color="000000" w:fill="D9E1F2"/>
            <w:noWrap/>
            <w:vAlign w:val="center"/>
            <w:hideMark/>
          </w:tcPr>
          <w:p w14:paraId="694B9AFA" w14:textId="77777777" w:rsidR="00E24924" w:rsidRPr="00ED7EDF" w:rsidRDefault="00E24924" w:rsidP="009B00D1">
            <w:pPr>
              <w:spacing w:line="240" w:lineRule="auto"/>
              <w:jc w:val="right"/>
              <w:rPr>
                <w:rFonts w:eastAsia="Times New Roman" w:cs="Calibri"/>
              </w:rPr>
            </w:pPr>
            <w:r w:rsidRPr="00ED7EDF">
              <w:rPr>
                <w:rFonts w:eastAsia="Times New Roman" w:cs="Calibri"/>
              </w:rPr>
              <w:t>2026</w:t>
            </w:r>
          </w:p>
        </w:tc>
        <w:tc>
          <w:tcPr>
            <w:tcW w:w="1165" w:type="dxa"/>
            <w:tcBorders>
              <w:top w:val="nil"/>
              <w:left w:val="nil"/>
              <w:bottom w:val="single" w:sz="8" w:space="0" w:color="FFD966"/>
              <w:right w:val="single" w:sz="8" w:space="0" w:color="FFD966"/>
            </w:tcBorders>
            <w:shd w:val="clear" w:color="000000" w:fill="D9E1F2"/>
            <w:noWrap/>
            <w:vAlign w:val="center"/>
            <w:hideMark/>
          </w:tcPr>
          <w:p w14:paraId="14855642" w14:textId="77777777" w:rsidR="00E24924" w:rsidRPr="00ED7EDF" w:rsidRDefault="00E24924" w:rsidP="009B00D1">
            <w:pPr>
              <w:spacing w:line="240" w:lineRule="auto"/>
              <w:jc w:val="right"/>
              <w:rPr>
                <w:rFonts w:eastAsia="Times New Roman" w:cs="Calibri"/>
              </w:rPr>
            </w:pPr>
            <w:r w:rsidRPr="00ED7EDF">
              <w:rPr>
                <w:rFonts w:eastAsia="Times New Roman" w:cs="Calibri"/>
              </w:rPr>
              <w:t>2027</w:t>
            </w:r>
          </w:p>
        </w:tc>
        <w:tc>
          <w:tcPr>
            <w:tcW w:w="1486" w:type="dxa"/>
            <w:tcBorders>
              <w:top w:val="nil"/>
              <w:left w:val="nil"/>
              <w:bottom w:val="single" w:sz="8" w:space="0" w:color="FFD966"/>
              <w:right w:val="single" w:sz="12" w:space="0" w:color="FFD966"/>
            </w:tcBorders>
            <w:shd w:val="clear" w:color="000000" w:fill="D9E1F2"/>
            <w:noWrap/>
            <w:vAlign w:val="center"/>
            <w:hideMark/>
          </w:tcPr>
          <w:p w14:paraId="5A4ACD49" w14:textId="77777777" w:rsidR="00E24924" w:rsidRPr="00ED7EDF" w:rsidRDefault="00E24924" w:rsidP="009B00D1">
            <w:pPr>
              <w:spacing w:line="240" w:lineRule="auto"/>
              <w:jc w:val="right"/>
              <w:rPr>
                <w:rFonts w:eastAsia="Times New Roman" w:cs="Calibri"/>
                <w:b/>
                <w:bCs/>
                <w:i/>
                <w:iCs/>
              </w:rPr>
            </w:pPr>
            <w:r w:rsidRPr="00ED7EDF">
              <w:rPr>
                <w:rFonts w:eastAsia="Times New Roman" w:cs="Calibri"/>
                <w:b/>
                <w:bCs/>
                <w:i/>
                <w:iCs/>
              </w:rPr>
              <w:t>Total</w:t>
            </w:r>
          </w:p>
        </w:tc>
      </w:tr>
      <w:tr w:rsidR="00E24924" w:rsidRPr="00ED7EDF" w14:paraId="11490012" w14:textId="77777777" w:rsidTr="00B22468">
        <w:trPr>
          <w:trHeight w:val="374"/>
        </w:trPr>
        <w:tc>
          <w:tcPr>
            <w:tcW w:w="951" w:type="dxa"/>
            <w:tcBorders>
              <w:top w:val="nil"/>
              <w:left w:val="single" w:sz="12" w:space="0" w:color="FFD966"/>
              <w:bottom w:val="single" w:sz="12" w:space="0" w:color="FFD966"/>
              <w:right w:val="single" w:sz="8" w:space="0" w:color="FFD966"/>
            </w:tcBorders>
            <w:shd w:val="clear" w:color="auto" w:fill="auto"/>
            <w:noWrap/>
            <w:vAlign w:val="center"/>
            <w:hideMark/>
          </w:tcPr>
          <w:p w14:paraId="0BBDB2E0" w14:textId="77777777" w:rsidR="00E24924" w:rsidRPr="00ED7EDF" w:rsidRDefault="00E24924" w:rsidP="009B00D1">
            <w:pPr>
              <w:spacing w:line="240" w:lineRule="auto"/>
              <w:rPr>
                <w:rFonts w:eastAsia="Times New Roman" w:cs="Calibri"/>
                <w:b/>
                <w:bCs/>
                <w:i/>
                <w:iCs/>
                <w:color w:val="000000"/>
              </w:rPr>
            </w:pPr>
            <w:r w:rsidRPr="00ED7EDF">
              <w:rPr>
                <w:rFonts w:eastAsia="Times New Roman" w:cs="Calibri"/>
                <w:b/>
                <w:bCs/>
                <w:i/>
                <w:iCs/>
                <w:color w:val="000000"/>
              </w:rPr>
              <w:t>Amount</w:t>
            </w:r>
          </w:p>
        </w:tc>
        <w:tc>
          <w:tcPr>
            <w:tcW w:w="1105" w:type="dxa"/>
            <w:tcBorders>
              <w:top w:val="nil"/>
              <w:left w:val="nil"/>
              <w:bottom w:val="single" w:sz="12" w:space="0" w:color="FFD966"/>
              <w:right w:val="single" w:sz="8" w:space="0" w:color="FFD966"/>
            </w:tcBorders>
            <w:shd w:val="clear" w:color="auto" w:fill="auto"/>
            <w:noWrap/>
            <w:vAlign w:val="center"/>
            <w:hideMark/>
          </w:tcPr>
          <w:p w14:paraId="0783E0C5"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$2,475,000 </w:t>
            </w:r>
          </w:p>
        </w:tc>
        <w:tc>
          <w:tcPr>
            <w:tcW w:w="1338" w:type="dxa"/>
            <w:tcBorders>
              <w:top w:val="nil"/>
              <w:left w:val="nil"/>
              <w:bottom w:val="single" w:sz="12" w:space="0" w:color="FFD966"/>
              <w:right w:val="single" w:sz="8" w:space="0" w:color="FFD966"/>
            </w:tcBorders>
            <w:shd w:val="clear" w:color="auto" w:fill="auto"/>
            <w:noWrap/>
            <w:vAlign w:val="center"/>
            <w:hideMark/>
          </w:tcPr>
          <w:p w14:paraId="6952A22C"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$2,529,000 </w:t>
            </w:r>
          </w:p>
        </w:tc>
        <w:tc>
          <w:tcPr>
            <w:tcW w:w="1165" w:type="dxa"/>
            <w:tcBorders>
              <w:top w:val="nil"/>
              <w:left w:val="nil"/>
              <w:bottom w:val="single" w:sz="12" w:space="0" w:color="FFD966"/>
              <w:right w:val="single" w:sz="8" w:space="0" w:color="FFD966"/>
            </w:tcBorders>
            <w:shd w:val="clear" w:color="auto" w:fill="auto"/>
            <w:noWrap/>
            <w:vAlign w:val="center"/>
            <w:hideMark/>
          </w:tcPr>
          <w:p w14:paraId="222460E9"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$2,585,000 </w:t>
            </w:r>
          </w:p>
        </w:tc>
        <w:tc>
          <w:tcPr>
            <w:tcW w:w="1165" w:type="dxa"/>
            <w:tcBorders>
              <w:top w:val="nil"/>
              <w:left w:val="nil"/>
              <w:bottom w:val="single" w:sz="12" w:space="0" w:color="FFD966"/>
              <w:right w:val="single" w:sz="8" w:space="0" w:color="FFD966"/>
            </w:tcBorders>
            <w:shd w:val="clear" w:color="auto" w:fill="auto"/>
            <w:noWrap/>
            <w:vAlign w:val="center"/>
            <w:hideMark/>
          </w:tcPr>
          <w:p w14:paraId="68A67EF1"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$2,642,000 </w:t>
            </w:r>
          </w:p>
        </w:tc>
        <w:tc>
          <w:tcPr>
            <w:tcW w:w="1165" w:type="dxa"/>
            <w:tcBorders>
              <w:top w:val="nil"/>
              <w:left w:val="nil"/>
              <w:bottom w:val="single" w:sz="12" w:space="0" w:color="FFD966"/>
              <w:right w:val="single" w:sz="8" w:space="0" w:color="FFD966"/>
            </w:tcBorders>
            <w:shd w:val="clear" w:color="auto" w:fill="auto"/>
            <w:noWrap/>
            <w:vAlign w:val="center"/>
            <w:hideMark/>
          </w:tcPr>
          <w:p w14:paraId="5660DB83"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$2,700,000 </w:t>
            </w:r>
          </w:p>
        </w:tc>
        <w:tc>
          <w:tcPr>
            <w:tcW w:w="1165" w:type="dxa"/>
            <w:tcBorders>
              <w:top w:val="nil"/>
              <w:left w:val="nil"/>
              <w:bottom w:val="single" w:sz="12" w:space="0" w:color="FFD966"/>
              <w:right w:val="single" w:sz="8" w:space="0" w:color="FFD966"/>
            </w:tcBorders>
            <w:shd w:val="clear" w:color="auto" w:fill="auto"/>
            <w:noWrap/>
            <w:vAlign w:val="center"/>
            <w:hideMark/>
          </w:tcPr>
          <w:p w14:paraId="5CD20302"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$2,759,000 </w:t>
            </w:r>
          </w:p>
        </w:tc>
        <w:tc>
          <w:tcPr>
            <w:tcW w:w="1486" w:type="dxa"/>
            <w:tcBorders>
              <w:top w:val="nil"/>
              <w:left w:val="nil"/>
              <w:bottom w:val="single" w:sz="12" w:space="0" w:color="FFD966"/>
              <w:right w:val="single" w:sz="12" w:space="0" w:color="FFD966"/>
            </w:tcBorders>
            <w:shd w:val="clear" w:color="auto" w:fill="auto"/>
            <w:noWrap/>
            <w:vAlign w:val="center"/>
            <w:hideMark/>
          </w:tcPr>
          <w:p w14:paraId="7FCA5C6F" w14:textId="77777777" w:rsidR="00E24924" w:rsidRPr="00ED7EDF" w:rsidRDefault="00E24924" w:rsidP="00B22468">
            <w:pPr>
              <w:spacing w:line="240" w:lineRule="auto"/>
              <w:rPr>
                <w:rFonts w:eastAsia="Times New Roman" w:cs="Calibri"/>
                <w:b/>
                <w:bCs/>
                <w:color w:val="000000"/>
              </w:rPr>
            </w:pPr>
            <w:r w:rsidRPr="00ED7EDF">
              <w:rPr>
                <w:rFonts w:eastAsia="Times New Roman" w:cs="Calibri"/>
                <w:b/>
                <w:bCs/>
                <w:color w:val="000000"/>
              </w:rPr>
              <w:t xml:space="preserve">$15,691,000 </w:t>
            </w:r>
          </w:p>
        </w:tc>
      </w:tr>
    </w:tbl>
    <w:p w14:paraId="38945BD3" w14:textId="77777777" w:rsidR="00E24924" w:rsidRDefault="00E24924" w:rsidP="00E24924">
      <w:pPr>
        <w:contextualSpacing/>
        <w:rPr>
          <w:rFonts w:eastAsia="Calibri" w:cs="Calibri"/>
          <w:b/>
          <w:bCs/>
          <w:color w:val="000000" w:themeColor="text1"/>
        </w:rPr>
      </w:pPr>
    </w:p>
    <w:p w14:paraId="2E938AB7" w14:textId="77777777" w:rsidR="00E24924" w:rsidRPr="00D03F1F" w:rsidRDefault="00E24924" w:rsidP="00E24924">
      <w:pPr>
        <w:contextualSpacing/>
        <w:rPr>
          <w:rFonts w:eastAsia="Calibri" w:cs="Calibri"/>
          <w:color w:val="000000" w:themeColor="text1"/>
        </w:rPr>
      </w:pPr>
      <w:r w:rsidRPr="00D03F1F">
        <w:rPr>
          <w:rFonts w:eastAsia="Calibri" w:cs="Calibri"/>
          <w:b/>
          <w:color w:val="000000" w:themeColor="text1"/>
        </w:rPr>
        <w:t>Description</w:t>
      </w:r>
      <w:r>
        <w:rPr>
          <w:rFonts w:eastAsia="Calibri" w:cs="Calibri"/>
          <w:b/>
          <w:bCs/>
          <w:color w:val="000000" w:themeColor="text1"/>
        </w:rPr>
        <w:t>:</w:t>
      </w:r>
    </w:p>
    <w:p w14:paraId="6D3D58E2" w14:textId="47FCBB8B" w:rsidR="00E24924" w:rsidRPr="00D03F1F" w:rsidRDefault="00E24924" w:rsidP="00E24924">
      <w:pPr>
        <w:contextualSpacing/>
        <w:rPr>
          <w:rFonts w:eastAsia="Calibri" w:cs="Arial"/>
          <w:color w:val="000000" w:themeColor="text1"/>
        </w:rPr>
      </w:pPr>
      <w:r w:rsidRPr="00D03F1F">
        <w:rPr>
          <w:rFonts w:eastAsia="Calibri" w:cs="Calibri"/>
          <w:color w:val="000000" w:themeColor="text1"/>
        </w:rPr>
        <w:t>SB:SBIRT is a  model to promote social-emotional</w:t>
      </w:r>
      <w:r w:rsidR="004A269C">
        <w:rPr>
          <w:rFonts w:eastAsia="Calibri" w:cs="Calibri"/>
          <w:color w:val="000000" w:themeColor="text1"/>
        </w:rPr>
        <w:t xml:space="preserve"> and mental</w:t>
      </w:r>
      <w:r w:rsidRPr="00D03F1F">
        <w:rPr>
          <w:rFonts w:eastAsia="Calibri" w:cs="Calibri"/>
          <w:color w:val="000000" w:themeColor="text1"/>
        </w:rPr>
        <w:t xml:space="preserve"> health and prevent substance use for middle and high-school students.</w:t>
      </w:r>
      <w:r w:rsidR="004550DD">
        <w:rPr>
          <w:rStyle w:val="FootnoteReference"/>
          <w:rFonts w:eastAsia="Calibri" w:cs="Calibri"/>
          <w:color w:val="000000" w:themeColor="text1"/>
        </w:rPr>
        <w:footnoteReference w:id="171"/>
      </w:r>
      <w:r w:rsidR="009709C3">
        <w:rPr>
          <w:rFonts w:eastAsia="Calibri" w:cs="Calibri"/>
          <w:color w:val="000000" w:themeColor="text1"/>
          <w:vertAlign w:val="superscript"/>
        </w:rPr>
        <w:t xml:space="preserve"> </w:t>
      </w:r>
      <w:r w:rsidRPr="1BF2F0B1">
        <w:rPr>
          <w:rFonts w:eastAsia="Calibri" w:cs="Calibri"/>
          <w:color w:val="000000" w:themeColor="text1"/>
        </w:rPr>
        <w:t xml:space="preserve">SB:SBIRT provides prevention, outreach, and early intervention to address mental health and substance use impacts during the critical middle </w:t>
      </w:r>
      <w:r w:rsidR="007C4053">
        <w:rPr>
          <w:rFonts w:eastAsia="Calibri" w:cs="Calibri"/>
          <w:color w:val="000000" w:themeColor="text1"/>
        </w:rPr>
        <w:t xml:space="preserve">and high </w:t>
      </w:r>
      <w:r w:rsidRPr="1BF2F0B1">
        <w:rPr>
          <w:rFonts w:eastAsia="Calibri" w:cs="Calibri"/>
          <w:color w:val="000000" w:themeColor="text1"/>
        </w:rPr>
        <w:t>school years.</w:t>
      </w:r>
      <w:r w:rsidRPr="1BF2F0B1">
        <w:rPr>
          <w:rStyle w:val="FootnoteReference"/>
          <w:rFonts w:eastAsia="Calibri" w:cs="Calibri"/>
          <w:color w:val="000000" w:themeColor="text1"/>
        </w:rPr>
        <w:footnoteReference w:id="172"/>
      </w:r>
      <w:r w:rsidRPr="00D03F1F">
        <w:rPr>
          <w:rFonts w:eastAsia="Calibri" w:cs="Calibri"/>
          <w:color w:val="000000" w:themeColor="text1"/>
        </w:rPr>
        <w:t xml:space="preserve"> The framework can be used to screen for all levels of substance use risk and has more recently demonstrated success when utilized with </w:t>
      </w:r>
      <w:r w:rsidR="00133E6A">
        <w:rPr>
          <w:rFonts w:eastAsia="Calibri" w:cs="Calibri"/>
          <w:color w:val="000000" w:themeColor="text1"/>
        </w:rPr>
        <w:t xml:space="preserve">screening for </w:t>
      </w:r>
      <w:r w:rsidRPr="00D03F1F">
        <w:rPr>
          <w:rFonts w:eastAsia="Calibri" w:cs="Calibri"/>
          <w:color w:val="000000" w:themeColor="text1"/>
        </w:rPr>
        <w:t>mental health concerns more broadly.</w:t>
      </w:r>
      <w:r w:rsidRPr="00D03F1F">
        <w:rPr>
          <w:rStyle w:val="FootnoteReference"/>
          <w:rFonts w:eastAsia="Calibri" w:cs="Calibri"/>
          <w:color w:val="000000" w:themeColor="text1"/>
        </w:rPr>
        <w:footnoteReference w:id="173"/>
      </w:r>
      <w:r w:rsidRPr="00D03F1F">
        <w:rPr>
          <w:rFonts w:eastAsia="Calibri" w:cs="Calibri"/>
          <w:color w:val="000000" w:themeColor="text1"/>
        </w:rPr>
        <w:t xml:space="preserve"> </w:t>
      </w:r>
      <w:r>
        <w:rPr>
          <w:rFonts w:eastAsia="Calibri" w:cs="Calibri"/>
          <w:color w:val="000000" w:themeColor="text1"/>
        </w:rPr>
        <w:t xml:space="preserve">Funding for SB:SBIRT is </w:t>
      </w:r>
      <w:r w:rsidR="007C4053">
        <w:rPr>
          <w:rFonts w:eastAsia="Calibri" w:cs="Calibri"/>
          <w:color w:val="000000" w:themeColor="text1"/>
        </w:rPr>
        <w:t xml:space="preserve">currently </w:t>
      </w:r>
      <w:r>
        <w:rPr>
          <w:rFonts w:eastAsia="Calibri" w:cs="Calibri"/>
          <w:color w:val="000000" w:themeColor="text1"/>
        </w:rPr>
        <w:t>available for all middle schools in King County.</w:t>
      </w:r>
      <w:r w:rsidRPr="1BF2F0B1">
        <w:rPr>
          <w:rFonts w:eastAsia="Calibri" w:cs="Calibri"/>
          <w:color w:val="000000" w:themeColor="text1"/>
        </w:rPr>
        <w:t xml:space="preserve"> SB:SBIRT model’s strengths is its ability to reach students who have existing needs but might not normally receive attention</w:t>
      </w:r>
      <w:r>
        <w:rPr>
          <w:rFonts w:eastAsia="Calibri" w:cs="Calibri"/>
          <w:color w:val="000000" w:themeColor="text1"/>
        </w:rPr>
        <w:t>. T</w:t>
      </w:r>
      <w:r w:rsidRPr="1BF2F0B1">
        <w:rPr>
          <w:rFonts w:eastAsia="Calibri" w:cs="Calibri"/>
          <w:color w:val="000000" w:themeColor="text1"/>
        </w:rPr>
        <w:t>he 2019 SB:SBIRT Process Evaluation by Seattle Children’s Research Institute (SCRI) showed students who experienced the SB:SBIRT process had significant increase in school connection after the intervention.</w:t>
      </w:r>
      <w:r w:rsidRPr="1BF2F0B1">
        <w:rPr>
          <w:rStyle w:val="FootnoteReference"/>
          <w:rFonts w:eastAsia="Calibri" w:cs="Calibri"/>
          <w:color w:val="000000" w:themeColor="text1"/>
        </w:rPr>
        <w:footnoteReference w:id="174"/>
      </w:r>
    </w:p>
    <w:p w14:paraId="2394C9C8" w14:textId="4106A18D" w:rsidR="00E24924" w:rsidRPr="00D03F1F" w:rsidRDefault="00E24924" w:rsidP="00E24924">
      <w:pPr>
        <w:contextualSpacing/>
        <w:rPr>
          <w:rStyle w:val="FootnoteReference"/>
          <w:rFonts w:eastAsia="Calibri" w:cs="Calibri"/>
          <w:color w:val="000000" w:themeColor="text1"/>
        </w:rPr>
      </w:pPr>
    </w:p>
    <w:p w14:paraId="1E0DCB6F" w14:textId="4D31031A" w:rsidR="00E24924" w:rsidRDefault="00E24924" w:rsidP="00E24924">
      <w:pPr>
        <w:contextualSpacing/>
        <w:rPr>
          <w:rFonts w:eastAsia="Calibri" w:cs="Calibri"/>
          <w:b/>
          <w:bCs/>
          <w:color w:val="000000" w:themeColor="text1"/>
        </w:rPr>
      </w:pPr>
      <w:r w:rsidRPr="351B1C68">
        <w:rPr>
          <w:rFonts w:eastAsia="Calibri" w:cs="Calibri"/>
          <w:b/>
          <w:bCs/>
          <w:color w:val="000000" w:themeColor="text1"/>
        </w:rPr>
        <w:t xml:space="preserve">Planned Refinements in </w:t>
      </w:r>
      <w:r w:rsidR="005B3FA5" w:rsidRPr="001F244E">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276BBF">
        <w:rPr>
          <w:rFonts w:eastAsia="Times New Roman" w:cs="Calibri"/>
          <w:b/>
          <w:color w:val="000000" w:themeColor="text1"/>
        </w:rPr>
        <w:t>:</w:t>
      </w:r>
      <w:r>
        <w:rPr>
          <w:rFonts w:eastAsia="Calibri" w:cs="Calibri"/>
          <w:b/>
          <w:bCs/>
          <w:color w:val="000000" w:themeColor="text1"/>
        </w:rPr>
        <w:t xml:space="preserve"> </w:t>
      </w:r>
    </w:p>
    <w:p w14:paraId="124229A2" w14:textId="4D8D6EAD" w:rsidR="00E24924" w:rsidRDefault="00D24B48" w:rsidP="00025030">
      <w:pPr>
        <w:pStyle w:val="ListParagraph"/>
        <w:numPr>
          <w:ilvl w:val="0"/>
          <w:numId w:val="60"/>
        </w:numPr>
      </w:pPr>
      <w:r>
        <w:t>S</w:t>
      </w:r>
      <w:r w:rsidR="00E24924">
        <w:t xml:space="preserve">creening tools </w:t>
      </w:r>
      <w:r>
        <w:t xml:space="preserve">will be updated </w:t>
      </w:r>
      <w:r w:rsidR="00E24924">
        <w:t xml:space="preserve">to be able to </w:t>
      </w:r>
      <w:r w:rsidR="00463EB9">
        <w:t>work with</w:t>
      </w:r>
      <w:r w:rsidR="00E24924">
        <w:t xml:space="preserve"> high school students. </w:t>
      </w:r>
    </w:p>
    <w:p w14:paraId="0F43EA32" w14:textId="77777777" w:rsidR="00E24924" w:rsidRPr="00C5228D" w:rsidRDefault="00E24924" w:rsidP="00E24924">
      <w:pPr>
        <w:pStyle w:val="ListParagraph"/>
        <w:rPr>
          <w:rFonts w:asciiTheme="minorHAnsi" w:eastAsiaTheme="minorEastAsia" w:hAnsiTheme="minorHAnsi"/>
          <w:b/>
          <w:bCs/>
          <w:color w:val="000000" w:themeColor="text1"/>
        </w:rPr>
      </w:pPr>
    </w:p>
    <w:p w14:paraId="3B7C3870" w14:textId="7D30C58F" w:rsidR="00E24924" w:rsidRDefault="00244543" w:rsidP="00E24924">
      <w:pPr>
        <w:contextualSpacing/>
        <w:rPr>
          <w:rFonts w:eastAsia="Times New Roman" w:cs="Calibri"/>
        </w:rPr>
      </w:pPr>
      <w:r>
        <w:rPr>
          <w:rFonts w:eastAsia="Calibri" w:cs="Calibri"/>
          <w:b/>
          <w:bCs/>
          <w:color w:val="000000" w:themeColor="text1"/>
        </w:rPr>
        <w:t xml:space="preserve">Approximate Scope: </w:t>
      </w:r>
      <w:r w:rsidR="00E24924" w:rsidRPr="00C5228D">
        <w:rPr>
          <w:rFonts w:eastAsia="Times New Roman" w:cs="Calibri"/>
          <w:i/>
          <w:iCs/>
        </w:rPr>
        <w:t>Best Starts</w:t>
      </w:r>
      <w:r w:rsidR="00E24924" w:rsidRPr="00C5228D">
        <w:rPr>
          <w:rFonts w:eastAsia="Times New Roman" w:cs="Calibri"/>
        </w:rPr>
        <w:t xml:space="preserve"> intends to reach approximately 1,400 youth annually</w:t>
      </w:r>
      <w:r w:rsidR="007D2939">
        <w:rPr>
          <w:rFonts w:eastAsia="Times New Roman" w:cs="Calibri"/>
        </w:rPr>
        <w:t>.</w:t>
      </w:r>
    </w:p>
    <w:p w14:paraId="278DE3FA" w14:textId="77777777" w:rsidR="00E24924" w:rsidRDefault="00E24924" w:rsidP="00E24924">
      <w:pPr>
        <w:contextualSpacing/>
        <w:rPr>
          <w:rFonts w:eastAsia="Times New Roman" w:cs="Calibri"/>
        </w:rPr>
      </w:pPr>
    </w:p>
    <w:p w14:paraId="096FA5A5" w14:textId="77777777" w:rsidR="00E24924" w:rsidRPr="00427DAE" w:rsidRDefault="00E24924" w:rsidP="00E24924">
      <w:pPr>
        <w:spacing w:line="240" w:lineRule="auto"/>
        <w:textAlignment w:val="baseline"/>
        <w:rPr>
          <w:rFonts w:ascii="Segoe UI" w:eastAsia="Times New Roman" w:hAnsi="Segoe UI" w:cs="Segoe UI"/>
          <w:sz w:val="18"/>
          <w:szCs w:val="18"/>
        </w:rPr>
      </w:pPr>
      <w:r>
        <w:rPr>
          <w:rFonts w:eastAsia="Times New Roman" w:cs="Calibri"/>
          <w:b/>
          <w:bCs/>
          <w:color w:val="000000"/>
        </w:rPr>
        <w:t>Anticipated</w:t>
      </w:r>
      <w:r w:rsidRPr="00427DAE">
        <w:rPr>
          <w:rFonts w:eastAsia="Times New Roman" w:cs="Calibri"/>
          <w:b/>
          <w:bCs/>
          <w:color w:val="000000"/>
        </w:rPr>
        <w:t> Timeline</w:t>
      </w:r>
      <w:r>
        <w:rPr>
          <w:rFonts w:eastAsia="Times New Roman" w:cs="Calibri"/>
          <w:color w:val="000000"/>
        </w:rPr>
        <w:t>:</w:t>
      </w:r>
    </w:p>
    <w:p w14:paraId="1B326AC8" w14:textId="392850B2" w:rsidR="00E24924" w:rsidRPr="000E535D" w:rsidRDefault="00E24924" w:rsidP="00025030">
      <w:pPr>
        <w:numPr>
          <w:ilvl w:val="0"/>
          <w:numId w:val="50"/>
        </w:numPr>
        <w:spacing w:line="240" w:lineRule="auto"/>
        <w:textAlignment w:val="baseline"/>
        <w:rPr>
          <w:rFonts w:eastAsia="Times New Roman" w:cs="Calibri"/>
        </w:rPr>
      </w:pPr>
      <w:r w:rsidRPr="000E535D">
        <w:rPr>
          <w:rFonts w:eastAsia="Times New Roman" w:cs="Calibri"/>
          <w:color w:val="000000"/>
        </w:rPr>
        <w:t xml:space="preserve">Release RFP in </w:t>
      </w:r>
      <w:r w:rsidR="007A634D">
        <w:rPr>
          <w:rFonts w:eastAsia="Times New Roman" w:cs="Calibri"/>
          <w:color w:val="000000"/>
        </w:rPr>
        <w:t>Q</w:t>
      </w:r>
      <w:r>
        <w:rPr>
          <w:rFonts w:eastAsia="Times New Roman" w:cs="Calibri"/>
          <w:color w:val="000000"/>
        </w:rPr>
        <w:t>4</w:t>
      </w:r>
      <w:r w:rsidRPr="000E535D">
        <w:rPr>
          <w:rFonts w:eastAsia="Times New Roman" w:cs="Calibri"/>
          <w:color w:val="000000"/>
        </w:rPr>
        <w:t xml:space="preserve"> 2021 for continued funding for 12 school districts currently implementing SBIRT or having completed the planning process</w:t>
      </w:r>
      <w:r w:rsidR="007D2939">
        <w:rPr>
          <w:rFonts w:eastAsia="Times New Roman" w:cs="Calibri"/>
          <w:color w:val="000000"/>
        </w:rPr>
        <w:t>.</w:t>
      </w:r>
      <w:r w:rsidR="00791013">
        <w:rPr>
          <w:rFonts w:eastAsia="Times New Roman" w:cs="Calibri"/>
          <w:color w:val="000000"/>
        </w:rPr>
        <w:t xml:space="preserve"> </w:t>
      </w:r>
    </w:p>
    <w:p w14:paraId="78374B33" w14:textId="03B8601D" w:rsidR="00E24924" w:rsidRPr="000E535D" w:rsidRDefault="00E24924" w:rsidP="00025030">
      <w:pPr>
        <w:numPr>
          <w:ilvl w:val="0"/>
          <w:numId w:val="50"/>
        </w:numPr>
        <w:spacing w:line="240" w:lineRule="auto"/>
        <w:textAlignment w:val="baseline"/>
        <w:rPr>
          <w:rFonts w:eastAsia="Times New Roman" w:cs="Calibri"/>
        </w:rPr>
      </w:pPr>
      <w:r w:rsidRPr="000E535D">
        <w:rPr>
          <w:rFonts w:eastAsia="Times New Roman" w:cs="Calibri"/>
          <w:color w:val="000000"/>
        </w:rPr>
        <w:t xml:space="preserve">Release RFP for Planning </w:t>
      </w:r>
      <w:r w:rsidR="0018022B">
        <w:rPr>
          <w:rFonts w:eastAsia="Times New Roman" w:cs="Calibri"/>
          <w:color w:val="000000"/>
        </w:rPr>
        <w:t>Awards</w:t>
      </w:r>
      <w:r w:rsidRPr="000E535D">
        <w:rPr>
          <w:rFonts w:eastAsia="Times New Roman" w:cs="Calibri"/>
          <w:color w:val="000000"/>
        </w:rPr>
        <w:t xml:space="preserve"> in the </w:t>
      </w:r>
      <w:r w:rsidR="007A634D">
        <w:rPr>
          <w:rFonts w:eastAsia="Times New Roman" w:cs="Calibri"/>
          <w:color w:val="000000"/>
        </w:rPr>
        <w:t>Q4</w:t>
      </w:r>
      <w:r w:rsidRPr="000E535D">
        <w:rPr>
          <w:rFonts w:eastAsia="Times New Roman" w:cs="Calibri"/>
          <w:color w:val="000000"/>
        </w:rPr>
        <w:t xml:space="preserve"> 2021 for remaining school districts and other interested schools for the 2022-23 school year</w:t>
      </w:r>
      <w:r w:rsidR="007D2939">
        <w:rPr>
          <w:rFonts w:eastAsia="Times New Roman" w:cs="Calibri"/>
          <w:color w:val="000000"/>
        </w:rPr>
        <w:t>.</w:t>
      </w:r>
      <w:r w:rsidR="00791013">
        <w:rPr>
          <w:rFonts w:eastAsia="Times New Roman" w:cs="Calibri"/>
          <w:color w:val="000000"/>
        </w:rPr>
        <w:t xml:space="preserve"> </w:t>
      </w:r>
    </w:p>
    <w:p w14:paraId="25739CBE" w14:textId="77777777" w:rsidR="00E24924" w:rsidRDefault="00E24924" w:rsidP="00DD4D44">
      <w:pPr>
        <w:pStyle w:val="NormalWeb"/>
        <w:spacing w:after="0"/>
        <w:contextualSpacing/>
        <w:rPr>
          <w:rFonts w:eastAsiaTheme="minorEastAsia" w:cs="Calibri"/>
          <w:b/>
          <w:szCs w:val="22"/>
          <w:lang w:val="en"/>
        </w:rPr>
      </w:pPr>
    </w:p>
    <w:p w14:paraId="18AEBFB0" w14:textId="77777777" w:rsidR="007B6484" w:rsidRDefault="007B6484">
      <w:bookmarkStart w:id="73" w:name="School_BasedHealthCenters"/>
      <w:r>
        <w:br w:type="page"/>
      </w:r>
    </w:p>
    <w:tbl>
      <w:tblPr>
        <w:tblStyle w:val="TableGrid"/>
        <w:tblpPr w:leftFromText="180" w:rightFromText="180" w:vertAnchor="text" w:horzAnchor="margin" w:tblpY="155"/>
        <w:tblW w:w="10231" w:type="dxa"/>
        <w:tblLook w:val="04A0" w:firstRow="1" w:lastRow="0" w:firstColumn="1" w:lastColumn="0" w:noHBand="0" w:noVBand="1"/>
      </w:tblPr>
      <w:tblGrid>
        <w:gridCol w:w="10231"/>
      </w:tblGrid>
      <w:tr w:rsidR="00DD4D44" w:rsidRPr="00D03F1F" w14:paraId="26DE4307" w14:textId="77777777" w:rsidTr="00700C3F">
        <w:trPr>
          <w:trHeight w:val="351"/>
        </w:trPr>
        <w:tc>
          <w:tcPr>
            <w:tcW w:w="10231"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0B21B30A" w14:textId="776302D6" w:rsidR="00DD4D44" w:rsidRPr="00EE121B" w:rsidRDefault="00DD4D44" w:rsidP="008C4122">
            <w:pPr>
              <w:contextualSpacing/>
              <w:rPr>
                <w:rFonts w:cs="Calibri"/>
                <w:b/>
                <w:sz w:val="28"/>
                <w:szCs w:val="28"/>
              </w:rPr>
            </w:pPr>
            <w:r w:rsidRPr="00EE121B">
              <w:rPr>
                <w:rFonts w:eastAsia="Calibri" w:cs="Calibri"/>
                <w:b/>
                <w:color w:val="000000" w:themeColor="text1"/>
                <w:sz w:val="28"/>
                <w:szCs w:val="28"/>
              </w:rPr>
              <w:lastRenderedPageBreak/>
              <w:t>School-Based Health Centers</w:t>
            </w:r>
            <w:r w:rsidRPr="00EE121B">
              <w:rPr>
                <w:rFonts w:eastAsia="Calibri" w:cs="Calibri"/>
                <w:color w:val="000000" w:themeColor="text1"/>
                <w:sz w:val="28"/>
                <w:szCs w:val="28"/>
              </w:rPr>
              <w:t xml:space="preserve"> </w:t>
            </w:r>
            <w:bookmarkEnd w:id="73"/>
          </w:p>
        </w:tc>
      </w:tr>
    </w:tbl>
    <w:tbl>
      <w:tblPr>
        <w:tblW w:w="10316" w:type="dxa"/>
        <w:tblLook w:val="04A0" w:firstRow="1" w:lastRow="0" w:firstColumn="1" w:lastColumn="0" w:noHBand="0" w:noVBand="1"/>
      </w:tblPr>
      <w:tblGrid>
        <w:gridCol w:w="1046"/>
        <w:gridCol w:w="1282"/>
        <w:gridCol w:w="1282"/>
        <w:gridCol w:w="1282"/>
        <w:gridCol w:w="1282"/>
        <w:gridCol w:w="1282"/>
        <w:gridCol w:w="1282"/>
        <w:gridCol w:w="1578"/>
      </w:tblGrid>
      <w:tr w:rsidR="00CE10A0" w:rsidRPr="00CE10A0" w14:paraId="5D12BC1B" w14:textId="77777777" w:rsidTr="00700C3F">
        <w:trPr>
          <w:trHeight w:val="307"/>
        </w:trPr>
        <w:tc>
          <w:tcPr>
            <w:tcW w:w="10316" w:type="dxa"/>
            <w:gridSpan w:val="8"/>
            <w:tcBorders>
              <w:top w:val="nil"/>
              <w:left w:val="nil"/>
              <w:bottom w:val="single" w:sz="12" w:space="0" w:color="FFD966"/>
              <w:right w:val="nil"/>
            </w:tcBorders>
            <w:shd w:val="clear" w:color="auto" w:fill="auto"/>
            <w:noWrap/>
            <w:vAlign w:val="bottom"/>
            <w:hideMark/>
          </w:tcPr>
          <w:p w14:paraId="4C5E69EE" w14:textId="77777777" w:rsidR="00CE10A0" w:rsidRPr="00CE10A0" w:rsidRDefault="00CE10A0" w:rsidP="00CE10A0">
            <w:pPr>
              <w:spacing w:line="240" w:lineRule="auto"/>
              <w:rPr>
                <w:rFonts w:eastAsia="Times New Roman" w:cs="Calibri"/>
                <w:b/>
                <w:bCs/>
                <w:i/>
                <w:iCs/>
                <w:color w:val="000000"/>
              </w:rPr>
            </w:pPr>
            <w:r w:rsidRPr="00CE10A0">
              <w:rPr>
                <w:rFonts w:eastAsia="Times New Roman" w:cs="Calibri"/>
                <w:b/>
                <w:bCs/>
                <w:i/>
                <w:iCs/>
                <w:color w:val="000000"/>
              </w:rPr>
              <w:t>Funding Estimate:</w:t>
            </w:r>
          </w:p>
        </w:tc>
      </w:tr>
      <w:tr w:rsidR="00CE10A0" w:rsidRPr="00CE10A0" w14:paraId="4251329A" w14:textId="77777777" w:rsidTr="00700C3F">
        <w:trPr>
          <w:trHeight w:val="409"/>
        </w:trPr>
        <w:tc>
          <w:tcPr>
            <w:tcW w:w="1046" w:type="dxa"/>
            <w:tcBorders>
              <w:top w:val="nil"/>
              <w:left w:val="single" w:sz="12" w:space="0" w:color="FFD966"/>
              <w:bottom w:val="single" w:sz="8" w:space="0" w:color="FFD966"/>
              <w:right w:val="single" w:sz="8" w:space="0" w:color="FFD966"/>
            </w:tcBorders>
            <w:shd w:val="clear" w:color="000000" w:fill="D9E1F2"/>
            <w:noWrap/>
            <w:vAlign w:val="center"/>
            <w:hideMark/>
          </w:tcPr>
          <w:p w14:paraId="32C7402F" w14:textId="77777777" w:rsidR="00CE10A0" w:rsidRPr="00CE10A0" w:rsidRDefault="00CE10A0" w:rsidP="00CE10A0">
            <w:pPr>
              <w:spacing w:line="240" w:lineRule="auto"/>
              <w:rPr>
                <w:rFonts w:eastAsia="Times New Roman" w:cs="Calibri"/>
                <w:b/>
                <w:bCs/>
                <w:i/>
                <w:iCs/>
              </w:rPr>
            </w:pPr>
            <w:r w:rsidRPr="00CE10A0">
              <w:rPr>
                <w:rFonts w:eastAsia="Times New Roman" w:cs="Calibri"/>
                <w:b/>
                <w:bCs/>
                <w:i/>
                <w:iCs/>
              </w:rPr>
              <w:t>Year</w:t>
            </w:r>
          </w:p>
        </w:tc>
        <w:tc>
          <w:tcPr>
            <w:tcW w:w="1282" w:type="dxa"/>
            <w:tcBorders>
              <w:top w:val="nil"/>
              <w:left w:val="nil"/>
              <w:bottom w:val="single" w:sz="8" w:space="0" w:color="FFD966"/>
              <w:right w:val="single" w:sz="8" w:space="0" w:color="FFD966"/>
            </w:tcBorders>
            <w:shd w:val="clear" w:color="000000" w:fill="D9E1F2"/>
            <w:noWrap/>
            <w:vAlign w:val="center"/>
            <w:hideMark/>
          </w:tcPr>
          <w:p w14:paraId="20F625E4" w14:textId="77777777" w:rsidR="00CE10A0" w:rsidRPr="00CE10A0" w:rsidRDefault="00CE10A0" w:rsidP="00CE10A0">
            <w:pPr>
              <w:spacing w:line="240" w:lineRule="auto"/>
              <w:jc w:val="right"/>
              <w:rPr>
                <w:rFonts w:eastAsia="Times New Roman" w:cs="Calibri"/>
              </w:rPr>
            </w:pPr>
            <w:r w:rsidRPr="00CE10A0">
              <w:rPr>
                <w:rFonts w:eastAsia="Times New Roman" w:cs="Calibri"/>
              </w:rPr>
              <w:t>2022</w:t>
            </w:r>
          </w:p>
        </w:tc>
        <w:tc>
          <w:tcPr>
            <w:tcW w:w="1282" w:type="dxa"/>
            <w:tcBorders>
              <w:top w:val="nil"/>
              <w:left w:val="nil"/>
              <w:bottom w:val="single" w:sz="8" w:space="0" w:color="FFD966"/>
              <w:right w:val="single" w:sz="8" w:space="0" w:color="FFD966"/>
            </w:tcBorders>
            <w:shd w:val="clear" w:color="000000" w:fill="D9E1F2"/>
            <w:noWrap/>
            <w:vAlign w:val="center"/>
            <w:hideMark/>
          </w:tcPr>
          <w:p w14:paraId="1E185500" w14:textId="77777777" w:rsidR="00CE10A0" w:rsidRPr="00CE10A0" w:rsidRDefault="00CE10A0" w:rsidP="00CE10A0">
            <w:pPr>
              <w:spacing w:line="240" w:lineRule="auto"/>
              <w:jc w:val="right"/>
              <w:rPr>
                <w:rFonts w:eastAsia="Times New Roman" w:cs="Calibri"/>
              </w:rPr>
            </w:pPr>
            <w:r w:rsidRPr="00CE10A0">
              <w:rPr>
                <w:rFonts w:eastAsia="Times New Roman" w:cs="Calibri"/>
              </w:rPr>
              <w:t>2023</w:t>
            </w:r>
          </w:p>
        </w:tc>
        <w:tc>
          <w:tcPr>
            <w:tcW w:w="1282" w:type="dxa"/>
            <w:tcBorders>
              <w:top w:val="nil"/>
              <w:left w:val="nil"/>
              <w:bottom w:val="single" w:sz="8" w:space="0" w:color="FFD966"/>
              <w:right w:val="single" w:sz="8" w:space="0" w:color="FFD966"/>
            </w:tcBorders>
            <w:shd w:val="clear" w:color="000000" w:fill="D9E1F2"/>
            <w:noWrap/>
            <w:vAlign w:val="center"/>
            <w:hideMark/>
          </w:tcPr>
          <w:p w14:paraId="2681AB2E" w14:textId="77777777" w:rsidR="00CE10A0" w:rsidRPr="00CE10A0" w:rsidRDefault="00CE10A0" w:rsidP="00CE10A0">
            <w:pPr>
              <w:spacing w:line="240" w:lineRule="auto"/>
              <w:jc w:val="right"/>
              <w:rPr>
                <w:rFonts w:eastAsia="Times New Roman" w:cs="Calibri"/>
              </w:rPr>
            </w:pPr>
            <w:r w:rsidRPr="00CE10A0">
              <w:rPr>
                <w:rFonts w:eastAsia="Times New Roman" w:cs="Calibri"/>
              </w:rPr>
              <w:t>2024</w:t>
            </w:r>
          </w:p>
        </w:tc>
        <w:tc>
          <w:tcPr>
            <w:tcW w:w="1282" w:type="dxa"/>
            <w:tcBorders>
              <w:top w:val="nil"/>
              <w:left w:val="nil"/>
              <w:bottom w:val="single" w:sz="8" w:space="0" w:color="FFD966"/>
              <w:right w:val="single" w:sz="8" w:space="0" w:color="FFD966"/>
            </w:tcBorders>
            <w:shd w:val="clear" w:color="000000" w:fill="D9E1F2"/>
            <w:noWrap/>
            <w:vAlign w:val="center"/>
            <w:hideMark/>
          </w:tcPr>
          <w:p w14:paraId="5790D6CE" w14:textId="77777777" w:rsidR="00CE10A0" w:rsidRPr="00CE10A0" w:rsidRDefault="00CE10A0" w:rsidP="00CE10A0">
            <w:pPr>
              <w:spacing w:line="240" w:lineRule="auto"/>
              <w:jc w:val="right"/>
              <w:rPr>
                <w:rFonts w:eastAsia="Times New Roman" w:cs="Calibri"/>
              </w:rPr>
            </w:pPr>
            <w:r w:rsidRPr="00CE10A0">
              <w:rPr>
                <w:rFonts w:eastAsia="Times New Roman" w:cs="Calibri"/>
              </w:rPr>
              <w:t>2025</w:t>
            </w:r>
          </w:p>
        </w:tc>
        <w:tc>
          <w:tcPr>
            <w:tcW w:w="1282" w:type="dxa"/>
            <w:tcBorders>
              <w:top w:val="nil"/>
              <w:left w:val="nil"/>
              <w:bottom w:val="single" w:sz="8" w:space="0" w:color="FFD966"/>
              <w:right w:val="single" w:sz="8" w:space="0" w:color="FFD966"/>
            </w:tcBorders>
            <w:shd w:val="clear" w:color="000000" w:fill="D9E1F2"/>
            <w:noWrap/>
            <w:vAlign w:val="center"/>
            <w:hideMark/>
          </w:tcPr>
          <w:p w14:paraId="6A8D8788" w14:textId="77777777" w:rsidR="00CE10A0" w:rsidRPr="00CE10A0" w:rsidRDefault="00CE10A0" w:rsidP="00CE10A0">
            <w:pPr>
              <w:spacing w:line="240" w:lineRule="auto"/>
              <w:jc w:val="right"/>
              <w:rPr>
                <w:rFonts w:eastAsia="Times New Roman" w:cs="Calibri"/>
              </w:rPr>
            </w:pPr>
            <w:r w:rsidRPr="00CE10A0">
              <w:rPr>
                <w:rFonts w:eastAsia="Times New Roman" w:cs="Calibri"/>
              </w:rPr>
              <w:t>2026</w:t>
            </w:r>
          </w:p>
        </w:tc>
        <w:tc>
          <w:tcPr>
            <w:tcW w:w="1282" w:type="dxa"/>
            <w:tcBorders>
              <w:top w:val="nil"/>
              <w:left w:val="nil"/>
              <w:bottom w:val="single" w:sz="8" w:space="0" w:color="FFD966"/>
              <w:right w:val="single" w:sz="8" w:space="0" w:color="FFD966"/>
            </w:tcBorders>
            <w:shd w:val="clear" w:color="000000" w:fill="D9E1F2"/>
            <w:noWrap/>
            <w:vAlign w:val="center"/>
            <w:hideMark/>
          </w:tcPr>
          <w:p w14:paraId="52955F6C" w14:textId="77777777" w:rsidR="00CE10A0" w:rsidRPr="00CE10A0" w:rsidRDefault="00CE10A0" w:rsidP="00CE10A0">
            <w:pPr>
              <w:spacing w:line="240" w:lineRule="auto"/>
              <w:jc w:val="right"/>
              <w:rPr>
                <w:rFonts w:eastAsia="Times New Roman" w:cs="Calibri"/>
              </w:rPr>
            </w:pPr>
            <w:r w:rsidRPr="00CE10A0">
              <w:rPr>
                <w:rFonts w:eastAsia="Times New Roman" w:cs="Calibri"/>
              </w:rPr>
              <w:t>2027</w:t>
            </w:r>
          </w:p>
        </w:tc>
        <w:tc>
          <w:tcPr>
            <w:tcW w:w="1573" w:type="dxa"/>
            <w:tcBorders>
              <w:top w:val="nil"/>
              <w:left w:val="nil"/>
              <w:bottom w:val="single" w:sz="8" w:space="0" w:color="FFD966"/>
              <w:right w:val="single" w:sz="12" w:space="0" w:color="FFD966"/>
            </w:tcBorders>
            <w:shd w:val="clear" w:color="000000" w:fill="D9E1F2"/>
            <w:noWrap/>
            <w:vAlign w:val="center"/>
            <w:hideMark/>
          </w:tcPr>
          <w:p w14:paraId="477A851B" w14:textId="77777777" w:rsidR="00CE10A0" w:rsidRPr="00CE10A0" w:rsidRDefault="00CE10A0" w:rsidP="00CE10A0">
            <w:pPr>
              <w:spacing w:line="240" w:lineRule="auto"/>
              <w:jc w:val="right"/>
              <w:rPr>
                <w:rFonts w:eastAsia="Times New Roman" w:cs="Calibri"/>
                <w:b/>
                <w:bCs/>
                <w:i/>
                <w:iCs/>
              </w:rPr>
            </w:pPr>
            <w:r w:rsidRPr="00CE10A0">
              <w:rPr>
                <w:rFonts w:eastAsia="Times New Roman" w:cs="Calibri"/>
                <w:b/>
                <w:bCs/>
                <w:i/>
                <w:iCs/>
              </w:rPr>
              <w:t>Total</w:t>
            </w:r>
          </w:p>
        </w:tc>
      </w:tr>
      <w:tr w:rsidR="00CE10A0" w:rsidRPr="00CE10A0" w14:paraId="71C3DC19" w14:textId="77777777" w:rsidTr="00700C3F">
        <w:trPr>
          <w:trHeight w:val="409"/>
        </w:trPr>
        <w:tc>
          <w:tcPr>
            <w:tcW w:w="1046" w:type="dxa"/>
            <w:tcBorders>
              <w:top w:val="nil"/>
              <w:left w:val="single" w:sz="12" w:space="0" w:color="FFD966"/>
              <w:bottom w:val="single" w:sz="12" w:space="0" w:color="FFD966"/>
              <w:right w:val="single" w:sz="8" w:space="0" w:color="FFD966"/>
            </w:tcBorders>
            <w:shd w:val="clear" w:color="auto" w:fill="auto"/>
            <w:noWrap/>
            <w:vAlign w:val="center"/>
            <w:hideMark/>
          </w:tcPr>
          <w:p w14:paraId="400F16F6" w14:textId="77777777" w:rsidR="00CE10A0" w:rsidRPr="00CE10A0" w:rsidRDefault="00CE10A0" w:rsidP="00CE10A0">
            <w:pPr>
              <w:spacing w:line="240" w:lineRule="auto"/>
              <w:rPr>
                <w:rFonts w:eastAsia="Times New Roman" w:cs="Calibri"/>
                <w:b/>
                <w:bCs/>
                <w:i/>
                <w:iCs/>
                <w:color w:val="000000"/>
              </w:rPr>
            </w:pPr>
            <w:r w:rsidRPr="00CE10A0">
              <w:rPr>
                <w:rFonts w:eastAsia="Times New Roman" w:cs="Calibri"/>
                <w:b/>
                <w:bCs/>
                <w:i/>
                <w:iCs/>
                <w:color w:val="000000"/>
              </w:rPr>
              <w:t>Amount</w:t>
            </w:r>
          </w:p>
        </w:tc>
        <w:tc>
          <w:tcPr>
            <w:tcW w:w="1282" w:type="dxa"/>
            <w:tcBorders>
              <w:top w:val="nil"/>
              <w:left w:val="nil"/>
              <w:bottom w:val="single" w:sz="12" w:space="0" w:color="FFD966"/>
              <w:right w:val="single" w:sz="8" w:space="0" w:color="FFD966"/>
            </w:tcBorders>
            <w:shd w:val="clear" w:color="auto" w:fill="auto"/>
            <w:noWrap/>
            <w:vAlign w:val="center"/>
            <w:hideMark/>
          </w:tcPr>
          <w:p w14:paraId="1DF0AD1E"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$3,000,000 </w:t>
            </w:r>
          </w:p>
        </w:tc>
        <w:tc>
          <w:tcPr>
            <w:tcW w:w="1282" w:type="dxa"/>
            <w:tcBorders>
              <w:top w:val="nil"/>
              <w:left w:val="nil"/>
              <w:bottom w:val="single" w:sz="12" w:space="0" w:color="FFD966"/>
              <w:right w:val="single" w:sz="8" w:space="0" w:color="FFD966"/>
            </w:tcBorders>
            <w:shd w:val="clear" w:color="auto" w:fill="auto"/>
            <w:noWrap/>
            <w:vAlign w:val="center"/>
            <w:hideMark/>
          </w:tcPr>
          <w:p w14:paraId="352E11E5"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$3,066,000 </w:t>
            </w:r>
          </w:p>
        </w:tc>
        <w:tc>
          <w:tcPr>
            <w:tcW w:w="1282" w:type="dxa"/>
            <w:tcBorders>
              <w:top w:val="nil"/>
              <w:left w:val="nil"/>
              <w:bottom w:val="single" w:sz="12" w:space="0" w:color="FFD966"/>
              <w:right w:val="single" w:sz="8" w:space="0" w:color="FFD966"/>
            </w:tcBorders>
            <w:shd w:val="clear" w:color="auto" w:fill="auto"/>
            <w:noWrap/>
            <w:vAlign w:val="center"/>
            <w:hideMark/>
          </w:tcPr>
          <w:p w14:paraId="4371484C"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$3,133,000 </w:t>
            </w:r>
          </w:p>
        </w:tc>
        <w:tc>
          <w:tcPr>
            <w:tcW w:w="1282" w:type="dxa"/>
            <w:tcBorders>
              <w:top w:val="nil"/>
              <w:left w:val="nil"/>
              <w:bottom w:val="single" w:sz="12" w:space="0" w:color="FFD966"/>
              <w:right w:val="single" w:sz="8" w:space="0" w:color="FFD966"/>
            </w:tcBorders>
            <w:shd w:val="clear" w:color="auto" w:fill="auto"/>
            <w:noWrap/>
            <w:vAlign w:val="center"/>
            <w:hideMark/>
          </w:tcPr>
          <w:p w14:paraId="6BEF57BC"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$3,202,000 </w:t>
            </w:r>
          </w:p>
        </w:tc>
        <w:tc>
          <w:tcPr>
            <w:tcW w:w="1282" w:type="dxa"/>
            <w:tcBorders>
              <w:top w:val="nil"/>
              <w:left w:val="nil"/>
              <w:bottom w:val="single" w:sz="12" w:space="0" w:color="FFD966"/>
              <w:right w:val="single" w:sz="8" w:space="0" w:color="FFD966"/>
            </w:tcBorders>
            <w:shd w:val="clear" w:color="auto" w:fill="auto"/>
            <w:noWrap/>
            <w:vAlign w:val="center"/>
            <w:hideMark/>
          </w:tcPr>
          <w:p w14:paraId="5805B61D"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$3,273,000 </w:t>
            </w:r>
          </w:p>
        </w:tc>
        <w:tc>
          <w:tcPr>
            <w:tcW w:w="1282" w:type="dxa"/>
            <w:tcBorders>
              <w:top w:val="nil"/>
              <w:left w:val="nil"/>
              <w:bottom w:val="single" w:sz="12" w:space="0" w:color="FFD966"/>
              <w:right w:val="single" w:sz="8" w:space="0" w:color="FFD966"/>
            </w:tcBorders>
            <w:shd w:val="clear" w:color="auto" w:fill="auto"/>
            <w:noWrap/>
            <w:vAlign w:val="center"/>
            <w:hideMark/>
          </w:tcPr>
          <w:p w14:paraId="6E28693F"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$3,345,000 </w:t>
            </w:r>
          </w:p>
        </w:tc>
        <w:tc>
          <w:tcPr>
            <w:tcW w:w="1573" w:type="dxa"/>
            <w:tcBorders>
              <w:top w:val="nil"/>
              <w:left w:val="nil"/>
              <w:bottom w:val="single" w:sz="12" w:space="0" w:color="FFD966"/>
              <w:right w:val="single" w:sz="12" w:space="0" w:color="FFD966"/>
            </w:tcBorders>
            <w:shd w:val="clear" w:color="auto" w:fill="auto"/>
            <w:noWrap/>
            <w:vAlign w:val="center"/>
            <w:hideMark/>
          </w:tcPr>
          <w:p w14:paraId="1F5A999D" w14:textId="77777777" w:rsidR="00CE10A0" w:rsidRPr="00CE10A0" w:rsidRDefault="00CE10A0" w:rsidP="00CE10A0">
            <w:pPr>
              <w:spacing w:line="240" w:lineRule="auto"/>
              <w:jc w:val="right"/>
              <w:rPr>
                <w:rFonts w:eastAsia="Times New Roman" w:cs="Calibri"/>
                <w:b/>
                <w:bCs/>
                <w:color w:val="000000"/>
              </w:rPr>
            </w:pPr>
            <w:r w:rsidRPr="00CE10A0">
              <w:rPr>
                <w:rFonts w:eastAsia="Times New Roman" w:cs="Calibri"/>
                <w:b/>
                <w:bCs/>
                <w:color w:val="000000"/>
              </w:rPr>
              <w:t xml:space="preserve">$19,020,000 </w:t>
            </w:r>
          </w:p>
        </w:tc>
      </w:tr>
    </w:tbl>
    <w:p w14:paraId="79A8AE7F" w14:textId="77777777" w:rsidR="00CE10A0" w:rsidRDefault="00CE10A0" w:rsidP="00DD4D44">
      <w:pPr>
        <w:shd w:val="clear" w:color="auto" w:fill="FFFFFF"/>
        <w:textAlignment w:val="baseline"/>
        <w:rPr>
          <w:b/>
          <w:bCs/>
          <w:color w:val="000000"/>
        </w:rPr>
      </w:pPr>
    </w:p>
    <w:p w14:paraId="4E556AF1" w14:textId="5951FD1B" w:rsidR="00DD4D44" w:rsidRDefault="00DD4D44" w:rsidP="00DD4D44">
      <w:pPr>
        <w:shd w:val="clear" w:color="auto" w:fill="FFFFFF"/>
        <w:textAlignment w:val="baseline"/>
      </w:pPr>
      <w:r>
        <w:rPr>
          <w:b/>
          <w:bCs/>
          <w:color w:val="000000"/>
        </w:rPr>
        <w:t>Description:</w:t>
      </w:r>
      <w:r>
        <w:rPr>
          <w:color w:val="000000"/>
        </w:rPr>
        <w:t> </w:t>
      </w:r>
    </w:p>
    <w:p w14:paraId="7FC571F0" w14:textId="0171FF9F" w:rsidR="00EC1DEC" w:rsidRDefault="00DD4D44" w:rsidP="62EEE0B4">
      <w:pPr>
        <w:shd w:val="clear" w:color="auto" w:fill="FFFFFF" w:themeFill="background1"/>
        <w:textAlignment w:val="baseline"/>
        <w:rPr>
          <w:color w:val="000000"/>
        </w:rPr>
      </w:pPr>
      <w:r>
        <w:rPr>
          <w:color w:val="000000"/>
        </w:rPr>
        <w:t>School-</w:t>
      </w:r>
      <w:r w:rsidR="009F275E" w:rsidRPr="261F37E9">
        <w:rPr>
          <w:color w:val="000000" w:themeColor="text1"/>
        </w:rPr>
        <w:t>b</w:t>
      </w:r>
      <w:r>
        <w:rPr>
          <w:color w:val="000000"/>
        </w:rPr>
        <w:t xml:space="preserve">ased </w:t>
      </w:r>
      <w:r w:rsidR="009F275E" w:rsidRPr="261F37E9">
        <w:rPr>
          <w:color w:val="000000" w:themeColor="text1"/>
        </w:rPr>
        <w:t>h</w:t>
      </w:r>
      <w:r>
        <w:rPr>
          <w:color w:val="000000"/>
        </w:rPr>
        <w:t xml:space="preserve">ealth </w:t>
      </w:r>
      <w:r w:rsidR="009F275E" w:rsidRPr="261F37E9">
        <w:rPr>
          <w:color w:val="000000" w:themeColor="text1"/>
        </w:rPr>
        <w:t>c</w:t>
      </w:r>
      <w:r>
        <w:rPr>
          <w:color w:val="000000"/>
        </w:rPr>
        <w:t xml:space="preserve">enters (SBHCs) in King County provide comprehensive medical, </w:t>
      </w:r>
      <w:r w:rsidR="007139A0">
        <w:rPr>
          <w:color w:val="000000"/>
        </w:rPr>
        <w:t>behavioral</w:t>
      </w:r>
      <w:r>
        <w:rPr>
          <w:color w:val="000000"/>
        </w:rPr>
        <w:t xml:space="preserve"> health, and dental services in school settings to children and adolescents who </w:t>
      </w:r>
      <w:r w:rsidRPr="002A62BE">
        <w:t xml:space="preserve">are </w:t>
      </w:r>
      <w:r w:rsidR="0058567F">
        <w:t xml:space="preserve">often </w:t>
      </w:r>
      <w:r w:rsidRPr="002A62BE">
        <w:t>underserved</w:t>
      </w:r>
      <w:r>
        <w:rPr>
          <w:color w:val="000000"/>
        </w:rPr>
        <w:t xml:space="preserve"> </w:t>
      </w:r>
      <w:r w:rsidR="0058567F">
        <w:rPr>
          <w:color w:val="000000"/>
        </w:rPr>
        <w:t>by the medical community</w:t>
      </w:r>
      <w:r>
        <w:rPr>
          <w:color w:val="000000"/>
        </w:rPr>
        <w:t>.</w:t>
      </w:r>
      <w:r w:rsidRPr="007A071B">
        <w:t> </w:t>
      </w:r>
      <w:r w:rsidR="00EC1DEC" w:rsidRPr="00EC1DEC">
        <w:rPr>
          <w:color w:val="000000"/>
        </w:rPr>
        <w:t xml:space="preserve"> </w:t>
      </w:r>
      <w:r w:rsidR="00EC1DEC">
        <w:rPr>
          <w:color w:val="000000"/>
        </w:rPr>
        <w:t xml:space="preserve">SBHCs are </w:t>
      </w:r>
      <w:r w:rsidR="76C442E3">
        <w:rPr>
          <w:color w:val="000000"/>
        </w:rPr>
        <w:t>a</w:t>
      </w:r>
      <w:r w:rsidR="7536E6B5">
        <w:rPr>
          <w:color w:val="000000"/>
        </w:rPr>
        <w:t>n effective</w:t>
      </w:r>
      <w:r w:rsidR="00EC1DEC">
        <w:rPr>
          <w:color w:val="000000"/>
        </w:rPr>
        <w:t xml:space="preserve"> strategy for increasing students’ educational and health outcomes, including in school performance, grade promotion, and high school completion. They also decrease such health risks as mental illness, teenage pregnancy, poor diet, inadequate physical activity, physical and emotional abuse, and substance </w:t>
      </w:r>
      <w:r w:rsidR="002331BF">
        <w:rPr>
          <w:color w:val="000000"/>
        </w:rPr>
        <w:t>misuse</w:t>
      </w:r>
      <w:r w:rsidR="00EC1DEC">
        <w:rPr>
          <w:color w:val="000000"/>
        </w:rPr>
        <w:t>.</w:t>
      </w:r>
      <w:r w:rsidR="00EC1DEC">
        <w:rPr>
          <w:rStyle w:val="FootnoteReference"/>
          <w:color w:val="000000"/>
        </w:rPr>
        <w:footnoteReference w:id="175"/>
      </w:r>
      <w:r w:rsidR="00904C22">
        <w:rPr>
          <w:color w:val="000000"/>
          <w:vertAlign w:val="superscript"/>
        </w:rPr>
        <w:t>,</w:t>
      </w:r>
      <w:r w:rsidR="00904C22">
        <w:rPr>
          <w:rStyle w:val="FootnoteReference"/>
          <w:color w:val="000000"/>
        </w:rPr>
        <w:footnoteReference w:id="176"/>
      </w:r>
      <w:r w:rsidR="00184CE4">
        <w:rPr>
          <w:color w:val="000000"/>
          <w:vertAlign w:val="superscript"/>
        </w:rPr>
        <w:t>,</w:t>
      </w:r>
      <w:r w:rsidR="00184CE4">
        <w:rPr>
          <w:rStyle w:val="FootnoteReference"/>
          <w:color w:val="000000"/>
        </w:rPr>
        <w:footnoteReference w:id="177"/>
      </w:r>
      <w:r w:rsidR="00EC1DEC">
        <w:rPr>
          <w:color w:val="000000"/>
        </w:rPr>
        <w:t> </w:t>
      </w:r>
    </w:p>
    <w:p w14:paraId="1126676E" w14:textId="77777777" w:rsidR="00531418" w:rsidRDefault="00531418" w:rsidP="00EC1DEC">
      <w:pPr>
        <w:shd w:val="clear" w:color="auto" w:fill="FFFFFF"/>
        <w:textAlignment w:val="baseline"/>
      </w:pPr>
    </w:p>
    <w:p w14:paraId="388581A0" w14:textId="5489D6A6" w:rsidR="00873649" w:rsidRDefault="00873649" w:rsidP="003420B4">
      <w:pPr>
        <w:textAlignment w:val="baseline"/>
        <w:rPr>
          <w:rFonts w:eastAsia="Times New Roman" w:cs="Calibri"/>
          <w:b/>
          <w:bCs/>
          <w:color w:val="000000"/>
        </w:rPr>
      </w:pPr>
      <w:r w:rsidRPr="0CEE62F0">
        <w:rPr>
          <w:rFonts w:eastAsia="Times New Roman" w:cs="Calibri"/>
          <w:b/>
          <w:color w:val="000000" w:themeColor="text1"/>
        </w:rPr>
        <w:t xml:space="preserve">Planned Refinements in </w:t>
      </w:r>
      <w:r w:rsidR="005B3FA5" w:rsidRPr="00ED5C95">
        <w:rPr>
          <w:rFonts w:eastAsia="Times New Roman" w:cs="Calibri"/>
          <w:b/>
          <w:i/>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1ACAE64C" w14:textId="56761167" w:rsidR="00531418" w:rsidRDefault="00531418" w:rsidP="00531418">
      <w:pPr>
        <w:shd w:val="clear" w:color="auto" w:fill="FFFFFF"/>
        <w:textAlignment w:val="baseline"/>
      </w:pPr>
      <w:r>
        <w:rPr>
          <w:color w:val="000000"/>
        </w:rPr>
        <w:t>In addition to continuing currently funded programs,</w:t>
      </w:r>
      <w:r w:rsidR="006A4903">
        <w:rPr>
          <w:color w:val="000000"/>
        </w:rPr>
        <w:t xml:space="preserve"> in 2022-2027</w:t>
      </w:r>
      <w:r>
        <w:rPr>
          <w:color w:val="000000"/>
        </w:rPr>
        <w:t> </w:t>
      </w:r>
      <w:r>
        <w:rPr>
          <w:i/>
          <w:iCs/>
          <w:color w:val="000000"/>
        </w:rPr>
        <w:t>Best Starts </w:t>
      </w:r>
      <w:r>
        <w:rPr>
          <w:color w:val="000000"/>
        </w:rPr>
        <w:t>will expand the investment to:  </w:t>
      </w:r>
    </w:p>
    <w:p w14:paraId="0660C519" w14:textId="0A8670A4" w:rsidR="002549CB" w:rsidRPr="002F6893" w:rsidRDefault="00FA5A77" w:rsidP="003420B4">
      <w:pPr>
        <w:pStyle w:val="ListParagraph"/>
        <w:numPr>
          <w:ilvl w:val="0"/>
          <w:numId w:val="23"/>
        </w:numPr>
        <w:shd w:val="clear" w:color="auto" w:fill="FFFFFF"/>
        <w:textAlignment w:val="baseline"/>
        <w:rPr>
          <w:rFonts w:eastAsia="Times New Roman" w:cs="Calibri"/>
        </w:rPr>
      </w:pPr>
      <w:r w:rsidRPr="002F6893">
        <w:rPr>
          <w:rFonts w:eastAsia="Times New Roman" w:cs="Calibri"/>
        </w:rPr>
        <w:t>Creat</w:t>
      </w:r>
      <w:r w:rsidR="00962EBF">
        <w:rPr>
          <w:rFonts w:eastAsia="Times New Roman" w:cs="Calibri"/>
        </w:rPr>
        <w:t>e</w:t>
      </w:r>
      <w:r w:rsidRPr="002F6893">
        <w:rPr>
          <w:rFonts w:eastAsia="Times New Roman" w:cs="Calibri"/>
        </w:rPr>
        <w:t xml:space="preserve"> up to f</w:t>
      </w:r>
      <w:r w:rsidR="002549CB" w:rsidRPr="002549CB">
        <w:rPr>
          <w:rFonts w:eastAsia="Times New Roman" w:cs="Calibri"/>
        </w:rPr>
        <w:t>our new SBHCs, including capital investments and vision/dental services.  </w:t>
      </w:r>
    </w:p>
    <w:p w14:paraId="514688A8" w14:textId="5E139927" w:rsidR="007F641D" w:rsidRPr="002549CB" w:rsidRDefault="007F641D" w:rsidP="003420B4">
      <w:pPr>
        <w:numPr>
          <w:ilvl w:val="0"/>
          <w:numId w:val="23"/>
        </w:numPr>
        <w:shd w:val="clear" w:color="auto" w:fill="FFFFFF" w:themeFill="background1"/>
        <w:textAlignment w:val="baseline"/>
        <w:rPr>
          <w:rFonts w:eastAsia="Times New Roman" w:cs="Calibri"/>
        </w:rPr>
      </w:pPr>
      <w:r w:rsidRPr="002F6893">
        <w:rPr>
          <w:rFonts w:eastAsia="Times New Roman" w:cs="Calibri"/>
        </w:rPr>
        <w:t xml:space="preserve">Implement comprehensive data </w:t>
      </w:r>
      <w:r w:rsidRPr="002549CB">
        <w:rPr>
          <w:rFonts w:eastAsia="Times New Roman" w:cs="Calibri"/>
        </w:rPr>
        <w:t>management tools and evaluation of student and program outcomes</w:t>
      </w:r>
      <w:r w:rsidR="064037AB" w:rsidRPr="67C84316">
        <w:rPr>
          <w:rFonts w:eastAsia="Times New Roman" w:cs="Calibri"/>
        </w:rPr>
        <w:t xml:space="preserve"> to determine where SBHC can improve</w:t>
      </w:r>
      <w:r w:rsidR="00D24B48">
        <w:rPr>
          <w:rFonts w:eastAsia="Times New Roman" w:cs="Calibri"/>
        </w:rPr>
        <w:t>.</w:t>
      </w:r>
      <w:r w:rsidRPr="3891EE27">
        <w:rPr>
          <w:rFonts w:eastAsia="Times New Roman" w:cs="Calibri"/>
        </w:rPr>
        <w:t> </w:t>
      </w:r>
      <w:r w:rsidRPr="002549CB">
        <w:rPr>
          <w:rFonts w:eastAsia="Times New Roman" w:cs="Calibri"/>
        </w:rPr>
        <w:t> </w:t>
      </w:r>
    </w:p>
    <w:p w14:paraId="4EC9BE40" w14:textId="051EE630" w:rsidR="002549CB" w:rsidRPr="002549CB" w:rsidRDefault="3186EBD7" w:rsidP="003420B4">
      <w:pPr>
        <w:numPr>
          <w:ilvl w:val="0"/>
          <w:numId w:val="23"/>
        </w:numPr>
        <w:shd w:val="clear" w:color="auto" w:fill="FFFFFF" w:themeFill="background1"/>
        <w:textAlignment w:val="baseline"/>
        <w:rPr>
          <w:rFonts w:eastAsia="Times New Roman" w:cs="Calibri"/>
        </w:rPr>
      </w:pPr>
      <w:r w:rsidRPr="2864FCE3">
        <w:rPr>
          <w:rFonts w:eastAsia="Times New Roman" w:cs="Calibri"/>
        </w:rPr>
        <w:t>Increase</w:t>
      </w:r>
      <w:r w:rsidR="002549CB" w:rsidRPr="002549CB">
        <w:rPr>
          <w:rFonts w:eastAsia="Times New Roman" w:cs="Calibri"/>
        </w:rPr>
        <w:t> funding for training</w:t>
      </w:r>
      <w:r w:rsidR="4AA0D18B" w:rsidRPr="7937944D">
        <w:rPr>
          <w:rFonts w:eastAsia="Times New Roman" w:cs="Calibri"/>
        </w:rPr>
        <w:t xml:space="preserve"> school-based</w:t>
      </w:r>
      <w:r w:rsidR="00751483" w:rsidRPr="6E8615F3">
        <w:rPr>
          <w:rFonts w:eastAsia="Times New Roman" w:cs="Calibri"/>
        </w:rPr>
        <w:t xml:space="preserve"> </w:t>
      </w:r>
      <w:r w:rsidR="002549CB" w:rsidRPr="002549CB">
        <w:rPr>
          <w:rFonts w:eastAsia="Times New Roman" w:cs="Calibri"/>
        </w:rPr>
        <w:t xml:space="preserve">health care </w:t>
      </w:r>
      <w:r w:rsidR="6E239184" w:rsidRPr="6E8615F3">
        <w:rPr>
          <w:rFonts w:eastAsia="Times New Roman" w:cs="Calibri"/>
        </w:rPr>
        <w:t xml:space="preserve">providers on subjects such as understanding racial trauma </w:t>
      </w:r>
      <w:r w:rsidR="004A7646">
        <w:rPr>
          <w:rFonts w:eastAsia="Times New Roman" w:cs="Calibri"/>
        </w:rPr>
        <w:t xml:space="preserve">to make SBHC more </w:t>
      </w:r>
      <w:r w:rsidR="00F53CBC">
        <w:rPr>
          <w:rFonts w:eastAsia="Times New Roman" w:cs="Calibri"/>
        </w:rPr>
        <w:t>welcoming</w:t>
      </w:r>
      <w:r w:rsidR="004F0E21">
        <w:rPr>
          <w:rFonts w:eastAsia="Times New Roman" w:cs="Calibri"/>
        </w:rPr>
        <w:t xml:space="preserve"> and accessible for BIPOC students</w:t>
      </w:r>
      <w:r w:rsidR="00F53CBC">
        <w:rPr>
          <w:rFonts w:eastAsia="Times New Roman" w:cs="Calibri"/>
        </w:rPr>
        <w:t>.</w:t>
      </w:r>
      <w:r w:rsidR="004F0E21">
        <w:rPr>
          <w:rFonts w:eastAsia="Times New Roman" w:cs="Calibri"/>
        </w:rPr>
        <w:t xml:space="preserve"> </w:t>
      </w:r>
    </w:p>
    <w:p w14:paraId="2C94839B" w14:textId="69A2B2EB" w:rsidR="002549CB" w:rsidRPr="002549CB" w:rsidRDefault="002549CB" w:rsidP="003420B4">
      <w:pPr>
        <w:numPr>
          <w:ilvl w:val="0"/>
          <w:numId w:val="23"/>
        </w:numPr>
        <w:textAlignment w:val="baseline"/>
        <w:rPr>
          <w:rFonts w:eastAsia="Times New Roman" w:cs="Calibri"/>
        </w:rPr>
      </w:pPr>
      <w:r w:rsidRPr="002549CB">
        <w:rPr>
          <w:rFonts w:eastAsia="Times New Roman" w:cs="Calibri"/>
        </w:rPr>
        <w:t>Increas</w:t>
      </w:r>
      <w:r w:rsidR="00962EBF">
        <w:rPr>
          <w:rFonts w:eastAsia="Times New Roman" w:cs="Calibri"/>
        </w:rPr>
        <w:t>e</w:t>
      </w:r>
      <w:r w:rsidRPr="002549CB">
        <w:rPr>
          <w:rFonts w:eastAsia="Times New Roman" w:cs="Calibri"/>
        </w:rPr>
        <w:t xml:space="preserve"> equit</w:t>
      </w:r>
      <w:r w:rsidR="00592CEE">
        <w:rPr>
          <w:rFonts w:eastAsia="Times New Roman" w:cs="Calibri"/>
        </w:rPr>
        <w:t>able</w:t>
      </w:r>
      <w:r w:rsidRPr="002549CB">
        <w:rPr>
          <w:rFonts w:eastAsia="Times New Roman" w:cs="Calibri"/>
        </w:rPr>
        <w:t xml:space="preserve"> access </w:t>
      </w:r>
      <w:r w:rsidR="00592CEE">
        <w:rPr>
          <w:rFonts w:eastAsia="Times New Roman" w:cs="Calibri"/>
        </w:rPr>
        <w:t>to</w:t>
      </w:r>
      <w:r w:rsidR="00592CEE" w:rsidRPr="002549CB">
        <w:rPr>
          <w:rFonts w:eastAsia="Times New Roman" w:cs="Calibri"/>
        </w:rPr>
        <w:t> </w:t>
      </w:r>
      <w:r w:rsidRPr="002549CB">
        <w:rPr>
          <w:rFonts w:eastAsia="Times New Roman" w:cs="Calibri"/>
        </w:rPr>
        <w:t>SBHC services</w:t>
      </w:r>
      <w:r w:rsidR="7A748E0C" w:rsidRPr="002549CB">
        <w:rPr>
          <w:rFonts w:eastAsia="Times New Roman" w:cs="Calibri"/>
        </w:rPr>
        <w:t xml:space="preserve"> </w:t>
      </w:r>
      <w:r w:rsidRPr="002549CB">
        <w:rPr>
          <w:rFonts w:eastAsia="Times New Roman" w:cs="Calibri"/>
        </w:rPr>
        <w:t>through </w:t>
      </w:r>
      <w:r w:rsidR="00A16008" w:rsidRPr="002F6893">
        <w:rPr>
          <w:rFonts w:eastAsia="Times New Roman" w:cs="Calibri"/>
        </w:rPr>
        <w:t>increased behavioral health options, including substance use prevention and treatment, and connecting youth to effective community-based services.</w:t>
      </w:r>
      <w:r w:rsidR="002F6893">
        <w:rPr>
          <w:rStyle w:val="FootnoteReference"/>
          <w:rFonts w:eastAsia="Times New Roman" w:cs="Calibri"/>
        </w:rPr>
        <w:footnoteReference w:id="178"/>
      </w:r>
    </w:p>
    <w:p w14:paraId="4CFC1956" w14:textId="252271E7" w:rsidR="00531418" w:rsidRDefault="00531418" w:rsidP="003420B4">
      <w:pPr>
        <w:numPr>
          <w:ilvl w:val="0"/>
          <w:numId w:val="24"/>
        </w:numPr>
        <w:shd w:val="clear" w:color="auto" w:fill="FFFFFF" w:themeFill="background1"/>
        <w:textAlignment w:val="baseline"/>
      </w:pPr>
      <w:r w:rsidRPr="009109E4">
        <w:t xml:space="preserve">Strengthen SBHC </w:t>
      </w:r>
      <w:r w:rsidR="3F329EBD">
        <w:t>systems</w:t>
      </w:r>
      <w:r w:rsidRPr="009109E4">
        <w:t xml:space="preserve"> </w:t>
      </w:r>
      <w:r w:rsidR="3F329EBD">
        <w:t>and service delivery</w:t>
      </w:r>
      <w:r w:rsidR="7E97CFDB" w:rsidRPr="009109E4">
        <w:t xml:space="preserve"> </w:t>
      </w:r>
      <w:r w:rsidR="7E97CFDB" w:rsidRPr="6E8615F3">
        <w:t xml:space="preserve">by </w:t>
      </w:r>
      <w:r w:rsidR="7AA14C70">
        <w:t>intentionall</w:t>
      </w:r>
      <w:r>
        <w:t>y</w:t>
      </w:r>
      <w:r w:rsidRPr="009109E4">
        <w:t xml:space="preserve"> leading with anti-</w:t>
      </w:r>
      <w:r w:rsidR="00347387" w:rsidRPr="00B74A6E">
        <w:t>ra</w:t>
      </w:r>
      <w:r w:rsidR="00347387">
        <w:t>c</w:t>
      </w:r>
      <w:r w:rsidR="00347387" w:rsidRPr="00B74A6E">
        <w:t>i</w:t>
      </w:r>
      <w:r w:rsidR="00347387">
        <w:t>sm</w:t>
      </w:r>
      <w:r>
        <w:t xml:space="preserve"> </w:t>
      </w:r>
      <w:r w:rsidRPr="009109E4">
        <w:t>and</w:t>
      </w:r>
      <w:r>
        <w:t xml:space="preserve"> </w:t>
      </w:r>
      <w:r w:rsidR="007628F7">
        <w:t>creating</w:t>
      </w:r>
      <w:r w:rsidRPr="00714E9B">
        <w:t xml:space="preserve"> </w:t>
      </w:r>
      <w:r w:rsidR="007628F7">
        <w:t xml:space="preserve">culturally competent medical practices </w:t>
      </w:r>
      <w:r w:rsidRPr="009109E4">
        <w:t>using trauma-informed, person-centered care</w:t>
      </w:r>
      <w:r w:rsidR="007628F7">
        <w:t xml:space="preserve"> </w:t>
      </w:r>
      <w:r w:rsidR="00986EA4" w:rsidRPr="009109E4">
        <w:t>to</w:t>
      </w:r>
      <w:r w:rsidR="42478E68" w:rsidRPr="009109E4">
        <w:t xml:space="preserve"> increase the use of these services by youth of color</w:t>
      </w:r>
      <w:r w:rsidRPr="009109E4">
        <w:t>. </w:t>
      </w:r>
    </w:p>
    <w:p w14:paraId="235A1834" w14:textId="77777777" w:rsidR="00DD4D44" w:rsidRPr="007A071B" w:rsidRDefault="00DD4D44" w:rsidP="00DD4D44">
      <w:pPr>
        <w:shd w:val="clear" w:color="auto" w:fill="FFFFFF"/>
        <w:textAlignment w:val="baseline"/>
      </w:pPr>
    </w:p>
    <w:p w14:paraId="52586261" w14:textId="3129B503" w:rsidR="00DD4D44" w:rsidRDefault="00DD4D44" w:rsidP="00DD4D44">
      <w:pPr>
        <w:shd w:val="clear" w:color="auto" w:fill="FFFFFF"/>
        <w:textAlignment w:val="baseline"/>
      </w:pPr>
      <w:r>
        <w:rPr>
          <w:b/>
          <w:bCs/>
          <w:color w:val="000000"/>
        </w:rPr>
        <w:t>Rationale</w:t>
      </w:r>
      <w:r w:rsidR="00286947">
        <w:rPr>
          <w:b/>
          <w:bCs/>
          <w:color w:val="000000"/>
        </w:rPr>
        <w:t xml:space="preserve"> for Increased Investment</w:t>
      </w:r>
      <w:r w:rsidR="00531418">
        <w:rPr>
          <w:b/>
          <w:bCs/>
          <w:color w:val="000000"/>
        </w:rPr>
        <w:t xml:space="preserve"> </w:t>
      </w:r>
      <w:r w:rsidR="0056137D">
        <w:rPr>
          <w:b/>
          <w:bCs/>
          <w:color w:val="000000"/>
        </w:rPr>
        <w:t xml:space="preserve">and </w:t>
      </w:r>
      <w:r w:rsidR="00955B9F">
        <w:rPr>
          <w:b/>
          <w:bCs/>
          <w:color w:val="000000"/>
        </w:rPr>
        <w:t>Refinements</w:t>
      </w:r>
      <w:r>
        <w:rPr>
          <w:b/>
          <w:bCs/>
          <w:color w:val="000000"/>
        </w:rPr>
        <w:t>:</w:t>
      </w:r>
      <w:r>
        <w:rPr>
          <w:color w:val="000000"/>
        </w:rPr>
        <w:t> </w:t>
      </w:r>
    </w:p>
    <w:p w14:paraId="588143DB" w14:textId="30E74CC7" w:rsidR="00DD4D44" w:rsidRDefault="004A64E1" w:rsidP="431D9316">
      <w:pPr>
        <w:shd w:val="clear" w:color="auto" w:fill="FFFFFF" w:themeFill="background1"/>
        <w:textAlignment w:val="baseline"/>
      </w:pPr>
      <w:r w:rsidRPr="005F385E">
        <w:rPr>
          <w:i/>
          <w:color w:val="393939"/>
        </w:rPr>
        <w:t>Best Start</w:t>
      </w:r>
      <w:r w:rsidR="00D24B48">
        <w:rPr>
          <w:i/>
          <w:color w:val="393939"/>
        </w:rPr>
        <w:t>s</w:t>
      </w:r>
      <w:r>
        <w:rPr>
          <w:color w:val="393939"/>
        </w:rPr>
        <w:t xml:space="preserve"> will </w:t>
      </w:r>
      <w:r w:rsidR="005F385E">
        <w:rPr>
          <w:color w:val="393939"/>
        </w:rPr>
        <w:t>add up to four new SBHC</w:t>
      </w:r>
      <w:r w:rsidR="0088123E">
        <w:rPr>
          <w:color w:val="393939"/>
        </w:rPr>
        <w:t>s</w:t>
      </w:r>
      <w:r w:rsidR="005F385E">
        <w:rPr>
          <w:color w:val="393939"/>
        </w:rPr>
        <w:t xml:space="preserve">. </w:t>
      </w:r>
      <w:r>
        <w:rPr>
          <w:color w:val="393939"/>
        </w:rPr>
        <w:t xml:space="preserve"> </w:t>
      </w:r>
      <w:r w:rsidR="00DD4D44">
        <w:rPr>
          <w:color w:val="393939"/>
        </w:rPr>
        <w:t>Student health needs are persistent, specifically among black and brown students </w:t>
      </w:r>
      <w:r w:rsidR="00DD4D44" w:rsidRPr="002A62BE">
        <w:t>who experience greater disparities in accessing high quality healthcare.</w:t>
      </w:r>
      <w:r w:rsidR="00DD4D44" w:rsidRPr="431D9316">
        <w:rPr>
          <w:color w:val="393939"/>
        </w:rPr>
        <w:t> </w:t>
      </w:r>
      <w:r w:rsidR="00DD4D44">
        <w:rPr>
          <w:color w:val="393939"/>
        </w:rPr>
        <w:t xml:space="preserve">The </w:t>
      </w:r>
      <w:r w:rsidR="00DD4D44" w:rsidRPr="002A62BE">
        <w:t xml:space="preserve">added negative impacts of the pandemic and systemic racism further </w:t>
      </w:r>
      <w:r w:rsidR="00DD4D44">
        <w:t>exacerbate</w:t>
      </w:r>
      <w:r w:rsidR="00DD4D44" w:rsidRPr="002A62BE">
        <w:t xml:space="preserve"> the need to continue to provide </w:t>
      </w:r>
      <w:r w:rsidR="000B056E">
        <w:t>medical</w:t>
      </w:r>
      <w:r w:rsidR="00DD4D44" w:rsidRPr="002A62BE">
        <w:t>, behavioral</w:t>
      </w:r>
      <w:r w:rsidR="00AD1E93">
        <w:t>,</w:t>
      </w:r>
      <w:r w:rsidR="00DD4D44" w:rsidRPr="002A62BE">
        <w:t xml:space="preserve"> and mental health services that </w:t>
      </w:r>
      <w:r w:rsidR="00E05EAF">
        <w:t>help</w:t>
      </w:r>
      <w:r w:rsidR="00DD4D44" w:rsidRPr="002A62BE">
        <w:t xml:space="preserve"> students in their academic success </w:t>
      </w:r>
      <w:r w:rsidR="00DD4D44" w:rsidRPr="002A62BE">
        <w:lastRenderedPageBreak/>
        <w:t>and overall well-being.</w:t>
      </w:r>
      <w:r w:rsidR="00801DC6">
        <w:rPr>
          <w:rStyle w:val="FootnoteReference"/>
        </w:rPr>
        <w:footnoteReference w:id="179"/>
      </w:r>
      <w:r w:rsidR="001177D7">
        <w:rPr>
          <w:vertAlign w:val="superscript"/>
        </w:rPr>
        <w:t>,</w:t>
      </w:r>
      <w:r w:rsidR="001177D7">
        <w:rPr>
          <w:rStyle w:val="FootnoteReference"/>
        </w:rPr>
        <w:footnoteReference w:id="180"/>
      </w:r>
      <w:r w:rsidR="00DD4D44" w:rsidRPr="002A62BE">
        <w:t> School based health centers work with school and community partners to identify youth with behavioral health needs, reduce their disproportionate referral to the juvenile justice system, and increase their connection to appropriate </w:t>
      </w:r>
      <w:r w:rsidR="00286947">
        <w:t>services</w:t>
      </w:r>
      <w:r w:rsidR="00286947" w:rsidDel="00791013">
        <w:t>.</w:t>
      </w:r>
    </w:p>
    <w:p w14:paraId="0C8C2F62" w14:textId="3E3778A8" w:rsidR="00DD4D44" w:rsidRPr="00EB0C71" w:rsidRDefault="00DD4D44" w:rsidP="272C5634">
      <w:pPr>
        <w:shd w:val="clear" w:color="auto" w:fill="FFFFFF" w:themeFill="background1"/>
        <w:textAlignment w:val="baseline"/>
      </w:pPr>
      <w:r w:rsidRPr="215D02C2">
        <w:rPr>
          <w:b/>
          <w:bCs/>
          <w:color w:val="000000" w:themeColor="text1"/>
        </w:rPr>
        <w:t> </w:t>
      </w:r>
    </w:p>
    <w:p w14:paraId="74E0F410" w14:textId="2FDC6573" w:rsidR="272C5634" w:rsidRPr="000D2A70" w:rsidRDefault="2F40CC2F" w:rsidP="215D02C2">
      <w:pPr>
        <w:rPr>
          <w:rFonts w:eastAsia="Calibri" w:cs="Calibri"/>
          <w:color w:val="000000" w:themeColor="text1"/>
        </w:rPr>
      </w:pPr>
      <w:r w:rsidRPr="215D02C2">
        <w:rPr>
          <w:rFonts w:eastAsia="Calibri" w:cs="Calibri"/>
          <w:b/>
          <w:bCs/>
          <w:color w:val="000000" w:themeColor="text1"/>
        </w:rPr>
        <w:t xml:space="preserve">Approximate </w:t>
      </w:r>
      <w:r w:rsidR="00F95BB6" w:rsidRPr="431D9316">
        <w:rPr>
          <w:rFonts w:eastAsia="Calibri" w:cs="Calibri"/>
          <w:b/>
          <w:bCs/>
          <w:color w:val="000000" w:themeColor="text1"/>
        </w:rPr>
        <w:t>Scope</w:t>
      </w:r>
      <w:r w:rsidRPr="215D02C2">
        <w:rPr>
          <w:rFonts w:eastAsia="Calibri" w:cs="Calibri"/>
          <w:b/>
          <w:bCs/>
          <w:color w:val="000000" w:themeColor="text1"/>
        </w:rPr>
        <w:t>:</w:t>
      </w:r>
      <w:r w:rsidR="00FC7705">
        <w:rPr>
          <w:rFonts w:eastAsia="Calibri" w:cs="Calibri"/>
          <w:b/>
          <w:bCs/>
          <w:color w:val="000000" w:themeColor="text1"/>
        </w:rPr>
        <w:t xml:space="preserve">  </w:t>
      </w:r>
      <w:r w:rsidR="00B91113" w:rsidRPr="00B91113">
        <w:rPr>
          <w:rFonts w:eastAsia="Calibri" w:cs="Calibri"/>
          <w:iCs/>
          <w:color w:val="000000" w:themeColor="text1"/>
        </w:rPr>
        <w:t>School</w:t>
      </w:r>
      <w:r w:rsidR="009F275E">
        <w:rPr>
          <w:rFonts w:eastAsia="Calibri" w:cs="Calibri"/>
          <w:iCs/>
          <w:color w:val="000000" w:themeColor="text1"/>
        </w:rPr>
        <w:t>-</w:t>
      </w:r>
      <w:r w:rsidR="65B3083E" w:rsidRPr="0658A91E">
        <w:rPr>
          <w:rFonts w:eastAsia="Calibri" w:cs="Calibri"/>
          <w:color w:val="000000" w:themeColor="text1"/>
        </w:rPr>
        <w:t>b</w:t>
      </w:r>
      <w:r w:rsidR="4F1423FA" w:rsidRPr="0658A91E">
        <w:rPr>
          <w:rFonts w:eastAsia="Calibri" w:cs="Calibri"/>
          <w:color w:val="000000" w:themeColor="text1"/>
        </w:rPr>
        <w:t xml:space="preserve">ased </w:t>
      </w:r>
      <w:r w:rsidR="65B3083E" w:rsidRPr="0658A91E">
        <w:rPr>
          <w:rFonts w:eastAsia="Calibri" w:cs="Calibri"/>
          <w:color w:val="000000" w:themeColor="text1"/>
        </w:rPr>
        <w:t>h</w:t>
      </w:r>
      <w:r w:rsidR="4F1423FA" w:rsidRPr="0658A91E">
        <w:rPr>
          <w:rFonts w:eastAsia="Calibri" w:cs="Calibri"/>
          <w:color w:val="000000" w:themeColor="text1"/>
        </w:rPr>
        <w:t xml:space="preserve">ealth </w:t>
      </w:r>
      <w:r w:rsidR="65B3083E" w:rsidRPr="0658A91E">
        <w:rPr>
          <w:rFonts w:eastAsia="Calibri" w:cs="Calibri"/>
          <w:color w:val="000000" w:themeColor="text1"/>
        </w:rPr>
        <w:t>c</w:t>
      </w:r>
      <w:r w:rsidR="4F1423FA" w:rsidRPr="0658A91E">
        <w:rPr>
          <w:rFonts w:eastAsia="Calibri" w:cs="Calibri"/>
          <w:color w:val="000000" w:themeColor="text1"/>
        </w:rPr>
        <w:t>enters</w:t>
      </w:r>
      <w:r w:rsidR="77842491" w:rsidRPr="0658A91E">
        <w:rPr>
          <w:rFonts w:eastAsia="Calibri" w:cs="Calibri"/>
          <w:color w:val="000000" w:themeColor="text1"/>
        </w:rPr>
        <w:t xml:space="preserve"> </w:t>
      </w:r>
      <w:r w:rsidR="00FC7705" w:rsidRPr="006722AF">
        <w:rPr>
          <w:rFonts w:eastAsia="Calibri" w:cs="Calibri"/>
          <w:color w:val="000000" w:themeColor="text1"/>
        </w:rPr>
        <w:t>in</w:t>
      </w:r>
      <w:r w:rsidR="00CB4F93" w:rsidRPr="006722AF">
        <w:rPr>
          <w:rFonts w:eastAsia="Calibri" w:cs="Calibri"/>
          <w:color w:val="000000" w:themeColor="text1"/>
        </w:rPr>
        <w:t xml:space="preserve">tend to serve approximately </w:t>
      </w:r>
      <w:r w:rsidR="00D33E8D" w:rsidRPr="006722AF">
        <w:rPr>
          <w:rFonts w:eastAsia="Calibri" w:cs="Calibri"/>
          <w:color w:val="000000" w:themeColor="text1"/>
        </w:rPr>
        <w:t xml:space="preserve">300 students per </w:t>
      </w:r>
      <w:r w:rsidR="0EE0CF1E" w:rsidRPr="0658A91E">
        <w:rPr>
          <w:rFonts w:eastAsia="Calibri" w:cs="Calibri"/>
          <w:color w:val="000000" w:themeColor="text1"/>
        </w:rPr>
        <w:t>s</w:t>
      </w:r>
      <w:r w:rsidR="5D6410A0" w:rsidRPr="0658A91E">
        <w:rPr>
          <w:rFonts w:eastAsia="Calibri" w:cs="Calibri"/>
          <w:color w:val="000000" w:themeColor="text1"/>
        </w:rPr>
        <w:t>chool</w:t>
      </w:r>
      <w:r w:rsidR="0EE0CF1E" w:rsidRPr="0658A91E">
        <w:rPr>
          <w:rFonts w:eastAsia="Calibri" w:cs="Calibri"/>
          <w:color w:val="000000" w:themeColor="text1"/>
        </w:rPr>
        <w:t>-b</w:t>
      </w:r>
      <w:r w:rsidR="5D6410A0" w:rsidRPr="0658A91E">
        <w:rPr>
          <w:rFonts w:eastAsia="Calibri" w:cs="Calibri"/>
          <w:color w:val="000000" w:themeColor="text1"/>
        </w:rPr>
        <w:t xml:space="preserve">ased </w:t>
      </w:r>
      <w:r w:rsidR="0EE0CF1E" w:rsidRPr="0658A91E">
        <w:rPr>
          <w:rFonts w:eastAsia="Calibri" w:cs="Calibri"/>
          <w:color w:val="000000" w:themeColor="text1"/>
        </w:rPr>
        <w:t>h</w:t>
      </w:r>
      <w:r w:rsidR="5D6410A0" w:rsidRPr="0658A91E">
        <w:rPr>
          <w:rFonts w:eastAsia="Calibri" w:cs="Calibri"/>
          <w:color w:val="000000" w:themeColor="text1"/>
        </w:rPr>
        <w:t xml:space="preserve">ealth </w:t>
      </w:r>
      <w:r w:rsidR="0EE0CF1E" w:rsidRPr="0658A91E">
        <w:rPr>
          <w:rFonts w:eastAsia="Calibri" w:cs="Calibri"/>
          <w:color w:val="000000" w:themeColor="text1"/>
        </w:rPr>
        <w:t>c</w:t>
      </w:r>
      <w:r w:rsidR="000D2A70" w:rsidRPr="0658A91E">
        <w:rPr>
          <w:rFonts w:eastAsia="Calibri" w:cs="Calibri"/>
          <w:color w:val="000000" w:themeColor="text1"/>
        </w:rPr>
        <w:t>enter</w:t>
      </w:r>
      <w:r w:rsidR="005532CD">
        <w:rPr>
          <w:rFonts w:eastAsia="Calibri" w:cs="Calibri"/>
          <w:color w:val="000000" w:themeColor="text1"/>
        </w:rPr>
        <w:t xml:space="preserve">, for </w:t>
      </w:r>
      <w:r w:rsidR="0004572D">
        <w:rPr>
          <w:rFonts w:eastAsia="Calibri" w:cs="Calibri"/>
          <w:color w:val="000000" w:themeColor="text1"/>
        </w:rPr>
        <w:t xml:space="preserve">a total of up to </w:t>
      </w:r>
      <w:r w:rsidR="43825B91" w:rsidRPr="6FD47560">
        <w:rPr>
          <w:rFonts w:eastAsia="Calibri" w:cs="Calibri"/>
          <w:color w:val="000000" w:themeColor="text1"/>
        </w:rPr>
        <w:t>1,800</w:t>
      </w:r>
      <w:r w:rsidR="0004572D">
        <w:rPr>
          <w:rFonts w:eastAsia="Calibri" w:cs="Calibri"/>
          <w:color w:val="000000" w:themeColor="text1"/>
        </w:rPr>
        <w:t xml:space="preserve"> students once added centers are operational</w:t>
      </w:r>
      <w:r w:rsidR="000D2A70">
        <w:rPr>
          <w:rFonts w:eastAsia="Calibri" w:cs="Calibri"/>
          <w:color w:val="000000" w:themeColor="text1"/>
        </w:rPr>
        <w:t xml:space="preserve">. </w:t>
      </w:r>
    </w:p>
    <w:p w14:paraId="76F30D32" w14:textId="3E3778A8" w:rsidR="272C5634" w:rsidRDefault="272C5634" w:rsidP="272C5634">
      <w:pPr>
        <w:shd w:val="clear" w:color="auto" w:fill="FFFFFF" w:themeFill="background1"/>
        <w:rPr>
          <w:rFonts w:eastAsia="Calibri" w:cs="Arial"/>
          <w:b/>
          <w:bCs/>
          <w:color w:val="000000" w:themeColor="text1"/>
        </w:rPr>
      </w:pPr>
    </w:p>
    <w:p w14:paraId="484381F3" w14:textId="77777777" w:rsidR="006073C1" w:rsidRDefault="003F0549" w:rsidP="003420B4">
      <w:pPr>
        <w:pStyle w:val="paragraph"/>
        <w:shd w:val="clear" w:color="auto" w:fill="FFFFFF"/>
        <w:spacing w:beforeAutospacing="0" w:after="0" w:afterAutospacing="0"/>
        <w:textAlignment w:val="baseline"/>
        <w:rPr>
          <w:rFonts w:eastAsia="Calibri" w:cs="Arial"/>
          <w:b/>
          <w:bCs/>
          <w:color w:val="000000" w:themeColor="text1"/>
        </w:rPr>
      </w:pPr>
      <w:r>
        <w:rPr>
          <w:rFonts w:eastAsia="Calibri" w:cs="Arial"/>
          <w:b/>
          <w:bCs/>
          <w:color w:val="000000" w:themeColor="text1"/>
        </w:rPr>
        <w:t xml:space="preserve">Anticipated Timeline: </w:t>
      </w:r>
    </w:p>
    <w:p w14:paraId="0F4DD958" w14:textId="7FA33000" w:rsidR="003F0549" w:rsidRPr="003F0549" w:rsidRDefault="003F0549" w:rsidP="003420B4">
      <w:pPr>
        <w:pStyle w:val="paragraph"/>
        <w:numPr>
          <w:ilvl w:val="0"/>
          <w:numId w:val="51"/>
        </w:numPr>
        <w:shd w:val="clear" w:color="auto" w:fill="FFFFFF" w:themeFill="background1"/>
        <w:spacing w:beforeAutospacing="0" w:after="0" w:afterAutospacing="0"/>
        <w:textAlignment w:val="baseline"/>
        <w:rPr>
          <w:rFonts w:cs="Calibri"/>
          <w:szCs w:val="22"/>
        </w:rPr>
      </w:pPr>
      <w:r w:rsidRPr="0658A91E">
        <w:rPr>
          <w:rFonts w:cs="Calibri"/>
          <w:color w:val="000000" w:themeColor="text1"/>
        </w:rPr>
        <w:t xml:space="preserve">Continue funding for the </w:t>
      </w:r>
      <w:r w:rsidR="007C7996" w:rsidRPr="0658A91E">
        <w:rPr>
          <w:rFonts w:cs="Calibri"/>
          <w:color w:val="000000" w:themeColor="text1"/>
        </w:rPr>
        <w:t>three</w:t>
      </w:r>
      <w:r w:rsidRPr="0658A91E">
        <w:rPr>
          <w:rFonts w:cs="Calibri"/>
          <w:color w:val="000000" w:themeColor="text1"/>
        </w:rPr>
        <w:t xml:space="preserve"> </w:t>
      </w:r>
      <w:r w:rsidRPr="431D9316">
        <w:rPr>
          <w:rFonts w:cs="Calibri"/>
        </w:rPr>
        <w:t>existing </w:t>
      </w:r>
      <w:r w:rsidR="00434208" w:rsidRPr="0658A91E">
        <w:rPr>
          <w:rFonts w:cs="Calibri"/>
        </w:rPr>
        <w:t>SBHC</w:t>
      </w:r>
      <w:r w:rsidR="00434208">
        <w:rPr>
          <w:rFonts w:cs="Calibri"/>
          <w:szCs w:val="22"/>
        </w:rPr>
        <w:t xml:space="preserve"> </w:t>
      </w:r>
      <w:r w:rsidRPr="431D9316">
        <w:rPr>
          <w:rFonts w:cs="Calibri"/>
        </w:rPr>
        <w:t xml:space="preserve">operations </w:t>
      </w:r>
      <w:r w:rsidRPr="0658A91E">
        <w:rPr>
          <w:rFonts w:cs="Calibri"/>
          <w:color w:val="000000" w:themeColor="text1"/>
        </w:rPr>
        <w:t>grants through August 2022 without disruption.  </w:t>
      </w:r>
    </w:p>
    <w:p w14:paraId="3897C901" w14:textId="05A21FC6"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Contingent upon successful implementation, continue </w:t>
      </w:r>
      <w:r w:rsidR="0004572D" w:rsidRPr="431D9316">
        <w:rPr>
          <w:rFonts w:eastAsia="Times New Roman" w:cs="Calibri"/>
          <w:color w:val="000000" w:themeColor="text1"/>
        </w:rPr>
        <w:t>three</w:t>
      </w:r>
      <w:r w:rsidRPr="431D9316">
        <w:rPr>
          <w:rFonts w:eastAsia="Times New Roman" w:cs="Calibri"/>
          <w:color w:val="000000" w:themeColor="text1"/>
        </w:rPr>
        <w:t>-year contracts for existing operations, beginning in September 2022.  </w:t>
      </w:r>
    </w:p>
    <w:p w14:paraId="32070282" w14:textId="7EA94248"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Continue funding existing grants to Seattle Children’s and UW SMART Center for consultation, professional development, and program evaluation supports.  </w:t>
      </w:r>
    </w:p>
    <w:p w14:paraId="51F7F238" w14:textId="06B6C24B"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Release SBHC RFP for </w:t>
      </w:r>
      <w:r w:rsidR="009024F8" w:rsidRPr="431D9316">
        <w:rPr>
          <w:rFonts w:eastAsia="Times New Roman" w:cs="Calibri"/>
          <w:color w:val="000000" w:themeColor="text1"/>
        </w:rPr>
        <w:t xml:space="preserve">up to four </w:t>
      </w:r>
      <w:r w:rsidRPr="431D9316">
        <w:rPr>
          <w:rFonts w:eastAsia="Times New Roman" w:cs="Calibri"/>
          <w:color w:val="000000" w:themeColor="text1"/>
        </w:rPr>
        <w:t xml:space="preserve">new sites/grantees in </w:t>
      </w:r>
      <w:r w:rsidR="00E50DE9" w:rsidRPr="431D9316">
        <w:rPr>
          <w:rFonts w:eastAsia="Times New Roman" w:cs="Calibri"/>
          <w:color w:val="000000" w:themeColor="text1"/>
        </w:rPr>
        <w:t>Q</w:t>
      </w:r>
      <w:r w:rsidR="007A634D" w:rsidRPr="431D9316">
        <w:rPr>
          <w:rFonts w:eastAsia="Times New Roman" w:cs="Calibri"/>
          <w:color w:val="000000" w:themeColor="text1"/>
        </w:rPr>
        <w:t>2</w:t>
      </w:r>
      <w:r w:rsidRPr="431D9316">
        <w:rPr>
          <w:rFonts w:eastAsia="Times New Roman" w:cs="Calibri"/>
          <w:color w:val="000000" w:themeColor="text1"/>
        </w:rPr>
        <w:t xml:space="preserve"> 2022 with contracts starting in </w:t>
      </w:r>
      <w:r w:rsidR="00E50DE9" w:rsidRPr="431D9316">
        <w:rPr>
          <w:rFonts w:eastAsia="Times New Roman" w:cs="Calibri"/>
          <w:color w:val="000000" w:themeColor="text1"/>
        </w:rPr>
        <w:t>Q</w:t>
      </w:r>
      <w:r w:rsidR="007A634D" w:rsidRPr="431D9316">
        <w:rPr>
          <w:rFonts w:eastAsia="Times New Roman" w:cs="Calibri"/>
          <w:color w:val="000000" w:themeColor="text1"/>
        </w:rPr>
        <w:t>3</w:t>
      </w:r>
      <w:r w:rsidRPr="431D9316">
        <w:rPr>
          <w:rFonts w:eastAsia="Times New Roman" w:cs="Calibri"/>
          <w:color w:val="000000" w:themeColor="text1"/>
        </w:rPr>
        <w:t xml:space="preserve"> 2022. Capital and operations investments will be included at this time.  </w:t>
      </w:r>
    </w:p>
    <w:p w14:paraId="0F81AE52" w14:textId="39653F7C"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Continue current enhancement grants (to provide social emotional and other </w:t>
      </w:r>
      <w:r w:rsidR="006073C1" w:rsidRPr="431D9316">
        <w:rPr>
          <w:rFonts w:eastAsia="Times New Roman" w:cs="Calibri"/>
          <w:color w:val="000000" w:themeColor="text1"/>
        </w:rPr>
        <w:t>supports to</w:t>
      </w:r>
      <w:r w:rsidRPr="431D9316">
        <w:rPr>
          <w:rFonts w:eastAsia="Times New Roman" w:cs="Calibri"/>
          <w:color w:val="000000" w:themeColor="text1"/>
        </w:rPr>
        <w:t xml:space="preserve"> schools in Seattle with existing SBHCs) in good standing through </w:t>
      </w:r>
      <w:r w:rsidR="0004572D" w:rsidRPr="431D9316">
        <w:rPr>
          <w:rFonts w:eastAsia="Times New Roman" w:cs="Calibri"/>
          <w:color w:val="000000" w:themeColor="text1"/>
        </w:rPr>
        <w:t>Q</w:t>
      </w:r>
      <w:r w:rsidR="003A27AC" w:rsidRPr="431D9316">
        <w:rPr>
          <w:rFonts w:eastAsia="Times New Roman" w:cs="Calibri"/>
          <w:color w:val="000000" w:themeColor="text1"/>
        </w:rPr>
        <w:t>3</w:t>
      </w:r>
      <w:r w:rsidRPr="431D9316">
        <w:rPr>
          <w:rFonts w:eastAsia="Times New Roman" w:cs="Calibri"/>
          <w:color w:val="000000" w:themeColor="text1"/>
        </w:rPr>
        <w:t xml:space="preserve"> 2022 without disruption.   </w:t>
      </w:r>
    </w:p>
    <w:p w14:paraId="1FB3A9D1" w14:textId="5AABEC09" w:rsidR="007F4C7F" w:rsidRPr="007F4C7F"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Release Enhancement RFP </w:t>
      </w:r>
      <w:r w:rsidR="00A06763" w:rsidRPr="431D9316">
        <w:rPr>
          <w:rFonts w:eastAsia="Times New Roman" w:cs="Calibri"/>
          <w:color w:val="000000" w:themeColor="text1"/>
        </w:rPr>
        <w:t xml:space="preserve">by </w:t>
      </w:r>
      <w:r w:rsidR="00E50DE9" w:rsidRPr="431D9316">
        <w:rPr>
          <w:rFonts w:eastAsia="Times New Roman" w:cs="Calibri"/>
          <w:color w:val="000000" w:themeColor="text1"/>
        </w:rPr>
        <w:t>Q</w:t>
      </w:r>
      <w:r w:rsidR="007A634D" w:rsidRPr="431D9316">
        <w:rPr>
          <w:rFonts w:eastAsia="Times New Roman" w:cs="Calibri"/>
          <w:color w:val="000000" w:themeColor="text1"/>
        </w:rPr>
        <w:t>4</w:t>
      </w:r>
      <w:r w:rsidRPr="431D9316">
        <w:rPr>
          <w:rFonts w:eastAsia="Times New Roman" w:cs="Calibri"/>
          <w:color w:val="000000" w:themeColor="text1"/>
        </w:rPr>
        <w:t xml:space="preserve"> 2022</w:t>
      </w:r>
      <w:r w:rsidR="00A34A7E" w:rsidRPr="431D9316">
        <w:rPr>
          <w:rFonts w:eastAsia="Times New Roman" w:cs="Calibri"/>
          <w:color w:val="000000" w:themeColor="text1"/>
        </w:rPr>
        <w:t xml:space="preserve"> to </w:t>
      </w:r>
      <w:r w:rsidR="273E448F" w:rsidRPr="431D9316">
        <w:rPr>
          <w:rFonts w:eastAsia="Times New Roman" w:cs="Calibri"/>
          <w:color w:val="000000" w:themeColor="text1"/>
        </w:rPr>
        <w:t>increase behavioral health offerings at</w:t>
      </w:r>
      <w:r w:rsidR="00A34A7E" w:rsidRPr="431D9316">
        <w:rPr>
          <w:rFonts w:eastAsia="Times New Roman" w:cs="Calibri"/>
          <w:color w:val="000000" w:themeColor="text1"/>
        </w:rPr>
        <w:t xml:space="preserve"> existing </w:t>
      </w:r>
      <w:r w:rsidR="00472D3C" w:rsidRPr="431D9316">
        <w:rPr>
          <w:rFonts w:eastAsia="Times New Roman" w:cs="Calibri"/>
          <w:color w:val="000000" w:themeColor="text1"/>
        </w:rPr>
        <w:t>SBHC</w:t>
      </w:r>
      <w:r w:rsidR="00AA556B" w:rsidRPr="431D9316">
        <w:rPr>
          <w:rFonts w:eastAsia="Times New Roman" w:cs="Calibri"/>
          <w:color w:val="000000" w:themeColor="text1"/>
        </w:rPr>
        <w:t>s</w:t>
      </w:r>
      <w:r w:rsidR="00472D3C" w:rsidRPr="431D9316">
        <w:rPr>
          <w:rFonts w:eastAsia="Times New Roman" w:cs="Calibri"/>
          <w:color w:val="000000" w:themeColor="text1"/>
        </w:rPr>
        <w:t xml:space="preserve"> funded through the Seattle F</w:t>
      </w:r>
      <w:r w:rsidR="00AA556B" w:rsidRPr="431D9316">
        <w:rPr>
          <w:rFonts w:eastAsia="Times New Roman" w:cs="Calibri"/>
          <w:color w:val="000000" w:themeColor="text1"/>
        </w:rPr>
        <w:t>amily, Education, Preschool and Promise (</w:t>
      </w:r>
      <w:r w:rsidR="00472D3C" w:rsidRPr="431D9316">
        <w:rPr>
          <w:rFonts w:eastAsia="Times New Roman" w:cs="Calibri"/>
          <w:color w:val="000000" w:themeColor="text1"/>
        </w:rPr>
        <w:t>FEPP</w:t>
      </w:r>
      <w:r w:rsidR="00AA556B" w:rsidRPr="431D9316">
        <w:rPr>
          <w:rFonts w:eastAsia="Times New Roman" w:cs="Calibri"/>
          <w:color w:val="000000" w:themeColor="text1"/>
        </w:rPr>
        <w:t>)</w:t>
      </w:r>
      <w:r w:rsidR="005C75FB">
        <w:rPr>
          <w:rStyle w:val="FootnoteReference"/>
          <w:rFonts w:eastAsia="Times New Roman" w:cs="Calibri"/>
          <w:color w:val="000000" w:themeColor="text1"/>
        </w:rPr>
        <w:footnoteReference w:id="181"/>
      </w:r>
      <w:r w:rsidR="00472D3C" w:rsidRPr="431D9316">
        <w:rPr>
          <w:rFonts w:eastAsia="Times New Roman" w:cs="Calibri"/>
          <w:color w:val="000000" w:themeColor="text1"/>
        </w:rPr>
        <w:t xml:space="preserve"> levy</w:t>
      </w:r>
      <w:r w:rsidRPr="431D9316">
        <w:rPr>
          <w:rFonts w:eastAsia="Times New Roman" w:cs="Calibri"/>
          <w:color w:val="000000" w:themeColor="text1"/>
        </w:rPr>
        <w:t>.</w:t>
      </w:r>
    </w:p>
    <w:p w14:paraId="18214E8A" w14:textId="77777777" w:rsidR="00E24924" w:rsidRDefault="00E24924" w:rsidP="00E24924">
      <w:pPr>
        <w:contextualSpacing/>
        <w:rPr>
          <w:rFonts w:eastAsia="Calibri" w:cs="Calibri"/>
          <w:b/>
          <w:color w:val="000000" w:themeColor="text1"/>
        </w:rPr>
      </w:pPr>
    </w:p>
    <w:tbl>
      <w:tblPr>
        <w:tblStyle w:val="TableGrid"/>
        <w:tblpPr w:leftFromText="180" w:rightFromText="180" w:vertAnchor="text" w:horzAnchor="margin" w:tblpY="86"/>
        <w:tblW w:w="9690" w:type="dxa"/>
        <w:tblLook w:val="04A0" w:firstRow="1" w:lastRow="0" w:firstColumn="1" w:lastColumn="0" w:noHBand="0" w:noVBand="1"/>
      </w:tblPr>
      <w:tblGrid>
        <w:gridCol w:w="9690"/>
      </w:tblGrid>
      <w:tr w:rsidR="00E24924" w:rsidRPr="00D03F1F" w14:paraId="28EA64DE" w14:textId="77777777" w:rsidTr="007C7424">
        <w:trPr>
          <w:trHeight w:val="403"/>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0CECF0F" w14:textId="77777777" w:rsidR="00E24924" w:rsidRPr="00D418DE" w:rsidRDefault="00E24924" w:rsidP="009B00D1">
            <w:pPr>
              <w:contextualSpacing/>
              <w:rPr>
                <w:rFonts w:cs="Calibri"/>
              </w:rPr>
            </w:pPr>
            <w:bookmarkStart w:id="74" w:name="Liberation_Healing"/>
            <w:r w:rsidRPr="008B5A1F">
              <w:rPr>
                <w:rFonts w:eastAsia="Calibri" w:cs="Calibri"/>
                <w:b/>
                <w:color w:val="000000" w:themeColor="text1"/>
                <w:sz w:val="28"/>
                <w:szCs w:val="28"/>
              </w:rPr>
              <w:t>Liberation and Healing</w:t>
            </w:r>
            <w:r w:rsidRPr="00D418DE">
              <w:rPr>
                <w:rFonts w:eastAsia="Calibri" w:cs="Calibri"/>
                <w:b/>
                <w:bCs/>
                <w:color w:val="000000" w:themeColor="text1"/>
              </w:rPr>
              <w:t xml:space="preserve"> </w:t>
            </w:r>
            <w:bookmarkEnd w:id="74"/>
            <w:r w:rsidRPr="00D418DE">
              <w:rPr>
                <w:rFonts w:eastAsia="Calibri" w:cs="Calibri"/>
                <w:color w:val="000000" w:themeColor="text1"/>
              </w:rPr>
              <w:t>(formerly Trauma Informed and Restorative Practices strategies)</w:t>
            </w:r>
          </w:p>
        </w:tc>
      </w:tr>
    </w:tbl>
    <w:tbl>
      <w:tblPr>
        <w:tblW w:w="9450" w:type="dxa"/>
        <w:tblLook w:val="04A0" w:firstRow="1" w:lastRow="0" w:firstColumn="1" w:lastColumn="0" w:noHBand="0" w:noVBand="1"/>
      </w:tblPr>
      <w:tblGrid>
        <w:gridCol w:w="1010"/>
        <w:gridCol w:w="1238"/>
        <w:gridCol w:w="1238"/>
        <w:gridCol w:w="1238"/>
        <w:gridCol w:w="1238"/>
        <w:gridCol w:w="1238"/>
        <w:gridCol w:w="1238"/>
        <w:gridCol w:w="1333"/>
      </w:tblGrid>
      <w:tr w:rsidR="00E24924" w:rsidRPr="009173DB" w14:paraId="178AC11E" w14:textId="77777777" w:rsidTr="00530643">
        <w:trPr>
          <w:trHeight w:val="302"/>
        </w:trPr>
        <w:tc>
          <w:tcPr>
            <w:tcW w:w="9450" w:type="dxa"/>
            <w:gridSpan w:val="8"/>
            <w:tcBorders>
              <w:top w:val="nil"/>
              <w:left w:val="nil"/>
              <w:bottom w:val="single" w:sz="12" w:space="0" w:color="FFD966"/>
              <w:right w:val="nil"/>
            </w:tcBorders>
            <w:shd w:val="clear" w:color="auto" w:fill="auto"/>
            <w:noWrap/>
            <w:vAlign w:val="bottom"/>
            <w:hideMark/>
          </w:tcPr>
          <w:p w14:paraId="432C5A23" w14:textId="77777777" w:rsidR="00E24924" w:rsidRPr="009173DB" w:rsidRDefault="00E24924" w:rsidP="009B00D1">
            <w:pPr>
              <w:spacing w:line="240" w:lineRule="auto"/>
              <w:rPr>
                <w:rFonts w:eastAsia="Times New Roman" w:cs="Calibri"/>
                <w:b/>
                <w:bCs/>
                <w:i/>
                <w:iCs/>
                <w:color w:val="000000"/>
              </w:rPr>
            </w:pPr>
            <w:r w:rsidRPr="009173DB">
              <w:rPr>
                <w:rFonts w:eastAsia="Times New Roman" w:cs="Calibri"/>
                <w:b/>
                <w:bCs/>
                <w:i/>
                <w:iCs/>
                <w:color w:val="000000"/>
              </w:rPr>
              <w:t>Funding Estimate:</w:t>
            </w:r>
          </w:p>
        </w:tc>
      </w:tr>
      <w:tr w:rsidR="00E24924" w:rsidRPr="009173DB" w14:paraId="2B92E81D" w14:textId="77777777" w:rsidTr="00530643">
        <w:trPr>
          <w:trHeight w:val="402"/>
        </w:trPr>
        <w:tc>
          <w:tcPr>
            <w:tcW w:w="1010" w:type="dxa"/>
            <w:tcBorders>
              <w:top w:val="nil"/>
              <w:left w:val="single" w:sz="12" w:space="0" w:color="FFD966"/>
              <w:bottom w:val="single" w:sz="8" w:space="0" w:color="FFD966"/>
              <w:right w:val="single" w:sz="8" w:space="0" w:color="FFD966"/>
            </w:tcBorders>
            <w:shd w:val="clear" w:color="000000" w:fill="D9E1F2"/>
            <w:noWrap/>
            <w:vAlign w:val="center"/>
            <w:hideMark/>
          </w:tcPr>
          <w:p w14:paraId="411F4B8E" w14:textId="77777777" w:rsidR="00E24924" w:rsidRPr="009173DB" w:rsidRDefault="00E24924" w:rsidP="009B00D1">
            <w:pPr>
              <w:spacing w:line="240" w:lineRule="auto"/>
              <w:rPr>
                <w:rFonts w:eastAsia="Times New Roman" w:cs="Calibri"/>
                <w:b/>
                <w:bCs/>
                <w:i/>
                <w:iCs/>
              </w:rPr>
            </w:pPr>
            <w:r w:rsidRPr="009173DB">
              <w:rPr>
                <w:rFonts w:eastAsia="Times New Roman" w:cs="Calibri"/>
                <w:b/>
                <w:bCs/>
                <w:i/>
                <w:iCs/>
              </w:rPr>
              <w:t>Year</w:t>
            </w:r>
          </w:p>
        </w:tc>
        <w:tc>
          <w:tcPr>
            <w:tcW w:w="1238" w:type="dxa"/>
            <w:tcBorders>
              <w:top w:val="nil"/>
              <w:left w:val="nil"/>
              <w:bottom w:val="single" w:sz="8" w:space="0" w:color="FFD966"/>
              <w:right w:val="single" w:sz="8" w:space="0" w:color="FFD966"/>
            </w:tcBorders>
            <w:shd w:val="clear" w:color="000000" w:fill="D9E1F2"/>
            <w:noWrap/>
            <w:vAlign w:val="center"/>
            <w:hideMark/>
          </w:tcPr>
          <w:p w14:paraId="68A24E24" w14:textId="77777777" w:rsidR="00E24924" w:rsidRPr="009173DB" w:rsidRDefault="00E24924" w:rsidP="009B00D1">
            <w:pPr>
              <w:spacing w:line="240" w:lineRule="auto"/>
              <w:jc w:val="right"/>
              <w:rPr>
                <w:rFonts w:eastAsia="Times New Roman" w:cs="Calibri"/>
              </w:rPr>
            </w:pPr>
            <w:r w:rsidRPr="009173DB">
              <w:rPr>
                <w:rFonts w:eastAsia="Times New Roman" w:cs="Calibri"/>
              </w:rPr>
              <w:t>2022</w:t>
            </w:r>
          </w:p>
        </w:tc>
        <w:tc>
          <w:tcPr>
            <w:tcW w:w="1238" w:type="dxa"/>
            <w:tcBorders>
              <w:top w:val="nil"/>
              <w:left w:val="nil"/>
              <w:bottom w:val="single" w:sz="8" w:space="0" w:color="FFD966"/>
              <w:right w:val="single" w:sz="8" w:space="0" w:color="FFD966"/>
            </w:tcBorders>
            <w:shd w:val="clear" w:color="000000" w:fill="D9E1F2"/>
            <w:noWrap/>
            <w:vAlign w:val="center"/>
            <w:hideMark/>
          </w:tcPr>
          <w:p w14:paraId="359CA6D3" w14:textId="77777777" w:rsidR="00E24924" w:rsidRPr="009173DB" w:rsidRDefault="00E24924" w:rsidP="009B00D1">
            <w:pPr>
              <w:spacing w:line="240" w:lineRule="auto"/>
              <w:jc w:val="right"/>
              <w:rPr>
                <w:rFonts w:eastAsia="Times New Roman" w:cs="Calibri"/>
              </w:rPr>
            </w:pPr>
            <w:r w:rsidRPr="009173DB">
              <w:rPr>
                <w:rFonts w:eastAsia="Times New Roman" w:cs="Calibri"/>
              </w:rPr>
              <w:t>2023</w:t>
            </w:r>
          </w:p>
        </w:tc>
        <w:tc>
          <w:tcPr>
            <w:tcW w:w="1238" w:type="dxa"/>
            <w:tcBorders>
              <w:top w:val="nil"/>
              <w:left w:val="nil"/>
              <w:bottom w:val="single" w:sz="8" w:space="0" w:color="FFD966"/>
              <w:right w:val="single" w:sz="8" w:space="0" w:color="FFD966"/>
            </w:tcBorders>
            <w:shd w:val="clear" w:color="000000" w:fill="D9E1F2"/>
            <w:noWrap/>
            <w:vAlign w:val="center"/>
            <w:hideMark/>
          </w:tcPr>
          <w:p w14:paraId="55B8CE22" w14:textId="77777777" w:rsidR="00E24924" w:rsidRPr="009173DB" w:rsidRDefault="00E24924" w:rsidP="009B00D1">
            <w:pPr>
              <w:spacing w:line="240" w:lineRule="auto"/>
              <w:jc w:val="right"/>
              <w:rPr>
                <w:rFonts w:eastAsia="Times New Roman" w:cs="Calibri"/>
              </w:rPr>
            </w:pPr>
            <w:r w:rsidRPr="009173DB">
              <w:rPr>
                <w:rFonts w:eastAsia="Times New Roman" w:cs="Calibri"/>
              </w:rPr>
              <w:t>2024</w:t>
            </w:r>
          </w:p>
        </w:tc>
        <w:tc>
          <w:tcPr>
            <w:tcW w:w="1238" w:type="dxa"/>
            <w:tcBorders>
              <w:top w:val="nil"/>
              <w:left w:val="nil"/>
              <w:bottom w:val="single" w:sz="8" w:space="0" w:color="FFD966"/>
              <w:right w:val="single" w:sz="8" w:space="0" w:color="FFD966"/>
            </w:tcBorders>
            <w:shd w:val="clear" w:color="000000" w:fill="D9E1F2"/>
            <w:noWrap/>
            <w:vAlign w:val="center"/>
            <w:hideMark/>
          </w:tcPr>
          <w:p w14:paraId="2DC8D441" w14:textId="77777777" w:rsidR="00E24924" w:rsidRPr="009173DB" w:rsidRDefault="00E24924" w:rsidP="009B00D1">
            <w:pPr>
              <w:spacing w:line="240" w:lineRule="auto"/>
              <w:jc w:val="right"/>
              <w:rPr>
                <w:rFonts w:eastAsia="Times New Roman" w:cs="Calibri"/>
              </w:rPr>
            </w:pPr>
            <w:r w:rsidRPr="009173DB">
              <w:rPr>
                <w:rFonts w:eastAsia="Times New Roman" w:cs="Calibri"/>
              </w:rPr>
              <w:t>2025</w:t>
            </w:r>
          </w:p>
        </w:tc>
        <w:tc>
          <w:tcPr>
            <w:tcW w:w="1238" w:type="dxa"/>
            <w:tcBorders>
              <w:top w:val="nil"/>
              <w:left w:val="nil"/>
              <w:bottom w:val="single" w:sz="8" w:space="0" w:color="FFD966"/>
              <w:right w:val="single" w:sz="8" w:space="0" w:color="FFD966"/>
            </w:tcBorders>
            <w:shd w:val="clear" w:color="000000" w:fill="D9E1F2"/>
            <w:noWrap/>
            <w:vAlign w:val="center"/>
            <w:hideMark/>
          </w:tcPr>
          <w:p w14:paraId="0C839CA8" w14:textId="77777777" w:rsidR="00E24924" w:rsidRPr="009173DB" w:rsidRDefault="00E24924" w:rsidP="009B00D1">
            <w:pPr>
              <w:spacing w:line="240" w:lineRule="auto"/>
              <w:jc w:val="right"/>
              <w:rPr>
                <w:rFonts w:eastAsia="Times New Roman" w:cs="Calibri"/>
              </w:rPr>
            </w:pPr>
            <w:r w:rsidRPr="009173DB">
              <w:rPr>
                <w:rFonts w:eastAsia="Times New Roman" w:cs="Calibri"/>
              </w:rPr>
              <w:t>2026</w:t>
            </w:r>
          </w:p>
        </w:tc>
        <w:tc>
          <w:tcPr>
            <w:tcW w:w="1238" w:type="dxa"/>
            <w:tcBorders>
              <w:top w:val="nil"/>
              <w:left w:val="nil"/>
              <w:bottom w:val="single" w:sz="8" w:space="0" w:color="FFD966"/>
              <w:right w:val="single" w:sz="8" w:space="0" w:color="FFD966"/>
            </w:tcBorders>
            <w:shd w:val="clear" w:color="000000" w:fill="D9E1F2"/>
            <w:noWrap/>
            <w:vAlign w:val="center"/>
            <w:hideMark/>
          </w:tcPr>
          <w:p w14:paraId="301D80BF" w14:textId="77777777" w:rsidR="00E24924" w:rsidRPr="009173DB" w:rsidRDefault="00E24924" w:rsidP="009B00D1">
            <w:pPr>
              <w:spacing w:line="240" w:lineRule="auto"/>
              <w:jc w:val="right"/>
              <w:rPr>
                <w:rFonts w:eastAsia="Times New Roman" w:cs="Calibri"/>
              </w:rPr>
            </w:pPr>
            <w:r w:rsidRPr="009173DB">
              <w:rPr>
                <w:rFonts w:eastAsia="Times New Roman" w:cs="Calibri"/>
              </w:rPr>
              <w:t>2027</w:t>
            </w:r>
          </w:p>
        </w:tc>
        <w:tc>
          <w:tcPr>
            <w:tcW w:w="1012" w:type="dxa"/>
            <w:tcBorders>
              <w:top w:val="nil"/>
              <w:left w:val="nil"/>
              <w:bottom w:val="single" w:sz="8" w:space="0" w:color="FFD966"/>
              <w:right w:val="single" w:sz="12" w:space="0" w:color="FFD966"/>
            </w:tcBorders>
            <w:shd w:val="clear" w:color="000000" w:fill="D9E1F2"/>
            <w:noWrap/>
            <w:vAlign w:val="center"/>
            <w:hideMark/>
          </w:tcPr>
          <w:p w14:paraId="76E0DD33" w14:textId="77777777" w:rsidR="00E24924" w:rsidRPr="009173DB" w:rsidRDefault="00E24924" w:rsidP="009B00D1">
            <w:pPr>
              <w:spacing w:line="240" w:lineRule="auto"/>
              <w:jc w:val="right"/>
              <w:rPr>
                <w:rFonts w:eastAsia="Times New Roman" w:cs="Calibri"/>
                <w:b/>
                <w:bCs/>
                <w:i/>
                <w:iCs/>
              </w:rPr>
            </w:pPr>
            <w:r w:rsidRPr="009173DB">
              <w:rPr>
                <w:rFonts w:eastAsia="Times New Roman" w:cs="Calibri"/>
                <w:b/>
                <w:bCs/>
                <w:i/>
                <w:iCs/>
              </w:rPr>
              <w:t>Total</w:t>
            </w:r>
          </w:p>
        </w:tc>
      </w:tr>
      <w:tr w:rsidR="00E24924" w:rsidRPr="009173DB" w14:paraId="487A436C" w14:textId="77777777" w:rsidTr="00530643">
        <w:trPr>
          <w:trHeight w:val="402"/>
        </w:trPr>
        <w:tc>
          <w:tcPr>
            <w:tcW w:w="1010" w:type="dxa"/>
            <w:tcBorders>
              <w:top w:val="nil"/>
              <w:left w:val="single" w:sz="12" w:space="0" w:color="FFD966"/>
              <w:bottom w:val="single" w:sz="12" w:space="0" w:color="FFD966"/>
              <w:right w:val="single" w:sz="8" w:space="0" w:color="FFD966"/>
            </w:tcBorders>
            <w:shd w:val="clear" w:color="auto" w:fill="auto"/>
            <w:noWrap/>
            <w:vAlign w:val="center"/>
            <w:hideMark/>
          </w:tcPr>
          <w:p w14:paraId="3DDF5A4E" w14:textId="77777777" w:rsidR="00E24924" w:rsidRPr="009173DB" w:rsidRDefault="00E24924" w:rsidP="009B00D1">
            <w:pPr>
              <w:spacing w:line="240" w:lineRule="auto"/>
              <w:rPr>
                <w:rFonts w:eastAsia="Times New Roman" w:cs="Calibri"/>
                <w:b/>
                <w:bCs/>
                <w:i/>
                <w:iCs/>
                <w:color w:val="000000"/>
              </w:rPr>
            </w:pPr>
            <w:r w:rsidRPr="009173DB">
              <w:rPr>
                <w:rFonts w:eastAsia="Times New Roman" w:cs="Calibri"/>
                <w:b/>
                <w:bCs/>
                <w:i/>
                <w:iCs/>
                <w:color w:val="000000"/>
              </w:rPr>
              <w:t>Amount</w:t>
            </w:r>
          </w:p>
        </w:tc>
        <w:tc>
          <w:tcPr>
            <w:tcW w:w="1238" w:type="dxa"/>
            <w:tcBorders>
              <w:top w:val="nil"/>
              <w:left w:val="nil"/>
              <w:bottom w:val="single" w:sz="12" w:space="0" w:color="FFD966"/>
              <w:right w:val="single" w:sz="8" w:space="0" w:color="FFD966"/>
            </w:tcBorders>
            <w:shd w:val="clear" w:color="auto" w:fill="auto"/>
            <w:noWrap/>
            <w:vAlign w:val="center"/>
            <w:hideMark/>
          </w:tcPr>
          <w:p w14:paraId="3C983DE6"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$4,850,000 </w:t>
            </w:r>
          </w:p>
        </w:tc>
        <w:tc>
          <w:tcPr>
            <w:tcW w:w="1238" w:type="dxa"/>
            <w:tcBorders>
              <w:top w:val="nil"/>
              <w:left w:val="nil"/>
              <w:bottom w:val="single" w:sz="12" w:space="0" w:color="FFD966"/>
              <w:right w:val="single" w:sz="8" w:space="0" w:color="FFD966"/>
            </w:tcBorders>
            <w:shd w:val="clear" w:color="auto" w:fill="auto"/>
            <w:noWrap/>
            <w:vAlign w:val="center"/>
            <w:hideMark/>
          </w:tcPr>
          <w:p w14:paraId="378B790C"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$4,957,000 </w:t>
            </w:r>
          </w:p>
        </w:tc>
        <w:tc>
          <w:tcPr>
            <w:tcW w:w="1238" w:type="dxa"/>
            <w:tcBorders>
              <w:top w:val="nil"/>
              <w:left w:val="nil"/>
              <w:bottom w:val="single" w:sz="12" w:space="0" w:color="FFD966"/>
              <w:right w:val="single" w:sz="8" w:space="0" w:color="FFD966"/>
            </w:tcBorders>
            <w:shd w:val="clear" w:color="auto" w:fill="auto"/>
            <w:noWrap/>
            <w:vAlign w:val="center"/>
            <w:hideMark/>
          </w:tcPr>
          <w:p w14:paraId="7CAF88B0"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$5,066,000 </w:t>
            </w:r>
          </w:p>
        </w:tc>
        <w:tc>
          <w:tcPr>
            <w:tcW w:w="1238" w:type="dxa"/>
            <w:tcBorders>
              <w:top w:val="nil"/>
              <w:left w:val="nil"/>
              <w:bottom w:val="single" w:sz="12" w:space="0" w:color="FFD966"/>
              <w:right w:val="single" w:sz="8" w:space="0" w:color="FFD966"/>
            </w:tcBorders>
            <w:shd w:val="clear" w:color="auto" w:fill="auto"/>
            <w:noWrap/>
            <w:vAlign w:val="center"/>
            <w:hideMark/>
          </w:tcPr>
          <w:p w14:paraId="751BC524"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$5,177,000 </w:t>
            </w:r>
          </w:p>
        </w:tc>
        <w:tc>
          <w:tcPr>
            <w:tcW w:w="1238" w:type="dxa"/>
            <w:tcBorders>
              <w:top w:val="nil"/>
              <w:left w:val="nil"/>
              <w:bottom w:val="single" w:sz="12" w:space="0" w:color="FFD966"/>
              <w:right w:val="single" w:sz="8" w:space="0" w:color="FFD966"/>
            </w:tcBorders>
            <w:shd w:val="clear" w:color="auto" w:fill="auto"/>
            <w:noWrap/>
            <w:vAlign w:val="center"/>
            <w:hideMark/>
          </w:tcPr>
          <w:p w14:paraId="4566E3FF"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$5,291,000 </w:t>
            </w:r>
          </w:p>
        </w:tc>
        <w:tc>
          <w:tcPr>
            <w:tcW w:w="1238" w:type="dxa"/>
            <w:tcBorders>
              <w:top w:val="nil"/>
              <w:left w:val="nil"/>
              <w:bottom w:val="single" w:sz="12" w:space="0" w:color="FFD966"/>
              <w:right w:val="single" w:sz="8" w:space="0" w:color="FFD966"/>
            </w:tcBorders>
            <w:shd w:val="clear" w:color="auto" w:fill="auto"/>
            <w:noWrap/>
            <w:vAlign w:val="center"/>
            <w:hideMark/>
          </w:tcPr>
          <w:p w14:paraId="17459976"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$5,407,000 </w:t>
            </w:r>
          </w:p>
        </w:tc>
        <w:tc>
          <w:tcPr>
            <w:tcW w:w="1012" w:type="dxa"/>
            <w:tcBorders>
              <w:top w:val="nil"/>
              <w:left w:val="nil"/>
              <w:bottom w:val="single" w:sz="12" w:space="0" w:color="FFD966"/>
              <w:right w:val="single" w:sz="12" w:space="0" w:color="FFD966"/>
            </w:tcBorders>
            <w:shd w:val="clear" w:color="auto" w:fill="auto"/>
            <w:noWrap/>
            <w:vAlign w:val="center"/>
            <w:hideMark/>
          </w:tcPr>
          <w:p w14:paraId="641D05F4" w14:textId="77777777" w:rsidR="00E24924" w:rsidRPr="009173DB" w:rsidRDefault="00E24924" w:rsidP="009B00D1">
            <w:pPr>
              <w:spacing w:line="240" w:lineRule="auto"/>
              <w:jc w:val="right"/>
              <w:rPr>
                <w:rFonts w:eastAsia="Times New Roman" w:cs="Calibri"/>
                <w:b/>
                <w:bCs/>
                <w:color w:val="000000"/>
              </w:rPr>
            </w:pPr>
            <w:r w:rsidRPr="009173DB">
              <w:rPr>
                <w:rFonts w:eastAsia="Times New Roman" w:cs="Calibri"/>
                <w:b/>
                <w:bCs/>
                <w:color w:val="000000"/>
              </w:rPr>
              <w:t xml:space="preserve">$30,748,000 </w:t>
            </w:r>
          </w:p>
        </w:tc>
      </w:tr>
    </w:tbl>
    <w:p w14:paraId="5D626355" w14:textId="77777777" w:rsidR="00D24B48" w:rsidRDefault="00D24B48" w:rsidP="00E24924">
      <w:pPr>
        <w:contextualSpacing/>
        <w:rPr>
          <w:rFonts w:eastAsia="Calibri" w:cs="Calibri"/>
          <w:b/>
          <w:color w:val="000000" w:themeColor="text1"/>
        </w:rPr>
      </w:pPr>
    </w:p>
    <w:p w14:paraId="6CA3E7DB" w14:textId="7D604EFF" w:rsidR="00E24924" w:rsidRDefault="00E24924" w:rsidP="00E24924">
      <w:pPr>
        <w:contextualSpacing/>
        <w:rPr>
          <w:rFonts w:eastAsia="Calibri" w:cs="Calibri"/>
          <w:color w:val="000000" w:themeColor="text1"/>
        </w:rPr>
      </w:pPr>
      <w:r w:rsidRPr="00D03F1F">
        <w:rPr>
          <w:rFonts w:eastAsia="Calibri" w:cs="Calibri"/>
          <w:b/>
          <w:color w:val="000000" w:themeColor="text1"/>
        </w:rPr>
        <w:t>Description</w:t>
      </w:r>
      <w:r w:rsidR="008B2102">
        <w:rPr>
          <w:rFonts w:eastAsia="Calibri" w:cs="Calibri"/>
          <w:b/>
          <w:color w:val="000000" w:themeColor="text1"/>
        </w:rPr>
        <w:t>:</w:t>
      </w:r>
    </w:p>
    <w:p w14:paraId="6702B27E" w14:textId="78DE3F6F" w:rsidR="00E24924" w:rsidRPr="00D03F1F" w:rsidRDefault="00FA1A89" w:rsidP="00E24924">
      <w:pPr>
        <w:contextualSpacing/>
        <w:rPr>
          <w:rFonts w:eastAsia="Calibri" w:cs="Calibri"/>
          <w:color w:val="000000" w:themeColor="text1"/>
        </w:rPr>
      </w:pPr>
      <w:r w:rsidRPr="7E1B0B65">
        <w:rPr>
          <w:rStyle w:val="eop"/>
          <w:color w:val="000000" w:themeColor="text1"/>
        </w:rPr>
        <w:t xml:space="preserve">The </w:t>
      </w:r>
      <w:r w:rsidRPr="2CBF9701">
        <w:rPr>
          <w:rStyle w:val="eop"/>
          <w:color w:val="000000" w:themeColor="text1"/>
        </w:rPr>
        <w:t>Liberation and Healing</w:t>
      </w:r>
      <w:r w:rsidRPr="7E1B0B65">
        <w:rPr>
          <w:rStyle w:val="eop"/>
          <w:color w:val="000000" w:themeColor="text1"/>
        </w:rPr>
        <w:t xml:space="preserve"> strategy</w:t>
      </w:r>
      <w:r w:rsidRPr="2CBF9701">
        <w:rPr>
          <w:rStyle w:val="eop"/>
          <w:color w:val="000000" w:themeColor="text1"/>
        </w:rPr>
        <w:t xml:space="preserve"> addresses community trauma and its impacts on young people by promoting strengths-based social and emotional supports</w:t>
      </w:r>
      <w:r w:rsidR="00453379">
        <w:rPr>
          <w:rStyle w:val="eop"/>
          <w:color w:val="000000" w:themeColor="text1"/>
        </w:rPr>
        <w:t xml:space="preserve">. </w:t>
      </w:r>
      <w:r w:rsidR="00E24924" w:rsidRPr="00D03F1F">
        <w:rPr>
          <w:rFonts w:eastAsia="Calibri" w:cs="Calibri"/>
          <w:color w:val="000000" w:themeColor="text1"/>
        </w:rPr>
        <w:t xml:space="preserve">The Liberation and Healing strategy promotes collective strengths-based social and emotional supports so that all people thrive as their full selves. Building on its foundations in </w:t>
      </w:r>
      <w:r w:rsidR="517E99B8">
        <w:rPr>
          <w:rFonts w:eastAsia="Calibri" w:cs="Calibri"/>
          <w:color w:val="000000" w:themeColor="text1"/>
        </w:rPr>
        <w:t>t</w:t>
      </w:r>
      <w:r w:rsidR="4E6CF7A5" w:rsidRPr="00D03F1F">
        <w:rPr>
          <w:rFonts w:eastAsia="Calibri" w:cs="Calibri"/>
          <w:color w:val="000000" w:themeColor="text1"/>
        </w:rPr>
        <w:t>rauma-</w:t>
      </w:r>
      <w:r w:rsidR="517E99B8">
        <w:rPr>
          <w:rFonts w:eastAsia="Calibri" w:cs="Calibri"/>
          <w:color w:val="000000" w:themeColor="text1"/>
        </w:rPr>
        <w:t>i</w:t>
      </w:r>
      <w:r w:rsidR="4E6CF7A5" w:rsidRPr="00D03F1F">
        <w:rPr>
          <w:rFonts w:eastAsia="Calibri" w:cs="Calibri"/>
          <w:color w:val="000000" w:themeColor="text1"/>
        </w:rPr>
        <w:t>nformed</w:t>
      </w:r>
      <w:r w:rsidR="00E24924" w:rsidRPr="00D03F1F">
        <w:rPr>
          <w:rFonts w:eastAsia="Calibri" w:cs="Calibri"/>
          <w:color w:val="000000" w:themeColor="text1"/>
        </w:rPr>
        <w:t xml:space="preserve"> and </w:t>
      </w:r>
      <w:r w:rsidR="517E99B8">
        <w:rPr>
          <w:rFonts w:eastAsia="Calibri" w:cs="Calibri"/>
          <w:color w:val="000000" w:themeColor="text1"/>
        </w:rPr>
        <w:t>r</w:t>
      </w:r>
      <w:r w:rsidR="4E6CF7A5" w:rsidRPr="00D03F1F">
        <w:rPr>
          <w:rFonts w:eastAsia="Calibri" w:cs="Calibri"/>
          <w:color w:val="000000" w:themeColor="text1"/>
        </w:rPr>
        <w:t xml:space="preserve">estorative </w:t>
      </w:r>
      <w:r w:rsidR="517E99B8">
        <w:rPr>
          <w:rFonts w:eastAsia="Calibri" w:cs="Calibri"/>
          <w:color w:val="000000" w:themeColor="text1"/>
        </w:rPr>
        <w:t>p</w:t>
      </w:r>
      <w:r w:rsidR="4E6CF7A5" w:rsidRPr="00D03F1F">
        <w:rPr>
          <w:rFonts w:eastAsia="Calibri" w:cs="Calibri"/>
          <w:color w:val="000000" w:themeColor="text1"/>
        </w:rPr>
        <w:t>ractices</w:t>
      </w:r>
      <w:r w:rsidR="00E24924" w:rsidRPr="00D03F1F">
        <w:rPr>
          <w:rFonts w:eastAsia="Calibri" w:cs="Calibri"/>
          <w:color w:val="000000" w:themeColor="text1"/>
        </w:rPr>
        <w:t xml:space="preserve">, the strategy will address the broad impacts of the pandemic, uprisings for racial justice, and the far-reaching implications of police violence </w:t>
      </w:r>
      <w:r w:rsidR="00E24924" w:rsidRPr="6F9846DE">
        <w:rPr>
          <w:rFonts w:eastAsia="Calibri" w:cs="Calibri"/>
          <w:color w:val="000000" w:themeColor="text1"/>
        </w:rPr>
        <w:t>by continuing</w:t>
      </w:r>
      <w:r w:rsidR="00E24924" w:rsidRPr="0CAD7849">
        <w:rPr>
          <w:rFonts w:eastAsia="Calibri" w:cs="Calibri"/>
          <w:color w:val="000000" w:themeColor="text1"/>
        </w:rPr>
        <w:t xml:space="preserve"> investments </w:t>
      </w:r>
      <w:r w:rsidR="00E24924">
        <w:rPr>
          <w:rFonts w:eastAsia="Calibri" w:cs="Calibri"/>
          <w:color w:val="000000" w:themeColor="text1"/>
        </w:rPr>
        <w:t>in</w:t>
      </w:r>
      <w:r w:rsidR="00E24924" w:rsidRPr="0CAD7849">
        <w:rPr>
          <w:rFonts w:eastAsia="Calibri" w:cs="Calibri"/>
          <w:color w:val="000000" w:themeColor="text1"/>
        </w:rPr>
        <w:t xml:space="preserve"> partnerships with schools and community stakeholders</w:t>
      </w:r>
      <w:r w:rsidR="00E24924" w:rsidRPr="04ABFB89">
        <w:rPr>
          <w:rFonts w:eastAsia="Calibri" w:cs="Calibri"/>
          <w:color w:val="000000" w:themeColor="text1"/>
        </w:rPr>
        <w:t xml:space="preserve">. </w:t>
      </w:r>
      <w:r w:rsidR="1616D851" w:rsidRPr="04ABFB89">
        <w:rPr>
          <w:rFonts w:eastAsia="Calibri" w:cs="Calibri"/>
          <w:color w:val="000000" w:themeColor="text1"/>
        </w:rPr>
        <w:lastRenderedPageBreak/>
        <w:t>Three programs are under</w:t>
      </w:r>
      <w:r w:rsidR="00E24924" w:rsidRPr="04ABFB89">
        <w:rPr>
          <w:rFonts w:eastAsia="Calibri" w:cs="Calibri"/>
          <w:color w:val="000000" w:themeColor="text1"/>
        </w:rPr>
        <w:t xml:space="preserve"> </w:t>
      </w:r>
      <w:r w:rsidR="18CA98FD" w:rsidRPr="04ABFB89">
        <w:rPr>
          <w:rFonts w:eastAsia="Calibri" w:cs="Calibri"/>
          <w:color w:val="000000" w:themeColor="text1"/>
        </w:rPr>
        <w:t xml:space="preserve">this strategy: Liberation and Healing from Systemic Racism, Community Well-Being, and TRACE. </w:t>
      </w:r>
      <w:r w:rsidR="00E24924" w:rsidRPr="04ABFB89">
        <w:rPr>
          <w:rFonts w:eastAsia="Calibri" w:cs="Calibri"/>
          <w:color w:val="000000" w:themeColor="text1"/>
        </w:rPr>
        <w:t xml:space="preserve">Partners </w:t>
      </w:r>
      <w:r w:rsidR="004C70BA">
        <w:rPr>
          <w:rFonts w:eastAsia="Calibri" w:cs="Calibri"/>
          <w:color w:val="000000" w:themeColor="text1"/>
        </w:rPr>
        <w:t xml:space="preserve">under </w:t>
      </w:r>
      <w:r w:rsidR="004C70BA" w:rsidRPr="00F3146B">
        <w:rPr>
          <w:rFonts w:asciiTheme="minorHAnsi" w:eastAsiaTheme="minorEastAsia" w:hAnsiTheme="minorHAnsi"/>
          <w:color w:val="000000" w:themeColor="text1"/>
        </w:rPr>
        <w:t xml:space="preserve">Liberation and Healing (formerly Trauma Informed and Restorative </w:t>
      </w:r>
      <w:r w:rsidR="28806F41" w:rsidRPr="0C88C756">
        <w:rPr>
          <w:rFonts w:asciiTheme="minorHAnsi" w:eastAsiaTheme="minorEastAsia" w:hAnsiTheme="minorHAnsi"/>
          <w:color w:val="000000" w:themeColor="text1"/>
        </w:rPr>
        <w:t>P</w:t>
      </w:r>
      <w:r w:rsidR="004C70BA" w:rsidRPr="0C88C756">
        <w:rPr>
          <w:rFonts w:asciiTheme="minorHAnsi" w:eastAsiaTheme="minorEastAsia" w:hAnsiTheme="minorHAnsi"/>
          <w:color w:val="000000" w:themeColor="text1"/>
        </w:rPr>
        <w:t>ractice</w:t>
      </w:r>
      <w:r w:rsidR="004C70BA" w:rsidRPr="00F3146B">
        <w:rPr>
          <w:rFonts w:asciiTheme="minorHAnsi" w:eastAsiaTheme="minorEastAsia" w:hAnsiTheme="minorHAnsi"/>
          <w:color w:val="000000" w:themeColor="text1"/>
        </w:rPr>
        <w:t>)</w:t>
      </w:r>
      <w:r w:rsidR="004C70BA" w:rsidRPr="00F81B2B">
        <w:rPr>
          <w:rFonts w:asciiTheme="minorHAnsi" w:eastAsiaTheme="minorEastAsia" w:hAnsiTheme="minorHAnsi"/>
          <w:color w:val="000000" w:themeColor="text1"/>
        </w:rPr>
        <w:t xml:space="preserve"> </w:t>
      </w:r>
      <w:r w:rsidR="00E24924" w:rsidRPr="04ABFB89">
        <w:rPr>
          <w:rFonts w:eastAsia="Calibri" w:cs="Calibri"/>
          <w:color w:val="000000" w:themeColor="text1"/>
        </w:rPr>
        <w:t>will</w:t>
      </w:r>
      <w:r w:rsidR="00E24924" w:rsidRPr="0CAD7849">
        <w:rPr>
          <w:rFonts w:eastAsia="Calibri" w:cs="Calibri"/>
          <w:color w:val="000000" w:themeColor="text1"/>
        </w:rPr>
        <w:t xml:space="preserve"> implement innovative approaches to improve school culture </w:t>
      </w:r>
      <w:r w:rsidR="00E24924" w:rsidRPr="04ABFB89">
        <w:rPr>
          <w:rFonts w:eastAsia="Calibri" w:cs="Calibri"/>
          <w:color w:val="000000" w:themeColor="text1"/>
        </w:rPr>
        <w:t>and</w:t>
      </w:r>
      <w:r w:rsidR="00E24924">
        <w:rPr>
          <w:rFonts w:eastAsia="Calibri" w:cs="Calibri"/>
          <w:color w:val="000000" w:themeColor="text1"/>
        </w:rPr>
        <w:t xml:space="preserve"> </w:t>
      </w:r>
      <w:r w:rsidR="00E24924" w:rsidRPr="0CAD7849">
        <w:rPr>
          <w:rFonts w:eastAsia="Calibri" w:cs="Calibri"/>
          <w:color w:val="000000" w:themeColor="text1"/>
        </w:rPr>
        <w:t>climate</w:t>
      </w:r>
      <w:r w:rsidR="00E24924" w:rsidRPr="04ABFB89">
        <w:rPr>
          <w:rFonts w:eastAsia="Calibri" w:cs="Calibri"/>
          <w:color w:val="000000" w:themeColor="text1"/>
        </w:rPr>
        <w:t>, heal and transform systems, and drive</w:t>
      </w:r>
      <w:r w:rsidR="00E24924">
        <w:rPr>
          <w:rFonts w:eastAsia="Calibri" w:cs="Calibri"/>
          <w:color w:val="000000" w:themeColor="text1"/>
        </w:rPr>
        <w:t xml:space="preserve"> </w:t>
      </w:r>
      <w:r w:rsidR="4E6CF7A5">
        <w:rPr>
          <w:rFonts w:eastAsia="Calibri" w:cs="Calibri"/>
          <w:color w:val="000000" w:themeColor="text1"/>
        </w:rPr>
        <w:t>systems change</w:t>
      </w:r>
      <w:r w:rsidR="4E6CF7A5" w:rsidRPr="0CAD7849">
        <w:rPr>
          <w:rFonts w:eastAsia="Calibri" w:cs="Calibri"/>
          <w:color w:val="000000" w:themeColor="text1"/>
        </w:rPr>
        <w:t>.</w:t>
      </w:r>
      <w:r w:rsidR="4E6CF7A5" w:rsidRPr="004A74F5">
        <w:rPr>
          <w:rStyle w:val="FootnoteReference"/>
          <w:rFonts w:eastAsia="Calibri" w:cs="Calibri"/>
          <w:color w:val="000000" w:themeColor="text1"/>
        </w:rPr>
        <w:t xml:space="preserve"> </w:t>
      </w:r>
      <w:r w:rsidR="004A74F5">
        <w:rPr>
          <w:rStyle w:val="FootnoteReference"/>
          <w:rFonts w:eastAsia="Calibri" w:cs="Calibri"/>
          <w:color w:val="000000" w:themeColor="text1"/>
        </w:rPr>
        <w:footnoteReference w:id="182"/>
      </w:r>
      <w:r w:rsidR="4E6CF7A5" w:rsidRPr="0CAD7849">
        <w:rPr>
          <w:rFonts w:eastAsia="Calibri" w:cs="Calibri"/>
          <w:color w:val="000000" w:themeColor="text1"/>
        </w:rPr>
        <w:t xml:space="preserve"> </w:t>
      </w:r>
      <w:r w:rsidR="28A577D5">
        <w:rPr>
          <w:rFonts w:eastAsia="Calibri" w:cs="Calibri"/>
          <w:color w:val="000000" w:themeColor="text1"/>
        </w:rPr>
        <w:t>In addition</w:t>
      </w:r>
      <w:r w:rsidR="00692F3B">
        <w:rPr>
          <w:rFonts w:eastAsia="Calibri" w:cs="Calibri"/>
          <w:color w:val="000000" w:themeColor="text1"/>
        </w:rPr>
        <w:t>, p</w:t>
      </w:r>
      <w:r w:rsidR="004A6DD9">
        <w:rPr>
          <w:rFonts w:eastAsia="Calibri" w:cs="Calibri"/>
          <w:color w:val="000000" w:themeColor="text1"/>
        </w:rPr>
        <w:t xml:space="preserve">rogram model </w:t>
      </w:r>
      <w:r w:rsidR="00016BE8">
        <w:rPr>
          <w:rFonts w:eastAsia="Calibri" w:cs="Calibri"/>
          <w:color w:val="000000" w:themeColor="text1"/>
        </w:rPr>
        <w:t xml:space="preserve">refinements </w:t>
      </w:r>
      <w:r w:rsidR="00692F3B">
        <w:rPr>
          <w:rFonts w:eastAsia="Calibri" w:cs="Calibri"/>
          <w:color w:val="000000" w:themeColor="text1"/>
        </w:rPr>
        <w:t xml:space="preserve">for the new </w:t>
      </w:r>
      <w:r w:rsidR="00423367" w:rsidRPr="77156E13">
        <w:rPr>
          <w:rFonts w:eastAsia="Calibri" w:cs="Calibri"/>
          <w:i/>
          <w:color w:val="000000" w:themeColor="text1"/>
        </w:rPr>
        <w:t>Best Starts</w:t>
      </w:r>
      <w:r w:rsidR="00423367">
        <w:rPr>
          <w:rFonts w:eastAsia="Calibri" w:cs="Calibri"/>
          <w:color w:val="000000" w:themeColor="text1"/>
        </w:rPr>
        <w:t xml:space="preserve"> </w:t>
      </w:r>
      <w:r w:rsidR="00692F3B">
        <w:rPr>
          <w:rFonts w:eastAsia="Calibri" w:cs="Calibri"/>
          <w:color w:val="000000" w:themeColor="text1"/>
        </w:rPr>
        <w:t xml:space="preserve">levy </w:t>
      </w:r>
      <w:r w:rsidR="00016BE8">
        <w:rPr>
          <w:rFonts w:eastAsia="Calibri" w:cs="Calibri"/>
          <w:color w:val="000000" w:themeColor="text1"/>
        </w:rPr>
        <w:t xml:space="preserve">will </w:t>
      </w:r>
      <w:r w:rsidR="00692F3B">
        <w:rPr>
          <w:rFonts w:eastAsia="Calibri" w:cs="Calibri"/>
          <w:color w:val="000000" w:themeColor="text1"/>
        </w:rPr>
        <w:t xml:space="preserve">focus on addressing </w:t>
      </w:r>
      <w:r w:rsidR="004C70BA">
        <w:rPr>
          <w:rFonts w:eastAsia="Calibri" w:cs="Calibri"/>
          <w:color w:val="000000" w:themeColor="text1"/>
        </w:rPr>
        <w:t xml:space="preserve">youth </w:t>
      </w:r>
      <w:r w:rsidR="00692F3B">
        <w:rPr>
          <w:rFonts w:eastAsia="Calibri" w:cs="Calibri"/>
          <w:color w:val="000000" w:themeColor="text1"/>
        </w:rPr>
        <w:t>behavioral health needs.</w:t>
      </w:r>
    </w:p>
    <w:p w14:paraId="6D868860" w14:textId="77777777" w:rsidR="00E24924" w:rsidRPr="00D03F1F" w:rsidRDefault="00E24924" w:rsidP="00E24924">
      <w:pPr>
        <w:contextualSpacing/>
        <w:rPr>
          <w:rFonts w:eastAsia="Calibri" w:cs="Calibri"/>
          <w:color w:val="000000" w:themeColor="text1"/>
        </w:rPr>
      </w:pPr>
    </w:p>
    <w:p w14:paraId="5D2ACDB3" w14:textId="67843CF2" w:rsidR="00E24924" w:rsidRPr="00D03F1F" w:rsidRDefault="00E24924" w:rsidP="00E24924">
      <w:pPr>
        <w:contextualSpacing/>
        <w:rPr>
          <w:rFonts w:eastAsia="Calibri" w:cs="Calibri"/>
          <w:color w:val="000000" w:themeColor="text1"/>
        </w:rPr>
      </w:pPr>
      <w:r w:rsidRPr="351B1C68">
        <w:rPr>
          <w:rFonts w:eastAsia="Calibri" w:cs="Calibri"/>
          <w:b/>
          <w:bCs/>
          <w:color w:val="000000" w:themeColor="text1"/>
        </w:rPr>
        <w:t xml:space="preserve">Planned Refinements in </w:t>
      </w:r>
      <w:r w:rsidR="005B3FA5" w:rsidRPr="00675C8A">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78510AAE" w14:textId="0D7C645D" w:rsidR="007076C2" w:rsidRPr="000F67A6" w:rsidRDefault="00423367" w:rsidP="00F3146B">
      <w:pPr>
        <w:contextualSpacing/>
        <w:rPr>
          <w:rFonts w:asciiTheme="minorHAnsi" w:eastAsiaTheme="minorEastAsia" w:hAnsiTheme="minorHAnsi"/>
          <w:color w:val="000000" w:themeColor="text1"/>
        </w:rPr>
      </w:pPr>
      <w:r>
        <w:rPr>
          <w:rFonts w:eastAsia="Calibri" w:cs="Calibri"/>
          <w:color w:val="000000" w:themeColor="text1"/>
        </w:rPr>
        <w:t xml:space="preserve">Program refinements </w:t>
      </w:r>
      <w:r w:rsidR="00D32863">
        <w:rPr>
          <w:rFonts w:eastAsia="Calibri" w:cs="Calibri"/>
          <w:color w:val="000000" w:themeColor="text1"/>
        </w:rPr>
        <w:t xml:space="preserve">in Liberation and Healing </w:t>
      </w:r>
      <w:r>
        <w:rPr>
          <w:rFonts w:eastAsia="Calibri" w:cs="Calibri"/>
          <w:color w:val="000000" w:themeColor="text1"/>
        </w:rPr>
        <w:t xml:space="preserve">will </w:t>
      </w:r>
      <w:r w:rsidR="00E24924" w:rsidRPr="00D03F1F">
        <w:rPr>
          <w:rFonts w:eastAsia="Calibri" w:cs="Calibri"/>
          <w:color w:val="000000" w:themeColor="text1"/>
        </w:rPr>
        <w:t>include</w:t>
      </w:r>
      <w:r w:rsidR="00E24924" w:rsidRPr="04ABFB89">
        <w:rPr>
          <w:rFonts w:eastAsia="Calibri" w:cs="Calibri"/>
          <w:color w:val="000000" w:themeColor="text1"/>
        </w:rPr>
        <w:t xml:space="preserve"> the following</w:t>
      </w:r>
      <w:r w:rsidR="00D32863">
        <w:rPr>
          <w:rFonts w:eastAsia="Calibri" w:cs="Calibri"/>
          <w:color w:val="000000" w:themeColor="text1"/>
        </w:rPr>
        <w:t xml:space="preserve"> components</w:t>
      </w:r>
      <w:r w:rsidR="00E24924" w:rsidRPr="00D03F1F">
        <w:rPr>
          <w:rFonts w:eastAsia="Calibri" w:cs="Calibri"/>
          <w:color w:val="000000" w:themeColor="text1"/>
        </w:rPr>
        <w:t>:</w:t>
      </w:r>
    </w:p>
    <w:p w14:paraId="0FEDFD7F" w14:textId="77C1C8DF" w:rsidR="00E24924" w:rsidRPr="00D03F1F" w:rsidRDefault="00E24924" w:rsidP="00290A95">
      <w:pPr>
        <w:pStyle w:val="ListParagraph"/>
        <w:numPr>
          <w:ilvl w:val="0"/>
          <w:numId w:val="13"/>
        </w:numPr>
        <w:contextualSpacing w:val="0"/>
        <w:rPr>
          <w:rStyle w:val="normaltextrun"/>
          <w:rFonts w:eastAsiaTheme="minorEastAsia"/>
          <w:color w:val="000000" w:themeColor="text1"/>
        </w:rPr>
      </w:pPr>
      <w:r w:rsidRPr="2D71CCAF">
        <w:rPr>
          <w:rFonts w:eastAsia="Calibri" w:cs="Calibri"/>
          <w:b/>
          <w:bCs/>
          <w:color w:val="000000" w:themeColor="text1"/>
        </w:rPr>
        <w:t xml:space="preserve">Community Well-Being </w:t>
      </w:r>
      <w:r w:rsidRPr="00D03F1F">
        <w:rPr>
          <w:rFonts w:eastAsia="Calibri" w:cs="Calibri"/>
          <w:color w:val="000000" w:themeColor="text1"/>
        </w:rPr>
        <w:t xml:space="preserve">(CWI) will </w:t>
      </w:r>
      <w:r w:rsidRPr="2D71CCAF">
        <w:rPr>
          <w:rStyle w:val="normaltextrun"/>
          <w:rFonts w:ascii="Calibri" w:eastAsia="Calibri" w:hAnsi="Calibri" w:cs="Calibri"/>
          <w:color w:val="000000" w:themeColor="text1"/>
        </w:rPr>
        <w:t>promote social</w:t>
      </w:r>
      <w:r w:rsidR="009F2F19">
        <w:rPr>
          <w:rStyle w:val="normaltextrun"/>
          <w:rFonts w:ascii="Calibri" w:eastAsia="Calibri" w:hAnsi="Calibri" w:cs="Calibri"/>
          <w:color w:val="000000" w:themeColor="text1"/>
        </w:rPr>
        <w:t xml:space="preserve">, </w:t>
      </w:r>
      <w:r w:rsidRPr="2D71CCAF">
        <w:rPr>
          <w:rStyle w:val="normaltextrun"/>
          <w:rFonts w:ascii="Calibri" w:eastAsia="Calibri" w:hAnsi="Calibri" w:cs="Calibri"/>
          <w:color w:val="000000" w:themeColor="text1"/>
        </w:rPr>
        <w:t>emotional</w:t>
      </w:r>
      <w:r w:rsidR="009F2F19">
        <w:rPr>
          <w:rStyle w:val="normaltextrun"/>
          <w:rFonts w:ascii="Calibri" w:eastAsia="Calibri" w:hAnsi="Calibri" w:cs="Calibri"/>
          <w:color w:val="000000" w:themeColor="text1"/>
        </w:rPr>
        <w:t xml:space="preserve"> and mental</w:t>
      </w:r>
      <w:r w:rsidRPr="2D71CCAF">
        <w:rPr>
          <w:rStyle w:val="normaltextrun"/>
          <w:rFonts w:ascii="Calibri" w:eastAsia="Calibri" w:hAnsi="Calibri" w:cs="Calibri"/>
          <w:color w:val="000000" w:themeColor="text1"/>
        </w:rPr>
        <w:t> health</w:t>
      </w:r>
      <w:r w:rsidR="001126E8">
        <w:rPr>
          <w:rStyle w:val="normaltextrun"/>
          <w:rFonts w:ascii="Calibri" w:eastAsia="Calibri" w:hAnsi="Calibri" w:cs="Calibri"/>
          <w:color w:val="000000" w:themeColor="text1"/>
        </w:rPr>
        <w:t xml:space="preserve"> and well</w:t>
      </w:r>
      <w:r w:rsidR="0043149F">
        <w:rPr>
          <w:rStyle w:val="normaltextrun"/>
          <w:rFonts w:ascii="Calibri" w:eastAsia="Calibri" w:hAnsi="Calibri" w:cs="Calibri"/>
          <w:color w:val="000000" w:themeColor="text1"/>
        </w:rPr>
        <w:t>being</w:t>
      </w:r>
      <w:r w:rsidRPr="2D71CCAF">
        <w:rPr>
          <w:rStyle w:val="normaltextrun"/>
          <w:rFonts w:ascii="Calibri" w:eastAsia="Calibri" w:hAnsi="Calibri" w:cs="Calibri"/>
          <w:color w:val="000000" w:themeColor="text1"/>
        </w:rPr>
        <w:t> through a multigenerational approach</w:t>
      </w:r>
      <w:r w:rsidRPr="2D71CCAF">
        <w:rPr>
          <w:rStyle w:val="normaltextrun"/>
          <w:rFonts w:ascii="Calibri" w:eastAsia="Calibri" w:hAnsi="Calibri" w:cs="Calibri"/>
          <w:b/>
          <w:bCs/>
          <w:color w:val="000000" w:themeColor="text1"/>
        </w:rPr>
        <w:t xml:space="preserve">. </w:t>
      </w:r>
      <w:r w:rsidRPr="1BF2F0B1">
        <w:rPr>
          <w:rStyle w:val="normaltextrun"/>
          <w:rFonts w:ascii="Calibri" w:eastAsia="Calibri" w:hAnsi="Calibri" w:cs="Calibri"/>
          <w:color w:val="000000" w:themeColor="text1"/>
        </w:rPr>
        <w:t xml:space="preserve">CWI will build community capacity to share resources and deliver culturally relevant programming on emotional health and wellbeing in order to reduce stigma associated with mental health topics and reinforce compassion, connection, and care in communities. CWI will be implemented in response to </w:t>
      </w:r>
      <w:r w:rsidRPr="1BF2F0B1">
        <w:rPr>
          <w:rFonts w:eastAsia="Calibri" w:cs="Calibri"/>
          <w:color w:val="000000" w:themeColor="text1"/>
        </w:rPr>
        <w:t xml:space="preserve">Motion </w:t>
      </w:r>
      <w:r w:rsidR="00EC7971">
        <w:rPr>
          <w:rFonts w:eastAsia="Calibri" w:cs="Calibri"/>
          <w:color w:val="000000" w:themeColor="text1"/>
        </w:rPr>
        <w:t>15888</w:t>
      </w:r>
      <w:r w:rsidRPr="1BF2F0B1">
        <w:rPr>
          <w:rStyle w:val="FootnoteReference"/>
          <w:rFonts w:eastAsia="Calibri" w:cs="Calibri"/>
          <w:color w:val="000000" w:themeColor="text1"/>
        </w:rPr>
        <w:footnoteReference w:id="183"/>
      </w:r>
      <w:r w:rsidR="005A6E19">
        <w:rPr>
          <w:rFonts w:eastAsia="Calibri" w:cs="Calibri"/>
          <w:color w:val="000000" w:themeColor="text1"/>
          <w:vertAlign w:val="superscript"/>
        </w:rPr>
        <w:t>,</w:t>
      </w:r>
      <w:r w:rsidR="00107F25">
        <w:rPr>
          <w:rStyle w:val="FootnoteReference"/>
          <w:rFonts w:eastAsia="Calibri" w:cs="Calibri"/>
          <w:color w:val="000000" w:themeColor="text1"/>
        </w:rPr>
        <w:footnoteReference w:id="184"/>
      </w:r>
      <w:r w:rsidR="00BA15E7">
        <w:rPr>
          <w:rFonts w:eastAsia="Calibri" w:cs="Calibri"/>
          <w:color w:val="000000" w:themeColor="text1"/>
        </w:rPr>
        <w:t xml:space="preserve"> </w:t>
      </w:r>
      <w:r w:rsidRPr="1BF2F0B1">
        <w:rPr>
          <w:rFonts w:eastAsia="Calibri" w:cs="Calibri"/>
          <w:color w:val="000000" w:themeColor="text1"/>
        </w:rPr>
        <w:t xml:space="preserve">and input from community recommending investments to address the growing mental health </w:t>
      </w:r>
      <w:r w:rsidR="005D0F32">
        <w:rPr>
          <w:rFonts w:eastAsia="Calibri" w:cs="Calibri"/>
          <w:color w:val="000000" w:themeColor="text1"/>
        </w:rPr>
        <w:t xml:space="preserve">and substance use </w:t>
      </w:r>
      <w:r w:rsidRPr="1BF2F0B1">
        <w:rPr>
          <w:rFonts w:eastAsia="Calibri" w:cs="Calibri"/>
          <w:color w:val="000000" w:themeColor="text1"/>
        </w:rPr>
        <w:t>needs of youth as a result of the pandemic.</w:t>
      </w:r>
      <w:r w:rsidRPr="1BF2F0B1">
        <w:rPr>
          <w:rStyle w:val="FootnoteReference"/>
          <w:rFonts w:eastAsia="Calibri" w:cs="Calibri"/>
          <w:color w:val="000000" w:themeColor="text1"/>
        </w:rPr>
        <w:footnoteReference w:id="185"/>
      </w:r>
    </w:p>
    <w:p w14:paraId="38229DDF" w14:textId="6EC2EC65" w:rsidR="00E24924" w:rsidRPr="00813A00" w:rsidRDefault="00B91E04" w:rsidP="00290A95">
      <w:pPr>
        <w:pStyle w:val="ListParagraph"/>
        <w:numPr>
          <w:ilvl w:val="0"/>
          <w:numId w:val="13"/>
        </w:numPr>
        <w:contextualSpacing w:val="0"/>
        <w:rPr>
          <w:rFonts w:eastAsia="Calibri" w:cs="Calibri"/>
        </w:rPr>
      </w:pPr>
      <w:r>
        <w:rPr>
          <w:rFonts w:eastAsia="Calibri" w:cs="Calibri"/>
          <w:color w:val="000000" w:themeColor="text1"/>
        </w:rPr>
        <w:t>Add</w:t>
      </w:r>
      <w:r w:rsidR="00E24924">
        <w:rPr>
          <w:rFonts w:eastAsia="Calibri" w:cs="Calibri"/>
          <w:b/>
          <w:color w:val="000000" w:themeColor="text1"/>
        </w:rPr>
        <w:t xml:space="preserve"> </w:t>
      </w:r>
      <w:r w:rsidR="00E24924" w:rsidRPr="00ED14D6">
        <w:rPr>
          <w:rFonts w:eastAsia="Calibri" w:cs="Calibri"/>
          <w:b/>
        </w:rPr>
        <w:t>Timely Response to Adverse Community Events</w:t>
      </w:r>
      <w:r w:rsidR="00E24924" w:rsidRPr="00813A00">
        <w:rPr>
          <w:rFonts w:eastAsia="Calibri" w:cs="Calibri"/>
        </w:rPr>
        <w:t xml:space="preserve"> (TRACE)</w:t>
      </w:r>
      <w:r w:rsidR="00570E46">
        <w:rPr>
          <w:rFonts w:eastAsia="Calibri" w:cs="Calibri"/>
        </w:rPr>
        <w:t xml:space="preserve"> </w:t>
      </w:r>
      <w:r w:rsidR="00E24924" w:rsidRPr="00813A00">
        <w:rPr>
          <w:rFonts w:eastAsia="Calibri" w:cs="Calibri"/>
        </w:rPr>
        <w:t>as a program within Liberation and Healing</w:t>
      </w:r>
      <w:r w:rsidR="007D2939">
        <w:rPr>
          <w:rFonts w:eastAsia="Calibri" w:cs="Calibri"/>
        </w:rPr>
        <w:t>.</w:t>
      </w:r>
      <w:r w:rsidR="00791013">
        <w:rPr>
          <w:rFonts w:eastAsia="Calibri" w:cs="Calibri"/>
        </w:rPr>
        <w:t xml:space="preserve"> </w:t>
      </w:r>
      <w:r w:rsidR="00154D2A">
        <w:rPr>
          <w:rFonts w:cs="Calibri"/>
          <w:color w:val="000000"/>
          <w:shd w:val="clear" w:color="auto" w:fill="FFFFFF"/>
        </w:rPr>
        <w:t>TRACE is an enhanced trauma-specific response to eligible children, youth and/or family members who have experienced an adverse community event and/or are experiencing symptoms of trauma as a result of childhood experiences</w:t>
      </w:r>
      <w:r w:rsidR="007D2939">
        <w:rPr>
          <w:rFonts w:cs="Calibri"/>
          <w:color w:val="000000"/>
          <w:shd w:val="clear" w:color="auto" w:fill="FFFFFF"/>
        </w:rPr>
        <w:t>.</w:t>
      </w:r>
      <w:r w:rsidR="00791013">
        <w:rPr>
          <w:rFonts w:cs="Calibri"/>
          <w:color w:val="000000"/>
          <w:shd w:val="clear" w:color="auto" w:fill="FFFFFF"/>
        </w:rPr>
        <w:t xml:space="preserve"> </w:t>
      </w:r>
      <w:r w:rsidR="00E03BFE">
        <w:rPr>
          <w:rFonts w:eastAsia="Calibri" w:cs="Calibri"/>
        </w:rPr>
        <w:t>The program specifically serves t</w:t>
      </w:r>
      <w:r w:rsidR="00E03BFE">
        <w:rPr>
          <w:rFonts w:cs="Calibri"/>
          <w:color w:val="000000"/>
          <w:shd w:val="clear" w:color="auto" w:fill="FFFFFF"/>
        </w:rPr>
        <w:t>he Snoqualmie Valley (Carnation, Duvall, Fall City, North Bend, and Snoqualmie).</w:t>
      </w:r>
    </w:p>
    <w:p w14:paraId="230F3859" w14:textId="77777777" w:rsidR="00E24924" w:rsidRPr="00813A00" w:rsidRDefault="00E24924" w:rsidP="00E24924">
      <w:pPr>
        <w:rPr>
          <w:rFonts w:eastAsia="Calibri" w:cs="Calibri"/>
        </w:rPr>
      </w:pPr>
    </w:p>
    <w:p w14:paraId="19F17AFC" w14:textId="3DD4D43E" w:rsidR="00E24924" w:rsidRDefault="00790036" w:rsidP="00E24924">
      <w:pPr>
        <w:rPr>
          <w:rFonts w:eastAsia="Calibri" w:cs="Calibri"/>
          <w:color w:val="000000" w:themeColor="text1"/>
        </w:rPr>
      </w:pPr>
      <w:r>
        <w:rPr>
          <w:rFonts w:eastAsia="Calibri" w:cs="Calibri"/>
          <w:b/>
          <w:bCs/>
          <w:color w:val="000000" w:themeColor="text1"/>
        </w:rPr>
        <w:t>Approximate</w:t>
      </w:r>
      <w:r w:rsidR="00E24924">
        <w:rPr>
          <w:rFonts w:eastAsia="Calibri" w:cs="Calibri"/>
          <w:b/>
          <w:bCs/>
          <w:color w:val="000000" w:themeColor="text1"/>
        </w:rPr>
        <w:t xml:space="preserve"> Scope: </w:t>
      </w:r>
      <w:r w:rsidR="00B73AE2" w:rsidRPr="002673A7">
        <w:rPr>
          <w:rFonts w:eastAsia="Calibri" w:cs="Calibri"/>
          <w:color w:val="000000" w:themeColor="text1"/>
        </w:rPr>
        <w:t>Liberation and Healing</w:t>
      </w:r>
      <w:r w:rsidR="00B73AE2">
        <w:rPr>
          <w:rFonts w:eastAsia="Calibri" w:cs="Calibri"/>
          <w:b/>
          <w:bCs/>
          <w:color w:val="000000" w:themeColor="text1"/>
        </w:rPr>
        <w:t xml:space="preserve"> </w:t>
      </w:r>
      <w:r w:rsidR="00E24924" w:rsidRPr="00695222">
        <w:rPr>
          <w:rFonts w:eastAsia="Calibri" w:cs="Calibri"/>
          <w:color w:val="000000" w:themeColor="text1"/>
        </w:rPr>
        <w:t xml:space="preserve">anticipates serving up to 2,500 children and youth annually. </w:t>
      </w:r>
    </w:p>
    <w:p w14:paraId="6007E86A" w14:textId="77777777" w:rsidR="00E24924" w:rsidRDefault="00E24924" w:rsidP="00E24924">
      <w:pPr>
        <w:rPr>
          <w:rFonts w:eastAsia="Calibri" w:cs="Calibri"/>
          <w:color w:val="000000" w:themeColor="text1"/>
        </w:rPr>
      </w:pPr>
    </w:p>
    <w:p w14:paraId="121420C7" w14:textId="6ED3450A" w:rsidR="00E24924" w:rsidRPr="00C01D82" w:rsidRDefault="00E24924" w:rsidP="003420B4">
      <w:pPr>
        <w:textAlignment w:val="baseline"/>
        <w:rPr>
          <w:rFonts w:eastAsia="Times New Roman" w:cs="Calibri"/>
        </w:rPr>
      </w:pPr>
      <w:r w:rsidRPr="204F203F">
        <w:rPr>
          <w:rFonts w:eastAsia="Times New Roman" w:cs="Calibri"/>
          <w:b/>
          <w:color w:val="000000" w:themeColor="text1"/>
        </w:rPr>
        <w:t>Anticipated Timeline</w:t>
      </w:r>
      <w:r w:rsidR="0039603F" w:rsidRPr="204F203F">
        <w:rPr>
          <w:rFonts w:eastAsia="Times New Roman" w:cs="Calibri"/>
          <w:b/>
          <w:color w:val="000000" w:themeColor="text1"/>
        </w:rPr>
        <w:t>:</w:t>
      </w:r>
      <w:r w:rsidR="0039603F" w:rsidRPr="204F203F">
        <w:rPr>
          <w:rFonts w:eastAsia="Times New Roman" w:cs="Calibri"/>
          <w:color w:val="000000" w:themeColor="text1"/>
        </w:rPr>
        <w:t xml:space="preserve"> </w:t>
      </w:r>
      <w:r w:rsidRPr="204F203F">
        <w:rPr>
          <w:rFonts w:eastAsia="Times New Roman" w:cs="Calibri"/>
          <w:color w:val="000000" w:themeColor="text1"/>
        </w:rPr>
        <w:t xml:space="preserve">Release Liberation and Healing </w:t>
      </w:r>
      <w:r w:rsidR="13EEA827" w:rsidRPr="204F203F">
        <w:rPr>
          <w:rFonts w:eastAsia="Times New Roman" w:cs="Calibri"/>
          <w:color w:val="000000" w:themeColor="text1"/>
        </w:rPr>
        <w:t xml:space="preserve">from </w:t>
      </w:r>
      <w:r w:rsidR="13EEA827" w:rsidRPr="27D33F4A">
        <w:rPr>
          <w:rFonts w:eastAsia="Times New Roman" w:cs="Calibri"/>
          <w:color w:val="000000" w:themeColor="text1"/>
        </w:rPr>
        <w:t>Systemic Racism</w:t>
      </w:r>
      <w:r w:rsidR="59F85C5C" w:rsidRPr="204F203F">
        <w:rPr>
          <w:rFonts w:eastAsia="Times New Roman" w:cs="Calibri"/>
          <w:color w:val="000000" w:themeColor="text1"/>
        </w:rPr>
        <w:t xml:space="preserve"> </w:t>
      </w:r>
      <w:r w:rsidRPr="204F203F">
        <w:rPr>
          <w:rFonts w:eastAsia="Times New Roman" w:cs="Calibri"/>
          <w:color w:val="000000" w:themeColor="text1"/>
        </w:rPr>
        <w:t>RFP in</w:t>
      </w:r>
      <w:r w:rsidR="00C01D82" w:rsidRPr="204F203F">
        <w:rPr>
          <w:rFonts w:eastAsia="Times New Roman" w:cs="Calibri"/>
          <w:color w:val="000000" w:themeColor="text1"/>
        </w:rPr>
        <w:t xml:space="preserve"> Q</w:t>
      </w:r>
      <w:r w:rsidRPr="204F203F">
        <w:rPr>
          <w:rFonts w:eastAsia="Times New Roman" w:cs="Calibri"/>
          <w:color w:val="000000" w:themeColor="text1"/>
        </w:rPr>
        <w:t>4 2021.</w:t>
      </w:r>
    </w:p>
    <w:p w14:paraId="51BACA11" w14:textId="77777777" w:rsidR="00C01D82" w:rsidRPr="00D03F1F" w:rsidRDefault="00C01D82" w:rsidP="00C01D82">
      <w:pPr>
        <w:contextualSpacing/>
        <w:rPr>
          <w:rFonts w:eastAsia="Calibri" w:cs="Calibri"/>
          <w:color w:val="000000" w:themeColor="text1"/>
        </w:rPr>
      </w:pPr>
    </w:p>
    <w:p w14:paraId="2B8E0437" w14:textId="77777777" w:rsidR="007B6484" w:rsidRDefault="007B6484">
      <w:bookmarkStart w:id="75" w:name="Healthy_Safe_Environments"/>
      <w:r>
        <w:br w:type="page"/>
      </w:r>
    </w:p>
    <w:tbl>
      <w:tblPr>
        <w:tblStyle w:val="TableGrid"/>
        <w:tblpPr w:leftFromText="180" w:rightFromText="180" w:vertAnchor="text" w:horzAnchor="margin" w:tblpY="131"/>
        <w:tblW w:w="10163" w:type="dxa"/>
        <w:tblLook w:val="04A0" w:firstRow="1" w:lastRow="0" w:firstColumn="1" w:lastColumn="0" w:noHBand="0" w:noVBand="1"/>
      </w:tblPr>
      <w:tblGrid>
        <w:gridCol w:w="10163"/>
      </w:tblGrid>
      <w:tr w:rsidR="00C01D82" w:rsidRPr="003453D8" w14:paraId="015D7596" w14:textId="77777777" w:rsidTr="003420B4">
        <w:trPr>
          <w:trHeight w:val="390"/>
        </w:trPr>
        <w:tc>
          <w:tcPr>
            <w:tcW w:w="10163"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05E6C698" w14:textId="77777777" w:rsidR="00C01D82" w:rsidRPr="00BB1A2A" w:rsidRDefault="00C01D82" w:rsidP="009B00D1">
            <w:pPr>
              <w:pStyle w:val="NormalWeb"/>
              <w:rPr>
                <w:rFonts w:eastAsiaTheme="minorEastAsia" w:cs="Calibri"/>
                <w:b/>
                <w:sz w:val="28"/>
                <w:szCs w:val="28"/>
              </w:rPr>
            </w:pPr>
            <w:r w:rsidRPr="00BB1A2A">
              <w:rPr>
                <w:rFonts w:eastAsiaTheme="minorEastAsia" w:cs="Calibri"/>
                <w:b/>
                <w:sz w:val="28"/>
                <w:szCs w:val="28"/>
              </w:rPr>
              <w:lastRenderedPageBreak/>
              <w:t xml:space="preserve">Healthy and Safe Environments </w:t>
            </w:r>
            <w:bookmarkEnd w:id="75"/>
            <w:r w:rsidRPr="000F67A6">
              <w:rPr>
                <w:rFonts w:eastAsiaTheme="minorEastAsia" w:cs="Calibri"/>
                <w:szCs w:val="22"/>
              </w:rPr>
              <w:t>(formerly Create Healthy and Safe Environments)</w:t>
            </w:r>
          </w:p>
        </w:tc>
      </w:tr>
    </w:tbl>
    <w:tbl>
      <w:tblPr>
        <w:tblW w:w="10211" w:type="dxa"/>
        <w:tblLook w:val="04A0" w:firstRow="1" w:lastRow="0" w:firstColumn="1" w:lastColumn="0" w:noHBand="0" w:noVBand="1"/>
      </w:tblPr>
      <w:tblGrid>
        <w:gridCol w:w="1034"/>
        <w:gridCol w:w="1266"/>
        <w:gridCol w:w="1266"/>
        <w:gridCol w:w="1266"/>
        <w:gridCol w:w="1266"/>
        <w:gridCol w:w="1266"/>
        <w:gridCol w:w="1266"/>
        <w:gridCol w:w="1575"/>
        <w:gridCol w:w="6"/>
      </w:tblGrid>
      <w:tr w:rsidR="00C01D82" w:rsidRPr="00003DA6" w14:paraId="0C944FD5" w14:textId="77777777" w:rsidTr="009B00D1">
        <w:trPr>
          <w:trHeight w:val="268"/>
        </w:trPr>
        <w:tc>
          <w:tcPr>
            <w:tcW w:w="10211" w:type="dxa"/>
            <w:gridSpan w:val="9"/>
            <w:tcBorders>
              <w:top w:val="nil"/>
              <w:left w:val="nil"/>
              <w:bottom w:val="single" w:sz="12" w:space="0" w:color="FFD966"/>
              <w:right w:val="nil"/>
            </w:tcBorders>
            <w:shd w:val="clear" w:color="auto" w:fill="auto"/>
            <w:noWrap/>
            <w:vAlign w:val="bottom"/>
            <w:hideMark/>
          </w:tcPr>
          <w:p w14:paraId="7974B017" w14:textId="77777777" w:rsidR="00C01D82" w:rsidRPr="00003DA6" w:rsidRDefault="00C01D82" w:rsidP="009B00D1">
            <w:pPr>
              <w:spacing w:line="240" w:lineRule="auto"/>
              <w:rPr>
                <w:rFonts w:eastAsia="Times New Roman" w:cs="Calibri"/>
                <w:b/>
                <w:bCs/>
                <w:i/>
                <w:iCs/>
                <w:color w:val="000000"/>
              </w:rPr>
            </w:pPr>
            <w:r w:rsidRPr="00003DA6">
              <w:rPr>
                <w:rFonts w:eastAsia="Times New Roman" w:cs="Calibri"/>
                <w:b/>
                <w:bCs/>
                <w:i/>
                <w:iCs/>
                <w:color w:val="000000"/>
              </w:rPr>
              <w:t>Funding Estimate:</w:t>
            </w:r>
          </w:p>
        </w:tc>
      </w:tr>
      <w:tr w:rsidR="00C01D82" w:rsidRPr="00003DA6" w14:paraId="2715D050" w14:textId="77777777" w:rsidTr="009B00D1">
        <w:trPr>
          <w:gridAfter w:val="1"/>
          <w:wAfter w:w="6" w:type="dxa"/>
          <w:trHeight w:val="358"/>
        </w:trPr>
        <w:tc>
          <w:tcPr>
            <w:tcW w:w="1034" w:type="dxa"/>
            <w:tcBorders>
              <w:top w:val="nil"/>
              <w:left w:val="single" w:sz="12" w:space="0" w:color="FFD966"/>
              <w:bottom w:val="single" w:sz="8" w:space="0" w:color="FFD966"/>
              <w:right w:val="single" w:sz="8" w:space="0" w:color="FFD966"/>
            </w:tcBorders>
            <w:shd w:val="clear" w:color="000000" w:fill="D9E1F2"/>
            <w:noWrap/>
            <w:vAlign w:val="center"/>
            <w:hideMark/>
          </w:tcPr>
          <w:p w14:paraId="30C74591" w14:textId="77777777" w:rsidR="00C01D82" w:rsidRPr="00003DA6" w:rsidRDefault="00C01D82" w:rsidP="009B00D1">
            <w:pPr>
              <w:spacing w:line="240" w:lineRule="auto"/>
              <w:rPr>
                <w:rFonts w:eastAsia="Times New Roman" w:cs="Calibri"/>
                <w:b/>
                <w:bCs/>
                <w:i/>
                <w:iCs/>
              </w:rPr>
            </w:pPr>
            <w:r w:rsidRPr="00003DA6">
              <w:rPr>
                <w:rFonts w:eastAsia="Times New Roman" w:cs="Calibri"/>
                <w:b/>
                <w:bCs/>
                <w:i/>
                <w:iCs/>
              </w:rPr>
              <w:t>Year</w:t>
            </w:r>
          </w:p>
        </w:tc>
        <w:tc>
          <w:tcPr>
            <w:tcW w:w="1266" w:type="dxa"/>
            <w:tcBorders>
              <w:top w:val="nil"/>
              <w:left w:val="nil"/>
              <w:bottom w:val="single" w:sz="8" w:space="0" w:color="FFD966"/>
              <w:right w:val="single" w:sz="8" w:space="0" w:color="FFD966"/>
            </w:tcBorders>
            <w:shd w:val="clear" w:color="000000" w:fill="D9E1F2"/>
            <w:noWrap/>
            <w:vAlign w:val="center"/>
            <w:hideMark/>
          </w:tcPr>
          <w:p w14:paraId="67C4A570" w14:textId="77777777" w:rsidR="00C01D82" w:rsidRPr="00003DA6" w:rsidRDefault="00C01D82" w:rsidP="009B00D1">
            <w:pPr>
              <w:spacing w:line="240" w:lineRule="auto"/>
              <w:jc w:val="right"/>
              <w:rPr>
                <w:rFonts w:eastAsia="Times New Roman" w:cs="Calibri"/>
              </w:rPr>
            </w:pPr>
            <w:r w:rsidRPr="00003DA6">
              <w:rPr>
                <w:rFonts w:eastAsia="Times New Roman" w:cs="Calibri"/>
              </w:rPr>
              <w:t>2022</w:t>
            </w:r>
          </w:p>
        </w:tc>
        <w:tc>
          <w:tcPr>
            <w:tcW w:w="1266" w:type="dxa"/>
            <w:tcBorders>
              <w:top w:val="nil"/>
              <w:left w:val="nil"/>
              <w:bottom w:val="single" w:sz="8" w:space="0" w:color="FFD966"/>
              <w:right w:val="single" w:sz="8" w:space="0" w:color="FFD966"/>
            </w:tcBorders>
            <w:shd w:val="clear" w:color="000000" w:fill="D9E1F2"/>
            <w:noWrap/>
            <w:vAlign w:val="center"/>
            <w:hideMark/>
          </w:tcPr>
          <w:p w14:paraId="7E0BAAC0" w14:textId="77777777" w:rsidR="00C01D82" w:rsidRPr="00003DA6" w:rsidRDefault="00C01D82" w:rsidP="009B00D1">
            <w:pPr>
              <w:spacing w:line="240" w:lineRule="auto"/>
              <w:jc w:val="right"/>
              <w:rPr>
                <w:rFonts w:eastAsia="Times New Roman" w:cs="Calibri"/>
              </w:rPr>
            </w:pPr>
            <w:r w:rsidRPr="00003DA6">
              <w:rPr>
                <w:rFonts w:eastAsia="Times New Roman" w:cs="Calibri"/>
              </w:rPr>
              <w:t>2023</w:t>
            </w:r>
          </w:p>
        </w:tc>
        <w:tc>
          <w:tcPr>
            <w:tcW w:w="1266" w:type="dxa"/>
            <w:tcBorders>
              <w:top w:val="nil"/>
              <w:left w:val="nil"/>
              <w:bottom w:val="single" w:sz="8" w:space="0" w:color="FFD966"/>
              <w:right w:val="single" w:sz="8" w:space="0" w:color="FFD966"/>
            </w:tcBorders>
            <w:shd w:val="clear" w:color="000000" w:fill="D9E1F2"/>
            <w:noWrap/>
            <w:vAlign w:val="center"/>
            <w:hideMark/>
          </w:tcPr>
          <w:p w14:paraId="20A28BA0" w14:textId="77777777" w:rsidR="00C01D82" w:rsidRPr="00003DA6" w:rsidRDefault="00C01D82" w:rsidP="009B00D1">
            <w:pPr>
              <w:spacing w:line="240" w:lineRule="auto"/>
              <w:jc w:val="right"/>
              <w:rPr>
                <w:rFonts w:eastAsia="Times New Roman" w:cs="Calibri"/>
              </w:rPr>
            </w:pPr>
            <w:r w:rsidRPr="00003DA6">
              <w:rPr>
                <w:rFonts w:eastAsia="Times New Roman" w:cs="Calibri"/>
              </w:rPr>
              <w:t>2024</w:t>
            </w:r>
          </w:p>
        </w:tc>
        <w:tc>
          <w:tcPr>
            <w:tcW w:w="1266" w:type="dxa"/>
            <w:tcBorders>
              <w:top w:val="nil"/>
              <w:left w:val="nil"/>
              <w:bottom w:val="single" w:sz="8" w:space="0" w:color="FFD966"/>
              <w:right w:val="single" w:sz="8" w:space="0" w:color="FFD966"/>
            </w:tcBorders>
            <w:shd w:val="clear" w:color="000000" w:fill="D9E1F2"/>
            <w:noWrap/>
            <w:vAlign w:val="center"/>
            <w:hideMark/>
          </w:tcPr>
          <w:p w14:paraId="16D346FA" w14:textId="77777777" w:rsidR="00C01D82" w:rsidRPr="00003DA6" w:rsidRDefault="00C01D82" w:rsidP="009B00D1">
            <w:pPr>
              <w:spacing w:line="240" w:lineRule="auto"/>
              <w:jc w:val="right"/>
              <w:rPr>
                <w:rFonts w:eastAsia="Times New Roman" w:cs="Calibri"/>
              </w:rPr>
            </w:pPr>
            <w:r w:rsidRPr="00003DA6">
              <w:rPr>
                <w:rFonts w:eastAsia="Times New Roman" w:cs="Calibri"/>
              </w:rPr>
              <w:t>2025</w:t>
            </w:r>
          </w:p>
        </w:tc>
        <w:tc>
          <w:tcPr>
            <w:tcW w:w="1266" w:type="dxa"/>
            <w:tcBorders>
              <w:top w:val="nil"/>
              <w:left w:val="nil"/>
              <w:bottom w:val="single" w:sz="8" w:space="0" w:color="FFD966"/>
              <w:right w:val="single" w:sz="8" w:space="0" w:color="FFD966"/>
            </w:tcBorders>
            <w:shd w:val="clear" w:color="000000" w:fill="D9E1F2"/>
            <w:noWrap/>
            <w:vAlign w:val="center"/>
            <w:hideMark/>
          </w:tcPr>
          <w:p w14:paraId="4256B418" w14:textId="77777777" w:rsidR="00C01D82" w:rsidRPr="00003DA6" w:rsidRDefault="00C01D82" w:rsidP="009B00D1">
            <w:pPr>
              <w:spacing w:line="240" w:lineRule="auto"/>
              <w:jc w:val="right"/>
              <w:rPr>
                <w:rFonts w:eastAsia="Times New Roman" w:cs="Calibri"/>
              </w:rPr>
            </w:pPr>
            <w:r w:rsidRPr="00003DA6">
              <w:rPr>
                <w:rFonts w:eastAsia="Times New Roman" w:cs="Calibri"/>
              </w:rPr>
              <w:t>2026</w:t>
            </w:r>
          </w:p>
        </w:tc>
        <w:tc>
          <w:tcPr>
            <w:tcW w:w="1266" w:type="dxa"/>
            <w:tcBorders>
              <w:top w:val="nil"/>
              <w:left w:val="nil"/>
              <w:bottom w:val="single" w:sz="8" w:space="0" w:color="FFD966"/>
              <w:right w:val="single" w:sz="8" w:space="0" w:color="FFD966"/>
            </w:tcBorders>
            <w:shd w:val="clear" w:color="000000" w:fill="D9E1F2"/>
            <w:noWrap/>
            <w:vAlign w:val="center"/>
            <w:hideMark/>
          </w:tcPr>
          <w:p w14:paraId="1347DD4E" w14:textId="77777777" w:rsidR="00C01D82" w:rsidRPr="00003DA6" w:rsidRDefault="00C01D82" w:rsidP="009B00D1">
            <w:pPr>
              <w:spacing w:line="240" w:lineRule="auto"/>
              <w:jc w:val="right"/>
              <w:rPr>
                <w:rFonts w:eastAsia="Times New Roman" w:cs="Calibri"/>
              </w:rPr>
            </w:pPr>
            <w:r w:rsidRPr="00003DA6">
              <w:rPr>
                <w:rFonts w:eastAsia="Times New Roman" w:cs="Calibri"/>
              </w:rPr>
              <w:t>2027</w:t>
            </w:r>
          </w:p>
        </w:tc>
        <w:tc>
          <w:tcPr>
            <w:tcW w:w="1575" w:type="dxa"/>
            <w:tcBorders>
              <w:top w:val="nil"/>
              <w:left w:val="nil"/>
              <w:bottom w:val="single" w:sz="8" w:space="0" w:color="FFD966"/>
              <w:right w:val="single" w:sz="12" w:space="0" w:color="FFD966"/>
            </w:tcBorders>
            <w:shd w:val="clear" w:color="000000" w:fill="D9E1F2"/>
            <w:noWrap/>
            <w:vAlign w:val="center"/>
            <w:hideMark/>
          </w:tcPr>
          <w:p w14:paraId="4701B1FB" w14:textId="77777777" w:rsidR="00C01D82" w:rsidRPr="00003DA6" w:rsidRDefault="00C01D82" w:rsidP="009B00D1">
            <w:pPr>
              <w:spacing w:line="240" w:lineRule="auto"/>
              <w:jc w:val="right"/>
              <w:rPr>
                <w:rFonts w:eastAsia="Times New Roman" w:cs="Calibri"/>
                <w:b/>
                <w:bCs/>
                <w:i/>
                <w:iCs/>
              </w:rPr>
            </w:pPr>
            <w:r w:rsidRPr="00003DA6">
              <w:rPr>
                <w:rFonts w:eastAsia="Times New Roman" w:cs="Calibri"/>
                <w:b/>
                <w:bCs/>
                <w:i/>
                <w:iCs/>
              </w:rPr>
              <w:t>Total</w:t>
            </w:r>
          </w:p>
        </w:tc>
      </w:tr>
      <w:tr w:rsidR="00C01D82" w:rsidRPr="00003DA6" w14:paraId="6FB39992" w14:textId="77777777" w:rsidTr="009B00D1">
        <w:trPr>
          <w:gridAfter w:val="1"/>
          <w:wAfter w:w="6" w:type="dxa"/>
          <w:trHeight w:val="358"/>
        </w:trPr>
        <w:tc>
          <w:tcPr>
            <w:tcW w:w="1034" w:type="dxa"/>
            <w:tcBorders>
              <w:top w:val="nil"/>
              <w:left w:val="single" w:sz="12" w:space="0" w:color="FFD966"/>
              <w:bottom w:val="single" w:sz="12" w:space="0" w:color="FFD966"/>
              <w:right w:val="single" w:sz="8" w:space="0" w:color="FFD966"/>
            </w:tcBorders>
            <w:shd w:val="clear" w:color="auto" w:fill="auto"/>
            <w:noWrap/>
            <w:vAlign w:val="center"/>
            <w:hideMark/>
          </w:tcPr>
          <w:p w14:paraId="0AE556A5" w14:textId="77777777" w:rsidR="00C01D82" w:rsidRPr="00003DA6" w:rsidRDefault="00C01D82" w:rsidP="009B00D1">
            <w:pPr>
              <w:spacing w:line="240" w:lineRule="auto"/>
              <w:rPr>
                <w:rFonts w:eastAsia="Times New Roman" w:cs="Calibri"/>
                <w:b/>
                <w:bCs/>
                <w:i/>
                <w:iCs/>
                <w:color w:val="000000"/>
              </w:rPr>
            </w:pPr>
            <w:r w:rsidRPr="00003DA6">
              <w:rPr>
                <w:rFonts w:eastAsia="Times New Roman" w:cs="Calibri"/>
                <w:b/>
                <w:bCs/>
                <w:i/>
                <w:iCs/>
                <w:color w:val="000000"/>
              </w:rPr>
              <w:t>Amount</w:t>
            </w:r>
          </w:p>
        </w:tc>
        <w:tc>
          <w:tcPr>
            <w:tcW w:w="1266" w:type="dxa"/>
            <w:tcBorders>
              <w:top w:val="nil"/>
              <w:left w:val="nil"/>
              <w:bottom w:val="single" w:sz="12" w:space="0" w:color="FFD966"/>
              <w:right w:val="single" w:sz="8" w:space="0" w:color="FFD966"/>
            </w:tcBorders>
            <w:shd w:val="clear" w:color="auto" w:fill="auto"/>
            <w:noWrap/>
            <w:vAlign w:val="center"/>
            <w:hideMark/>
          </w:tcPr>
          <w:p w14:paraId="1B39B9A8"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$1,000,000 </w:t>
            </w:r>
          </w:p>
        </w:tc>
        <w:tc>
          <w:tcPr>
            <w:tcW w:w="1266" w:type="dxa"/>
            <w:tcBorders>
              <w:top w:val="nil"/>
              <w:left w:val="nil"/>
              <w:bottom w:val="single" w:sz="12" w:space="0" w:color="FFD966"/>
              <w:right w:val="single" w:sz="8" w:space="0" w:color="FFD966"/>
            </w:tcBorders>
            <w:shd w:val="clear" w:color="auto" w:fill="auto"/>
            <w:noWrap/>
            <w:vAlign w:val="center"/>
            <w:hideMark/>
          </w:tcPr>
          <w:p w14:paraId="109420F9"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$1,022,000 </w:t>
            </w:r>
          </w:p>
        </w:tc>
        <w:tc>
          <w:tcPr>
            <w:tcW w:w="1266" w:type="dxa"/>
            <w:tcBorders>
              <w:top w:val="nil"/>
              <w:left w:val="nil"/>
              <w:bottom w:val="single" w:sz="12" w:space="0" w:color="FFD966"/>
              <w:right w:val="single" w:sz="8" w:space="0" w:color="FFD966"/>
            </w:tcBorders>
            <w:shd w:val="clear" w:color="auto" w:fill="auto"/>
            <w:noWrap/>
            <w:vAlign w:val="center"/>
            <w:hideMark/>
          </w:tcPr>
          <w:p w14:paraId="1DC1BA1D"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$1,044,000 </w:t>
            </w:r>
          </w:p>
        </w:tc>
        <w:tc>
          <w:tcPr>
            <w:tcW w:w="1266" w:type="dxa"/>
            <w:tcBorders>
              <w:top w:val="nil"/>
              <w:left w:val="nil"/>
              <w:bottom w:val="single" w:sz="12" w:space="0" w:color="FFD966"/>
              <w:right w:val="single" w:sz="8" w:space="0" w:color="FFD966"/>
            </w:tcBorders>
            <w:shd w:val="clear" w:color="auto" w:fill="auto"/>
            <w:noWrap/>
            <w:vAlign w:val="center"/>
            <w:hideMark/>
          </w:tcPr>
          <w:p w14:paraId="2C0DB338"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$1,067,000 </w:t>
            </w:r>
          </w:p>
        </w:tc>
        <w:tc>
          <w:tcPr>
            <w:tcW w:w="1266" w:type="dxa"/>
            <w:tcBorders>
              <w:top w:val="nil"/>
              <w:left w:val="nil"/>
              <w:bottom w:val="single" w:sz="12" w:space="0" w:color="FFD966"/>
              <w:right w:val="single" w:sz="8" w:space="0" w:color="FFD966"/>
            </w:tcBorders>
            <w:shd w:val="clear" w:color="auto" w:fill="auto"/>
            <w:noWrap/>
            <w:vAlign w:val="center"/>
            <w:hideMark/>
          </w:tcPr>
          <w:p w14:paraId="24A1262A"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$1,091,000 </w:t>
            </w:r>
          </w:p>
        </w:tc>
        <w:tc>
          <w:tcPr>
            <w:tcW w:w="1266" w:type="dxa"/>
            <w:tcBorders>
              <w:top w:val="nil"/>
              <w:left w:val="nil"/>
              <w:bottom w:val="single" w:sz="12" w:space="0" w:color="FFD966"/>
              <w:right w:val="single" w:sz="8" w:space="0" w:color="FFD966"/>
            </w:tcBorders>
            <w:shd w:val="clear" w:color="auto" w:fill="auto"/>
            <w:noWrap/>
            <w:vAlign w:val="center"/>
            <w:hideMark/>
          </w:tcPr>
          <w:p w14:paraId="5541E349"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$1,115,000 </w:t>
            </w:r>
          </w:p>
        </w:tc>
        <w:tc>
          <w:tcPr>
            <w:tcW w:w="1575" w:type="dxa"/>
            <w:tcBorders>
              <w:top w:val="nil"/>
              <w:left w:val="nil"/>
              <w:bottom w:val="single" w:sz="12" w:space="0" w:color="FFD966"/>
              <w:right w:val="single" w:sz="12" w:space="0" w:color="FFD966"/>
            </w:tcBorders>
            <w:shd w:val="clear" w:color="auto" w:fill="auto"/>
            <w:noWrap/>
            <w:vAlign w:val="center"/>
            <w:hideMark/>
          </w:tcPr>
          <w:p w14:paraId="5BB9530A" w14:textId="77777777" w:rsidR="00C01D82" w:rsidRPr="00003DA6" w:rsidRDefault="00C01D82" w:rsidP="009B00D1">
            <w:pPr>
              <w:spacing w:line="240" w:lineRule="auto"/>
              <w:jc w:val="right"/>
              <w:rPr>
                <w:rFonts w:eastAsia="Times New Roman" w:cs="Calibri"/>
                <w:b/>
                <w:bCs/>
                <w:color w:val="000000"/>
              </w:rPr>
            </w:pPr>
            <w:r w:rsidRPr="00003DA6">
              <w:rPr>
                <w:rFonts w:eastAsia="Times New Roman" w:cs="Calibri"/>
                <w:b/>
                <w:bCs/>
                <w:color w:val="000000"/>
              </w:rPr>
              <w:t xml:space="preserve">$6,340,000 </w:t>
            </w:r>
          </w:p>
        </w:tc>
      </w:tr>
    </w:tbl>
    <w:p w14:paraId="5817684E" w14:textId="77777777" w:rsidR="00C01D82" w:rsidRDefault="00C01D82" w:rsidP="00C01D82">
      <w:pPr>
        <w:contextualSpacing/>
        <w:rPr>
          <w:rFonts w:eastAsia="Calibri" w:cs="Calibri"/>
          <w:b/>
          <w:bCs/>
          <w:color w:val="000000" w:themeColor="text1"/>
        </w:rPr>
      </w:pPr>
    </w:p>
    <w:p w14:paraId="15095254" w14:textId="01348D9F" w:rsidR="00C01D82" w:rsidRDefault="00C01D82" w:rsidP="00C01D82">
      <w:pPr>
        <w:contextualSpacing/>
        <w:rPr>
          <w:rFonts w:eastAsia="Calibri" w:cs="Calibri"/>
          <w:color w:val="000000" w:themeColor="text1"/>
        </w:rPr>
      </w:pPr>
      <w:r w:rsidRPr="3863ED53">
        <w:rPr>
          <w:rFonts w:eastAsia="Calibri" w:cs="Calibri"/>
          <w:b/>
          <w:bCs/>
          <w:color w:val="000000" w:themeColor="text1"/>
        </w:rPr>
        <w:t>Description</w:t>
      </w:r>
      <w:r w:rsidR="00675C8A">
        <w:rPr>
          <w:rFonts w:eastAsia="Calibri" w:cs="Calibri"/>
          <w:b/>
          <w:bCs/>
          <w:color w:val="000000" w:themeColor="text1"/>
        </w:rPr>
        <w:t>:</w:t>
      </w:r>
    </w:p>
    <w:p w14:paraId="21A819C3" w14:textId="34D070A0" w:rsidR="00C01D82" w:rsidRDefault="00C01D82" w:rsidP="00C01D82">
      <w:pPr>
        <w:contextualSpacing/>
        <w:rPr>
          <w:rFonts w:eastAsia="Calibri" w:cs="Calibri"/>
          <w:color w:val="000000" w:themeColor="text1"/>
        </w:rPr>
      </w:pPr>
      <w:r w:rsidRPr="3863ED53">
        <w:rPr>
          <w:rFonts w:eastAsia="Calibri" w:cs="Calibri"/>
          <w:color w:val="000000" w:themeColor="text1"/>
        </w:rPr>
        <w:t>Healthy and Safe Environments (HSE)</w:t>
      </w:r>
      <w:r w:rsidRPr="3863ED53" w:rsidDel="003117BF">
        <w:rPr>
          <w:rFonts w:eastAsia="Calibri" w:cs="Calibri"/>
          <w:color w:val="000000" w:themeColor="text1"/>
        </w:rPr>
        <w:t xml:space="preserve"> </w:t>
      </w:r>
      <w:r>
        <w:rPr>
          <w:rFonts w:eastAsia="Calibri" w:cs="Calibri"/>
          <w:color w:val="000000" w:themeColor="text1"/>
        </w:rPr>
        <w:t>funds</w:t>
      </w:r>
      <w:r w:rsidRPr="3863ED53">
        <w:rPr>
          <w:rFonts w:eastAsia="Calibri" w:cs="Calibri"/>
          <w:color w:val="000000" w:themeColor="text1"/>
        </w:rPr>
        <w:t xml:space="preserve"> communities impacted by inequities to improve the spaces in which children, youth and families live, learn, work, and play</w:t>
      </w:r>
      <w:r w:rsidRPr="1BF2F0B1">
        <w:rPr>
          <w:rFonts w:eastAsia="Calibri" w:cs="Calibri"/>
          <w:color w:val="000000" w:themeColor="text1"/>
        </w:rPr>
        <w:t xml:space="preserve"> and support</w:t>
      </w:r>
      <w:r w:rsidRPr="1BF2F0B1">
        <w:rPr>
          <w:rFonts w:eastAsia="Calibri" w:cs="Calibri"/>
          <w:color w:val="1D1D1D"/>
        </w:rPr>
        <w:t xml:space="preserve"> sustainable, healthy behaviors and long-term positive outcomes</w:t>
      </w:r>
      <w:r w:rsidRPr="1BF2F0B1">
        <w:rPr>
          <w:rFonts w:eastAsia="Calibri" w:cs="Calibri"/>
          <w:color w:val="000000" w:themeColor="text1"/>
        </w:rPr>
        <w:t>.</w:t>
      </w:r>
      <w:r w:rsidRPr="3863ED53">
        <w:rPr>
          <w:rFonts w:eastAsia="Calibri" w:cs="Calibri"/>
          <w:color w:val="000000" w:themeColor="text1"/>
        </w:rPr>
        <w:t xml:space="preserve"> HSE funds community partners </w:t>
      </w:r>
      <w:r w:rsidR="6B344720" w:rsidRPr="3863ED53">
        <w:rPr>
          <w:rFonts w:eastAsia="Calibri" w:cs="Calibri"/>
          <w:color w:val="000000" w:themeColor="text1"/>
        </w:rPr>
        <w:t>empowering</w:t>
      </w:r>
      <w:r w:rsidR="770DFE30" w:rsidRPr="3863ED53">
        <w:rPr>
          <w:rFonts w:eastAsia="Calibri" w:cs="Calibri"/>
          <w:color w:val="000000" w:themeColor="text1"/>
        </w:rPr>
        <w:t xml:space="preserve"> youth</w:t>
      </w:r>
      <w:r w:rsidRPr="3863ED53">
        <w:rPr>
          <w:rFonts w:eastAsia="Calibri" w:cs="Calibri"/>
          <w:color w:val="000000" w:themeColor="text1"/>
        </w:rPr>
        <w:t xml:space="preserve"> to transform </w:t>
      </w:r>
      <w:r w:rsidR="76322B0C" w:rsidRPr="3863ED53">
        <w:rPr>
          <w:rFonts w:eastAsia="Calibri" w:cs="Calibri"/>
          <w:color w:val="000000" w:themeColor="text1"/>
        </w:rPr>
        <w:t>systems, environment</w:t>
      </w:r>
      <w:r w:rsidR="74ED2679" w:rsidRPr="3863ED53">
        <w:rPr>
          <w:rFonts w:eastAsia="Calibri" w:cs="Calibri"/>
          <w:color w:val="000000" w:themeColor="text1"/>
        </w:rPr>
        <w:t>s</w:t>
      </w:r>
      <w:r w:rsidR="76322B0C" w:rsidRPr="3863ED53">
        <w:rPr>
          <w:rFonts w:eastAsia="Calibri" w:cs="Calibri"/>
          <w:color w:val="000000" w:themeColor="text1"/>
        </w:rPr>
        <w:t>, and policies to decrease and prevent continued inequit</w:t>
      </w:r>
      <w:r w:rsidR="1735CCD4" w:rsidRPr="3863ED53">
        <w:rPr>
          <w:rFonts w:eastAsia="Calibri" w:cs="Calibri"/>
          <w:color w:val="000000" w:themeColor="text1"/>
        </w:rPr>
        <w:t>y</w:t>
      </w:r>
      <w:r w:rsidR="76322B0C" w:rsidRPr="3863ED53">
        <w:rPr>
          <w:rFonts w:eastAsia="Calibri" w:cs="Calibri"/>
          <w:color w:val="000000" w:themeColor="text1"/>
        </w:rPr>
        <w:t xml:space="preserve"> in their </w:t>
      </w:r>
      <w:r w:rsidRPr="3863ED53">
        <w:rPr>
          <w:rFonts w:eastAsia="Calibri" w:cs="Calibri"/>
          <w:color w:val="000000" w:themeColor="text1"/>
        </w:rPr>
        <w:t>communities. HSE focus areas include increasing access to healthy and affordable foods, increasing opportunities for physical activity, reducing exposure to unhealthy products and dangerous substances, and creating safe and health promoting environments.</w:t>
      </w:r>
      <w:r w:rsidRPr="1BF2F0B1">
        <w:rPr>
          <w:rFonts w:eastAsia="Calibri" w:cs="Calibri"/>
          <w:color w:val="000000" w:themeColor="text1"/>
        </w:rPr>
        <w:t xml:space="preserve"> </w:t>
      </w:r>
      <w:r w:rsidRPr="1BF2F0B1">
        <w:rPr>
          <w:rFonts w:eastAsia="Calibri" w:cs="Calibri"/>
          <w:color w:val="1D1D1D"/>
        </w:rPr>
        <w:t>HSE includes and addresses recommendations from the National Academy of Medicine</w:t>
      </w:r>
      <w:r w:rsidRPr="00B635FA">
        <w:rPr>
          <w:rFonts w:eastAsia="Calibri" w:cs="Calibri"/>
          <w:color w:val="000000" w:themeColor="text1"/>
        </w:rPr>
        <w:t>, including:</w:t>
      </w:r>
      <w:r w:rsidR="004D6F4C" w:rsidRPr="004D6F4C">
        <w:rPr>
          <w:rStyle w:val="FootnoteReference"/>
          <w:rFonts w:eastAsia="Calibri" w:cs="Calibri"/>
          <w:color w:val="1D1D1D"/>
        </w:rPr>
        <w:t xml:space="preserve"> </w:t>
      </w:r>
      <w:r w:rsidR="004D6F4C" w:rsidRPr="1BF2F0B1">
        <w:rPr>
          <w:rStyle w:val="FootnoteReference"/>
          <w:rFonts w:eastAsia="Calibri" w:cs="Calibri"/>
          <w:color w:val="1D1D1D"/>
        </w:rPr>
        <w:footnoteReference w:id="186"/>
      </w:r>
    </w:p>
    <w:p w14:paraId="48F11EFD" w14:textId="77777777" w:rsidR="00C01D82" w:rsidRDefault="00C01D82" w:rsidP="00675C8A">
      <w:pPr>
        <w:pStyle w:val="ListParagraph"/>
        <w:numPr>
          <w:ilvl w:val="0"/>
          <w:numId w:val="2"/>
        </w:numPr>
        <w:contextualSpacing w:val="0"/>
        <w:rPr>
          <w:color w:val="1D1D1D"/>
        </w:rPr>
      </w:pPr>
      <w:r>
        <w:rPr>
          <w:rFonts w:eastAsia="Calibri" w:cs="Calibri"/>
          <w:color w:val="1D1D1D"/>
        </w:rPr>
        <w:t>Increase</w:t>
      </w:r>
      <w:r w:rsidRPr="3863ED53">
        <w:rPr>
          <w:rFonts w:eastAsia="Calibri" w:cs="Calibri"/>
          <w:color w:val="1D1D1D"/>
        </w:rPr>
        <w:t xml:space="preserve"> community and neighborhood empowerment</w:t>
      </w:r>
      <w:r>
        <w:rPr>
          <w:rFonts w:eastAsia="Calibri" w:cs="Calibri"/>
          <w:color w:val="1D1D1D"/>
        </w:rPr>
        <w:t>.</w:t>
      </w:r>
    </w:p>
    <w:p w14:paraId="653E9EE2"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Establish strategic partnerships</w:t>
      </w:r>
      <w:r>
        <w:rPr>
          <w:rFonts w:eastAsia="Calibri" w:cs="Calibri"/>
          <w:color w:val="1D1D1D"/>
        </w:rPr>
        <w:t>.</w:t>
      </w:r>
    </w:p>
    <w:p w14:paraId="2E622F2D"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Educate stakeholders and decision-makers</w:t>
      </w:r>
      <w:r>
        <w:rPr>
          <w:rFonts w:eastAsia="Calibri" w:cs="Calibri"/>
          <w:color w:val="1D1D1D"/>
        </w:rPr>
        <w:t>.</w:t>
      </w:r>
    </w:p>
    <w:p w14:paraId="07B89A7B"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Identify community leaders and build on existing resources</w:t>
      </w:r>
      <w:r>
        <w:rPr>
          <w:rFonts w:eastAsia="Calibri" w:cs="Calibri"/>
          <w:color w:val="1D1D1D"/>
        </w:rPr>
        <w:t>.</w:t>
      </w:r>
    </w:p>
    <w:p w14:paraId="500B1EF3"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Gather and use relevant data</w:t>
      </w:r>
      <w:r>
        <w:rPr>
          <w:rFonts w:eastAsia="Calibri" w:cs="Calibri"/>
          <w:color w:val="1D1D1D"/>
        </w:rPr>
        <w:t>.</w:t>
      </w:r>
    </w:p>
    <w:p w14:paraId="55AF27F1"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Maintain a focus on evaluation throughout the PSE change process</w:t>
      </w:r>
      <w:r>
        <w:rPr>
          <w:rFonts w:eastAsia="Calibri" w:cs="Calibri"/>
          <w:color w:val="1D1D1D"/>
        </w:rPr>
        <w:t>.</w:t>
      </w:r>
    </w:p>
    <w:p w14:paraId="3B9C3652" w14:textId="77777777" w:rsidR="00C01D82" w:rsidRPr="00A5510E" w:rsidRDefault="00C01D82" w:rsidP="00675C8A">
      <w:pPr>
        <w:pStyle w:val="ListParagraph"/>
        <w:numPr>
          <w:ilvl w:val="0"/>
          <w:numId w:val="2"/>
        </w:numPr>
        <w:contextualSpacing w:val="0"/>
        <w:rPr>
          <w:color w:val="1D1D1D"/>
        </w:rPr>
      </w:pPr>
      <w:r w:rsidRPr="3863ED53">
        <w:rPr>
          <w:rFonts w:eastAsia="Calibri" w:cs="Calibri"/>
          <w:color w:val="1D1D1D"/>
        </w:rPr>
        <w:t>Share successful strategies with other communities</w:t>
      </w:r>
      <w:r>
        <w:rPr>
          <w:rFonts w:eastAsia="Calibri" w:cs="Calibri"/>
          <w:color w:val="1D1D1D"/>
        </w:rPr>
        <w:t>.</w:t>
      </w:r>
    </w:p>
    <w:p w14:paraId="72DCC599" w14:textId="77777777" w:rsidR="00C01D82" w:rsidRDefault="00C01D82" w:rsidP="00C01D82">
      <w:pPr>
        <w:rPr>
          <w:rFonts w:eastAsia="Calibri" w:cs="Arial"/>
          <w:color w:val="1D1D1D"/>
        </w:rPr>
      </w:pPr>
    </w:p>
    <w:p w14:paraId="1A95684F" w14:textId="0FA71186" w:rsidR="00C01D82" w:rsidRDefault="00C01D82" w:rsidP="00C01D82">
      <w:pPr>
        <w:rPr>
          <w:rFonts w:eastAsia="Calibri" w:cs="Calibri"/>
          <w:b/>
          <w:bCs/>
          <w:color w:val="1D1D1D"/>
        </w:rPr>
      </w:pPr>
      <w:r>
        <w:rPr>
          <w:rFonts w:eastAsia="Calibri" w:cs="Calibri"/>
          <w:b/>
          <w:bCs/>
          <w:color w:val="1D1D1D"/>
        </w:rPr>
        <w:t>No Planned Refinements</w:t>
      </w:r>
      <w:r w:rsidR="00675C8A">
        <w:rPr>
          <w:rFonts w:eastAsia="Calibri" w:cs="Calibri"/>
          <w:b/>
          <w:bCs/>
          <w:color w:val="1D1D1D"/>
        </w:rPr>
        <w:t>.</w:t>
      </w:r>
    </w:p>
    <w:p w14:paraId="70CF5D90" w14:textId="77777777" w:rsidR="00C01D82" w:rsidRDefault="00C01D82" w:rsidP="00C01D82">
      <w:pPr>
        <w:rPr>
          <w:rFonts w:eastAsia="Calibri" w:cs="Arial"/>
          <w:b/>
          <w:bCs/>
          <w:color w:val="1D1D1D"/>
        </w:rPr>
      </w:pPr>
    </w:p>
    <w:p w14:paraId="5E45465C" w14:textId="182F3834" w:rsidR="00C01D82" w:rsidRDefault="00C01D82" w:rsidP="00C01D82">
      <w:pPr>
        <w:pStyle w:val="CommentText"/>
      </w:pPr>
      <w:r w:rsidRPr="351B1C68">
        <w:rPr>
          <w:rFonts w:eastAsia="Calibri" w:cs="Calibri"/>
          <w:b/>
          <w:bCs/>
          <w:color w:val="1D1D1D"/>
        </w:rPr>
        <w:t xml:space="preserve">Approximate </w:t>
      </w:r>
      <w:r>
        <w:rPr>
          <w:rFonts w:eastAsia="Calibri" w:cs="Calibri"/>
          <w:b/>
          <w:bCs/>
          <w:color w:val="1D1D1D"/>
        </w:rPr>
        <w:t xml:space="preserve">Scope:  </w:t>
      </w:r>
      <w:r>
        <w:t xml:space="preserve">HSE will fund between </w:t>
      </w:r>
      <w:r w:rsidR="009B2F12">
        <w:t xml:space="preserve">eight and </w:t>
      </w:r>
      <w:r>
        <w:t xml:space="preserve">12 organizations </w:t>
      </w:r>
      <w:r w:rsidR="009B2F12">
        <w:t>reaching</w:t>
      </w:r>
      <w:r>
        <w:t xml:space="preserve"> between 20,000 </w:t>
      </w:r>
      <w:r w:rsidR="009B2F12">
        <w:t xml:space="preserve">and </w:t>
      </w:r>
      <w:r>
        <w:t>70,000</w:t>
      </w:r>
      <w:r w:rsidR="009B2F12">
        <w:t xml:space="preserve"> people</w:t>
      </w:r>
      <w:r>
        <w:t>.</w:t>
      </w:r>
    </w:p>
    <w:p w14:paraId="22A92ABD" w14:textId="77777777" w:rsidR="00C01D82" w:rsidRDefault="00C01D82" w:rsidP="00C01D82">
      <w:pPr>
        <w:rPr>
          <w:rFonts w:eastAsia="Calibri" w:cs="Arial"/>
          <w:b/>
          <w:bCs/>
          <w:color w:val="1D1D1D"/>
        </w:rPr>
      </w:pPr>
    </w:p>
    <w:p w14:paraId="4ED95D0A" w14:textId="3B6A947A" w:rsidR="00C01D82" w:rsidRDefault="00C01D82" w:rsidP="00C01D82">
      <w:pPr>
        <w:contextualSpacing/>
        <w:rPr>
          <w:rFonts w:eastAsia="Calibri" w:cs="Calibri"/>
          <w:color w:val="000000" w:themeColor="text1"/>
        </w:rPr>
      </w:pPr>
      <w:r w:rsidRPr="351B1C68">
        <w:rPr>
          <w:rFonts w:eastAsia="Calibri" w:cs="Calibri"/>
          <w:b/>
          <w:bCs/>
          <w:color w:val="1D1D1D"/>
        </w:rPr>
        <w:t>Anticipated Timeline:</w:t>
      </w:r>
      <w:r>
        <w:rPr>
          <w:rFonts w:eastAsia="Calibri" w:cs="Calibri"/>
          <w:b/>
          <w:bCs/>
          <w:color w:val="1D1D1D"/>
        </w:rPr>
        <w:t xml:space="preserve"> </w:t>
      </w:r>
      <w:r w:rsidRPr="00676FE6">
        <w:rPr>
          <w:rFonts w:cs="Calibri"/>
          <w:color w:val="000000"/>
          <w:shd w:val="clear" w:color="auto" w:fill="FFFFFF"/>
        </w:rPr>
        <w:t>Release RFP </w:t>
      </w:r>
      <w:r>
        <w:rPr>
          <w:rFonts w:cs="Calibri"/>
          <w:color w:val="000000"/>
          <w:shd w:val="clear" w:color="auto" w:fill="FFFFFF"/>
        </w:rPr>
        <w:t>Q3</w:t>
      </w:r>
      <w:r w:rsidRPr="00676FE6">
        <w:rPr>
          <w:rFonts w:cs="Calibri"/>
          <w:color w:val="000000"/>
          <w:shd w:val="clear" w:color="auto" w:fill="FFFFFF"/>
        </w:rPr>
        <w:t xml:space="preserve"> 2021</w:t>
      </w:r>
      <w:r>
        <w:rPr>
          <w:rFonts w:cs="Calibri"/>
          <w:color w:val="000000"/>
          <w:shd w:val="clear" w:color="auto" w:fill="FFFFFF"/>
        </w:rPr>
        <w:t>.</w:t>
      </w:r>
    </w:p>
    <w:p w14:paraId="3756763F" w14:textId="77777777" w:rsidR="00E24924" w:rsidRPr="00F245F7" w:rsidRDefault="00E24924" w:rsidP="009230D5">
      <w:pPr>
        <w:pStyle w:val="paragraph"/>
        <w:numPr>
          <w:ilvl w:val="0"/>
          <w:numId w:val="20"/>
        </w:numPr>
        <w:spacing w:beforeAutospacing="0" w:after="0" w:afterAutospacing="0" w:line="240" w:lineRule="auto"/>
        <w:rPr>
          <w:rFonts w:eastAsiaTheme="minorEastAsia" w:cs="Calibri"/>
          <w:b/>
          <w:szCs w:val="22"/>
          <w:lang w:val="en"/>
        </w:rPr>
      </w:pPr>
    </w:p>
    <w:p w14:paraId="172E4893" w14:textId="77777777" w:rsidR="007B6484" w:rsidRDefault="007B6484">
      <w:bookmarkStart w:id="76" w:name="Positive_Family_Connections"/>
      <w:r>
        <w:br w:type="page"/>
      </w:r>
    </w:p>
    <w:tbl>
      <w:tblPr>
        <w:tblStyle w:val="TableGrid"/>
        <w:tblpPr w:leftFromText="180" w:rightFromText="180" w:vertAnchor="text" w:horzAnchor="margin" w:tblpX="-120" w:tblpY="88"/>
        <w:tblW w:w="9600" w:type="dxa"/>
        <w:tblLook w:val="04A0" w:firstRow="1" w:lastRow="0" w:firstColumn="1" w:lastColumn="0" w:noHBand="0" w:noVBand="1"/>
      </w:tblPr>
      <w:tblGrid>
        <w:gridCol w:w="9600"/>
      </w:tblGrid>
      <w:tr w:rsidR="00E24924" w:rsidRPr="00D03F1F" w14:paraId="10419BA5" w14:textId="77777777" w:rsidTr="00934B25">
        <w:trPr>
          <w:trHeight w:val="352"/>
        </w:trPr>
        <w:tc>
          <w:tcPr>
            <w:tcW w:w="960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0B0314CC" w14:textId="45F42404" w:rsidR="00E24924" w:rsidRPr="008029DC" w:rsidRDefault="00E24924" w:rsidP="00E24924">
            <w:pPr>
              <w:contextualSpacing/>
              <w:rPr>
                <w:rFonts w:cs="Calibri"/>
              </w:rPr>
            </w:pPr>
            <w:r w:rsidRPr="008B5A1F">
              <w:rPr>
                <w:rFonts w:eastAsia="Calibri" w:cs="Calibri"/>
                <w:b/>
                <w:color w:val="000000" w:themeColor="text1"/>
                <w:sz w:val="28"/>
                <w:szCs w:val="28"/>
              </w:rPr>
              <w:lastRenderedPageBreak/>
              <w:t>Positive Family Connections</w:t>
            </w:r>
            <w:r w:rsidRPr="008029DC">
              <w:rPr>
                <w:rFonts w:eastAsia="Calibri" w:cs="Calibri"/>
                <w:b/>
                <w:color w:val="000000" w:themeColor="text1"/>
              </w:rPr>
              <w:t xml:space="preserve"> </w:t>
            </w:r>
            <w:bookmarkEnd w:id="76"/>
            <w:r w:rsidRPr="008029DC">
              <w:rPr>
                <w:rFonts w:eastAsia="Calibri" w:cs="Calibri"/>
                <w:color w:val="000000" w:themeColor="text1"/>
              </w:rPr>
              <w:t xml:space="preserve">(formerly Family Engagement) </w:t>
            </w:r>
          </w:p>
        </w:tc>
      </w:tr>
    </w:tbl>
    <w:tbl>
      <w:tblPr>
        <w:tblW w:w="9630" w:type="dxa"/>
        <w:tblInd w:w="-90" w:type="dxa"/>
        <w:tblLook w:val="04A0" w:firstRow="1" w:lastRow="0" w:firstColumn="1" w:lastColumn="0" w:noHBand="0" w:noVBand="1"/>
      </w:tblPr>
      <w:tblGrid>
        <w:gridCol w:w="1066"/>
        <w:gridCol w:w="1205"/>
        <w:gridCol w:w="1204"/>
        <w:gridCol w:w="1204"/>
        <w:gridCol w:w="1204"/>
        <w:gridCol w:w="1204"/>
        <w:gridCol w:w="1204"/>
        <w:gridCol w:w="1339"/>
      </w:tblGrid>
      <w:tr w:rsidR="00EE6CBE" w:rsidRPr="00CB236B" w14:paraId="6111014C" w14:textId="77777777" w:rsidTr="00934B25">
        <w:trPr>
          <w:trHeight w:val="316"/>
        </w:trPr>
        <w:tc>
          <w:tcPr>
            <w:tcW w:w="9630" w:type="dxa"/>
            <w:gridSpan w:val="8"/>
            <w:tcBorders>
              <w:top w:val="nil"/>
              <w:left w:val="nil"/>
              <w:bottom w:val="single" w:sz="12" w:space="0" w:color="FFD966"/>
              <w:right w:val="nil"/>
            </w:tcBorders>
            <w:shd w:val="clear" w:color="auto" w:fill="auto"/>
            <w:noWrap/>
            <w:vAlign w:val="bottom"/>
            <w:hideMark/>
          </w:tcPr>
          <w:p w14:paraId="3FFCD1FF" w14:textId="77777777" w:rsidR="00E24924" w:rsidRPr="00CB236B" w:rsidRDefault="00E24924" w:rsidP="009B00D1">
            <w:pPr>
              <w:spacing w:line="240" w:lineRule="auto"/>
              <w:rPr>
                <w:rFonts w:eastAsia="Times New Roman" w:cs="Calibri"/>
                <w:b/>
                <w:bCs/>
                <w:i/>
                <w:iCs/>
                <w:color w:val="000000"/>
              </w:rPr>
            </w:pPr>
            <w:r w:rsidRPr="00CB236B">
              <w:rPr>
                <w:rFonts w:eastAsia="Times New Roman" w:cs="Calibri"/>
                <w:b/>
                <w:bCs/>
                <w:i/>
                <w:iCs/>
                <w:color w:val="000000"/>
              </w:rPr>
              <w:t>Funding Estimate:</w:t>
            </w:r>
          </w:p>
        </w:tc>
      </w:tr>
      <w:tr w:rsidR="000D3F14" w:rsidRPr="00CB236B" w14:paraId="7872457D" w14:textId="77777777" w:rsidTr="00934B25">
        <w:trPr>
          <w:trHeight w:val="422"/>
        </w:trPr>
        <w:tc>
          <w:tcPr>
            <w:tcW w:w="1066" w:type="dxa"/>
            <w:tcBorders>
              <w:top w:val="nil"/>
              <w:left w:val="single" w:sz="12" w:space="0" w:color="FFD966"/>
              <w:bottom w:val="single" w:sz="8" w:space="0" w:color="FFD966"/>
              <w:right w:val="single" w:sz="8" w:space="0" w:color="FFD966"/>
            </w:tcBorders>
            <w:shd w:val="clear" w:color="000000" w:fill="D9E1F2"/>
            <w:noWrap/>
            <w:vAlign w:val="center"/>
            <w:hideMark/>
          </w:tcPr>
          <w:p w14:paraId="646B9C65" w14:textId="77777777" w:rsidR="00E24924" w:rsidRPr="00CB236B" w:rsidRDefault="00E24924" w:rsidP="009B00D1">
            <w:pPr>
              <w:spacing w:line="240" w:lineRule="auto"/>
              <w:rPr>
                <w:rFonts w:eastAsia="Times New Roman" w:cs="Calibri"/>
                <w:b/>
                <w:bCs/>
                <w:i/>
                <w:iCs/>
              </w:rPr>
            </w:pPr>
            <w:r w:rsidRPr="00CB236B">
              <w:rPr>
                <w:rFonts w:eastAsia="Times New Roman" w:cs="Calibri"/>
                <w:b/>
                <w:bCs/>
                <w:i/>
                <w:iCs/>
              </w:rPr>
              <w:t>Year</w:t>
            </w:r>
          </w:p>
        </w:tc>
        <w:tc>
          <w:tcPr>
            <w:tcW w:w="1205" w:type="dxa"/>
            <w:tcBorders>
              <w:top w:val="nil"/>
              <w:left w:val="nil"/>
              <w:bottom w:val="single" w:sz="8" w:space="0" w:color="FFD966"/>
              <w:right w:val="single" w:sz="8" w:space="0" w:color="FFD966"/>
            </w:tcBorders>
            <w:shd w:val="clear" w:color="000000" w:fill="D9E1F2"/>
            <w:noWrap/>
            <w:vAlign w:val="center"/>
            <w:hideMark/>
          </w:tcPr>
          <w:p w14:paraId="0F5BBC17" w14:textId="77777777" w:rsidR="00E24924" w:rsidRPr="00CB236B" w:rsidRDefault="00E24924" w:rsidP="009B00D1">
            <w:pPr>
              <w:spacing w:line="240" w:lineRule="auto"/>
              <w:jc w:val="right"/>
              <w:rPr>
                <w:rFonts w:eastAsia="Times New Roman" w:cs="Calibri"/>
              </w:rPr>
            </w:pPr>
            <w:r w:rsidRPr="00CB236B">
              <w:rPr>
                <w:rFonts w:eastAsia="Times New Roman" w:cs="Calibri"/>
              </w:rPr>
              <w:t>2022</w:t>
            </w:r>
          </w:p>
        </w:tc>
        <w:tc>
          <w:tcPr>
            <w:tcW w:w="1204" w:type="dxa"/>
            <w:tcBorders>
              <w:top w:val="nil"/>
              <w:left w:val="nil"/>
              <w:bottom w:val="single" w:sz="8" w:space="0" w:color="FFD966"/>
              <w:right w:val="single" w:sz="8" w:space="0" w:color="FFD966"/>
            </w:tcBorders>
            <w:shd w:val="clear" w:color="000000" w:fill="D9E1F2"/>
            <w:noWrap/>
            <w:vAlign w:val="center"/>
            <w:hideMark/>
          </w:tcPr>
          <w:p w14:paraId="4D4B7953" w14:textId="77777777" w:rsidR="00E24924" w:rsidRPr="00CB236B" w:rsidRDefault="00E24924" w:rsidP="009B00D1">
            <w:pPr>
              <w:spacing w:line="240" w:lineRule="auto"/>
              <w:jc w:val="right"/>
              <w:rPr>
                <w:rFonts w:eastAsia="Times New Roman" w:cs="Calibri"/>
              </w:rPr>
            </w:pPr>
            <w:r w:rsidRPr="00CB236B">
              <w:rPr>
                <w:rFonts w:eastAsia="Times New Roman" w:cs="Calibri"/>
              </w:rPr>
              <w:t>2023</w:t>
            </w:r>
          </w:p>
        </w:tc>
        <w:tc>
          <w:tcPr>
            <w:tcW w:w="1204" w:type="dxa"/>
            <w:tcBorders>
              <w:top w:val="nil"/>
              <w:left w:val="nil"/>
              <w:bottom w:val="single" w:sz="8" w:space="0" w:color="FFD966"/>
              <w:right w:val="single" w:sz="8" w:space="0" w:color="FFD966"/>
            </w:tcBorders>
            <w:shd w:val="clear" w:color="000000" w:fill="D9E1F2"/>
            <w:noWrap/>
            <w:vAlign w:val="center"/>
            <w:hideMark/>
          </w:tcPr>
          <w:p w14:paraId="637A3D1E" w14:textId="77777777" w:rsidR="00E24924" w:rsidRPr="00CB236B" w:rsidRDefault="00E24924" w:rsidP="009B00D1">
            <w:pPr>
              <w:spacing w:line="240" w:lineRule="auto"/>
              <w:jc w:val="right"/>
              <w:rPr>
                <w:rFonts w:eastAsia="Times New Roman" w:cs="Calibri"/>
              </w:rPr>
            </w:pPr>
            <w:r w:rsidRPr="00CB236B">
              <w:rPr>
                <w:rFonts w:eastAsia="Times New Roman" w:cs="Calibri"/>
              </w:rPr>
              <w:t>2024</w:t>
            </w:r>
          </w:p>
        </w:tc>
        <w:tc>
          <w:tcPr>
            <w:tcW w:w="1204" w:type="dxa"/>
            <w:tcBorders>
              <w:top w:val="nil"/>
              <w:left w:val="nil"/>
              <w:bottom w:val="single" w:sz="8" w:space="0" w:color="FFD966"/>
              <w:right w:val="single" w:sz="8" w:space="0" w:color="FFD966"/>
            </w:tcBorders>
            <w:shd w:val="clear" w:color="000000" w:fill="D9E1F2"/>
            <w:noWrap/>
            <w:vAlign w:val="center"/>
            <w:hideMark/>
          </w:tcPr>
          <w:p w14:paraId="63878B2D" w14:textId="77777777" w:rsidR="00E24924" w:rsidRPr="00CB236B" w:rsidRDefault="00E24924" w:rsidP="009B00D1">
            <w:pPr>
              <w:spacing w:line="240" w:lineRule="auto"/>
              <w:jc w:val="right"/>
              <w:rPr>
                <w:rFonts w:eastAsia="Times New Roman" w:cs="Calibri"/>
              </w:rPr>
            </w:pPr>
            <w:r w:rsidRPr="00CB236B">
              <w:rPr>
                <w:rFonts w:eastAsia="Times New Roman" w:cs="Calibri"/>
              </w:rPr>
              <w:t>2025</w:t>
            </w:r>
          </w:p>
        </w:tc>
        <w:tc>
          <w:tcPr>
            <w:tcW w:w="1204" w:type="dxa"/>
            <w:tcBorders>
              <w:top w:val="nil"/>
              <w:left w:val="nil"/>
              <w:bottom w:val="single" w:sz="8" w:space="0" w:color="FFD966"/>
              <w:right w:val="single" w:sz="8" w:space="0" w:color="FFD966"/>
            </w:tcBorders>
            <w:shd w:val="clear" w:color="000000" w:fill="D9E1F2"/>
            <w:noWrap/>
            <w:vAlign w:val="center"/>
            <w:hideMark/>
          </w:tcPr>
          <w:p w14:paraId="61F33109" w14:textId="77777777" w:rsidR="00E24924" w:rsidRPr="00CB236B" w:rsidRDefault="00E24924" w:rsidP="009B00D1">
            <w:pPr>
              <w:spacing w:line="240" w:lineRule="auto"/>
              <w:jc w:val="right"/>
              <w:rPr>
                <w:rFonts w:eastAsia="Times New Roman" w:cs="Calibri"/>
              </w:rPr>
            </w:pPr>
            <w:r w:rsidRPr="00CB236B">
              <w:rPr>
                <w:rFonts w:eastAsia="Times New Roman" w:cs="Calibri"/>
              </w:rPr>
              <w:t>2026</w:t>
            </w:r>
          </w:p>
        </w:tc>
        <w:tc>
          <w:tcPr>
            <w:tcW w:w="1204" w:type="dxa"/>
            <w:tcBorders>
              <w:top w:val="nil"/>
              <w:left w:val="nil"/>
              <w:bottom w:val="single" w:sz="8" w:space="0" w:color="FFD966"/>
              <w:right w:val="single" w:sz="8" w:space="0" w:color="FFD966"/>
            </w:tcBorders>
            <w:shd w:val="clear" w:color="000000" w:fill="D9E1F2"/>
            <w:noWrap/>
            <w:vAlign w:val="center"/>
            <w:hideMark/>
          </w:tcPr>
          <w:p w14:paraId="49AD117E" w14:textId="77777777" w:rsidR="00E24924" w:rsidRPr="00CB236B" w:rsidRDefault="00E24924" w:rsidP="009B00D1">
            <w:pPr>
              <w:spacing w:line="240" w:lineRule="auto"/>
              <w:jc w:val="right"/>
              <w:rPr>
                <w:rFonts w:eastAsia="Times New Roman" w:cs="Calibri"/>
              </w:rPr>
            </w:pPr>
            <w:r w:rsidRPr="00CB236B">
              <w:rPr>
                <w:rFonts w:eastAsia="Times New Roman" w:cs="Calibri"/>
              </w:rPr>
              <w:t>2027</w:t>
            </w:r>
          </w:p>
        </w:tc>
        <w:tc>
          <w:tcPr>
            <w:tcW w:w="1339" w:type="dxa"/>
            <w:tcBorders>
              <w:top w:val="nil"/>
              <w:left w:val="nil"/>
              <w:bottom w:val="single" w:sz="8" w:space="0" w:color="FFD966"/>
              <w:right w:val="single" w:sz="12" w:space="0" w:color="FFD966"/>
            </w:tcBorders>
            <w:shd w:val="clear" w:color="000000" w:fill="D9E1F2"/>
            <w:noWrap/>
            <w:vAlign w:val="center"/>
            <w:hideMark/>
          </w:tcPr>
          <w:p w14:paraId="0F84E5D8" w14:textId="77777777" w:rsidR="00E24924" w:rsidRPr="00CB236B" w:rsidRDefault="00E24924" w:rsidP="009B00D1">
            <w:pPr>
              <w:spacing w:line="240" w:lineRule="auto"/>
              <w:jc w:val="right"/>
              <w:rPr>
                <w:rFonts w:eastAsia="Times New Roman" w:cs="Calibri"/>
                <w:b/>
                <w:bCs/>
                <w:i/>
                <w:iCs/>
              </w:rPr>
            </w:pPr>
            <w:r w:rsidRPr="00CB236B">
              <w:rPr>
                <w:rFonts w:eastAsia="Times New Roman" w:cs="Calibri"/>
                <w:b/>
                <w:bCs/>
                <w:i/>
                <w:iCs/>
              </w:rPr>
              <w:t>Total</w:t>
            </w:r>
          </w:p>
        </w:tc>
      </w:tr>
      <w:tr w:rsidR="00F559DB" w:rsidRPr="00CB236B" w14:paraId="10BFDD02" w14:textId="77777777" w:rsidTr="00934B25">
        <w:trPr>
          <w:trHeight w:val="422"/>
        </w:trPr>
        <w:tc>
          <w:tcPr>
            <w:tcW w:w="1066" w:type="dxa"/>
            <w:tcBorders>
              <w:top w:val="nil"/>
              <w:left w:val="single" w:sz="12" w:space="0" w:color="FFD966"/>
              <w:bottom w:val="single" w:sz="12" w:space="0" w:color="FFD966"/>
              <w:right w:val="single" w:sz="8" w:space="0" w:color="FFD966"/>
            </w:tcBorders>
            <w:shd w:val="clear" w:color="auto" w:fill="auto"/>
            <w:noWrap/>
            <w:vAlign w:val="center"/>
            <w:hideMark/>
          </w:tcPr>
          <w:p w14:paraId="52E0CB30" w14:textId="77777777" w:rsidR="00E24924" w:rsidRPr="00CB236B" w:rsidRDefault="00E24924" w:rsidP="009B00D1">
            <w:pPr>
              <w:spacing w:line="240" w:lineRule="auto"/>
              <w:rPr>
                <w:rFonts w:eastAsia="Times New Roman" w:cs="Calibri"/>
                <w:b/>
                <w:bCs/>
                <w:i/>
                <w:iCs/>
                <w:color w:val="000000"/>
              </w:rPr>
            </w:pPr>
            <w:r w:rsidRPr="00CB236B">
              <w:rPr>
                <w:rFonts w:eastAsia="Times New Roman" w:cs="Calibri"/>
                <w:b/>
                <w:bCs/>
                <w:i/>
                <w:iCs/>
                <w:color w:val="000000"/>
              </w:rPr>
              <w:t>Amount</w:t>
            </w:r>
          </w:p>
        </w:tc>
        <w:tc>
          <w:tcPr>
            <w:tcW w:w="1205" w:type="dxa"/>
            <w:tcBorders>
              <w:top w:val="nil"/>
              <w:left w:val="nil"/>
              <w:bottom w:val="single" w:sz="12" w:space="0" w:color="FFD966"/>
              <w:right w:val="single" w:sz="8" w:space="0" w:color="FFD966"/>
            </w:tcBorders>
            <w:shd w:val="clear" w:color="auto" w:fill="auto"/>
            <w:noWrap/>
            <w:vAlign w:val="center"/>
            <w:hideMark/>
          </w:tcPr>
          <w:p w14:paraId="14DFD72B"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$1,400,000 </w:t>
            </w:r>
          </w:p>
        </w:tc>
        <w:tc>
          <w:tcPr>
            <w:tcW w:w="1204" w:type="dxa"/>
            <w:tcBorders>
              <w:top w:val="nil"/>
              <w:left w:val="nil"/>
              <w:bottom w:val="single" w:sz="12" w:space="0" w:color="FFD966"/>
              <w:right w:val="single" w:sz="8" w:space="0" w:color="FFD966"/>
            </w:tcBorders>
            <w:shd w:val="clear" w:color="auto" w:fill="auto"/>
            <w:noWrap/>
            <w:vAlign w:val="center"/>
            <w:hideMark/>
          </w:tcPr>
          <w:p w14:paraId="6A4E4138"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$1,431,000 </w:t>
            </w:r>
          </w:p>
        </w:tc>
        <w:tc>
          <w:tcPr>
            <w:tcW w:w="1204" w:type="dxa"/>
            <w:tcBorders>
              <w:top w:val="nil"/>
              <w:left w:val="nil"/>
              <w:bottom w:val="single" w:sz="12" w:space="0" w:color="FFD966"/>
              <w:right w:val="single" w:sz="8" w:space="0" w:color="FFD966"/>
            </w:tcBorders>
            <w:shd w:val="clear" w:color="auto" w:fill="auto"/>
            <w:noWrap/>
            <w:vAlign w:val="center"/>
            <w:hideMark/>
          </w:tcPr>
          <w:p w14:paraId="5728EED0"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$1,462,000 </w:t>
            </w:r>
          </w:p>
        </w:tc>
        <w:tc>
          <w:tcPr>
            <w:tcW w:w="1204" w:type="dxa"/>
            <w:tcBorders>
              <w:top w:val="nil"/>
              <w:left w:val="nil"/>
              <w:bottom w:val="single" w:sz="12" w:space="0" w:color="FFD966"/>
              <w:right w:val="single" w:sz="8" w:space="0" w:color="FFD966"/>
            </w:tcBorders>
            <w:shd w:val="clear" w:color="auto" w:fill="auto"/>
            <w:noWrap/>
            <w:vAlign w:val="center"/>
            <w:hideMark/>
          </w:tcPr>
          <w:p w14:paraId="585E89DD"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$1,494,000 </w:t>
            </w:r>
          </w:p>
        </w:tc>
        <w:tc>
          <w:tcPr>
            <w:tcW w:w="1204" w:type="dxa"/>
            <w:tcBorders>
              <w:top w:val="nil"/>
              <w:left w:val="nil"/>
              <w:bottom w:val="single" w:sz="12" w:space="0" w:color="FFD966"/>
              <w:right w:val="single" w:sz="8" w:space="0" w:color="FFD966"/>
            </w:tcBorders>
            <w:shd w:val="clear" w:color="auto" w:fill="auto"/>
            <w:noWrap/>
            <w:vAlign w:val="center"/>
            <w:hideMark/>
          </w:tcPr>
          <w:p w14:paraId="3DDBB721"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$1,527,000 </w:t>
            </w:r>
          </w:p>
        </w:tc>
        <w:tc>
          <w:tcPr>
            <w:tcW w:w="1204" w:type="dxa"/>
            <w:tcBorders>
              <w:top w:val="nil"/>
              <w:left w:val="nil"/>
              <w:bottom w:val="single" w:sz="12" w:space="0" w:color="FFD966"/>
              <w:right w:val="single" w:sz="8" w:space="0" w:color="FFD966"/>
            </w:tcBorders>
            <w:shd w:val="clear" w:color="auto" w:fill="auto"/>
            <w:noWrap/>
            <w:vAlign w:val="center"/>
            <w:hideMark/>
          </w:tcPr>
          <w:p w14:paraId="310D50A5"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$1,561,000 </w:t>
            </w:r>
          </w:p>
        </w:tc>
        <w:tc>
          <w:tcPr>
            <w:tcW w:w="1339" w:type="dxa"/>
            <w:tcBorders>
              <w:top w:val="nil"/>
              <w:left w:val="nil"/>
              <w:bottom w:val="single" w:sz="12" w:space="0" w:color="FFD966"/>
              <w:right w:val="single" w:sz="12" w:space="0" w:color="FFD966"/>
            </w:tcBorders>
            <w:shd w:val="clear" w:color="auto" w:fill="auto"/>
            <w:noWrap/>
            <w:vAlign w:val="center"/>
            <w:hideMark/>
          </w:tcPr>
          <w:p w14:paraId="66DB93BE" w14:textId="77777777" w:rsidR="00E24924" w:rsidRPr="00CB236B" w:rsidRDefault="00E24924" w:rsidP="009B00D1">
            <w:pPr>
              <w:spacing w:line="240" w:lineRule="auto"/>
              <w:jc w:val="right"/>
              <w:rPr>
                <w:rFonts w:eastAsia="Times New Roman" w:cs="Calibri"/>
                <w:b/>
                <w:bCs/>
                <w:color w:val="000000"/>
              </w:rPr>
            </w:pPr>
            <w:r w:rsidRPr="00CB236B">
              <w:rPr>
                <w:rFonts w:eastAsia="Times New Roman" w:cs="Calibri"/>
                <w:b/>
                <w:bCs/>
                <w:color w:val="000000"/>
              </w:rPr>
              <w:t xml:space="preserve">$8,876,000 </w:t>
            </w:r>
          </w:p>
        </w:tc>
      </w:tr>
    </w:tbl>
    <w:p w14:paraId="2B8E484E" w14:textId="77777777" w:rsidR="00E24924" w:rsidRDefault="00E24924" w:rsidP="00E24924">
      <w:pPr>
        <w:contextualSpacing/>
        <w:rPr>
          <w:rFonts w:eastAsia="Calibri" w:cs="Calibri"/>
          <w:b/>
          <w:bCs/>
          <w:color w:val="000000" w:themeColor="text1"/>
        </w:rPr>
      </w:pPr>
    </w:p>
    <w:p w14:paraId="0C78A31E" w14:textId="1758050B" w:rsidR="00E24924" w:rsidRDefault="00E24924" w:rsidP="00E24924">
      <w:pPr>
        <w:contextualSpacing/>
        <w:rPr>
          <w:rFonts w:eastAsia="Calibri" w:cs="Calibri"/>
          <w:color w:val="000000" w:themeColor="text1"/>
        </w:rPr>
      </w:pPr>
      <w:r w:rsidRPr="3863ED53">
        <w:rPr>
          <w:rFonts w:eastAsia="Calibri" w:cs="Calibri"/>
          <w:b/>
          <w:bCs/>
          <w:color w:val="000000" w:themeColor="text1"/>
        </w:rPr>
        <w:t>Description</w:t>
      </w:r>
      <w:r w:rsidR="00675C8A">
        <w:rPr>
          <w:rFonts w:eastAsia="Calibri" w:cs="Calibri"/>
          <w:b/>
          <w:bCs/>
          <w:color w:val="000000" w:themeColor="text1"/>
        </w:rPr>
        <w:t>:</w:t>
      </w:r>
    </w:p>
    <w:p w14:paraId="0B167404" w14:textId="5E753741" w:rsidR="00E24924" w:rsidRDefault="00E24924" w:rsidP="00E24924">
      <w:pPr>
        <w:contextualSpacing/>
        <w:rPr>
          <w:rFonts w:eastAsia="Calibri" w:cs="Calibri"/>
          <w:color w:val="000000" w:themeColor="text1"/>
        </w:rPr>
      </w:pPr>
      <w:r w:rsidRPr="00D03F1F">
        <w:rPr>
          <w:rFonts w:eastAsia="Calibri" w:cs="Calibri"/>
          <w:i/>
          <w:color w:val="000000" w:themeColor="text1"/>
        </w:rPr>
        <w:t>Best Starts</w:t>
      </w:r>
      <w:r>
        <w:rPr>
          <w:rFonts w:eastAsia="Calibri" w:cs="Calibri"/>
          <w:color w:val="000000" w:themeColor="text1"/>
        </w:rPr>
        <w:t xml:space="preserve"> Positive</w:t>
      </w:r>
      <w:r w:rsidRPr="3863ED53">
        <w:rPr>
          <w:rFonts w:eastAsia="Calibri" w:cs="Calibri"/>
          <w:color w:val="000000" w:themeColor="text1"/>
        </w:rPr>
        <w:t xml:space="preserve"> </w:t>
      </w:r>
      <w:r>
        <w:rPr>
          <w:rFonts w:eastAsia="Calibri" w:cs="Calibri"/>
          <w:color w:val="000000" w:themeColor="text1"/>
        </w:rPr>
        <w:t>Family Connections</w:t>
      </w:r>
      <w:r w:rsidRPr="3863ED53">
        <w:rPr>
          <w:rFonts w:eastAsia="Calibri" w:cs="Calibri"/>
          <w:color w:val="000000" w:themeColor="text1"/>
        </w:rPr>
        <w:t xml:space="preserve"> </w:t>
      </w:r>
      <w:r>
        <w:rPr>
          <w:rFonts w:eastAsia="Calibri" w:cs="Calibri"/>
          <w:color w:val="000000" w:themeColor="text1"/>
        </w:rPr>
        <w:t xml:space="preserve">help </w:t>
      </w:r>
      <w:r w:rsidRPr="3863ED53">
        <w:rPr>
          <w:rFonts w:eastAsia="Calibri" w:cs="Calibri"/>
          <w:color w:val="000000" w:themeColor="text1"/>
        </w:rPr>
        <w:t>strengthen</w:t>
      </w:r>
      <w:r>
        <w:rPr>
          <w:rFonts w:eastAsia="Calibri" w:cs="Calibri"/>
          <w:color w:val="000000" w:themeColor="text1"/>
        </w:rPr>
        <w:t xml:space="preserve"> and build positive</w:t>
      </w:r>
      <w:r w:rsidRPr="3863ED53">
        <w:rPr>
          <w:rFonts w:eastAsia="Calibri" w:cs="Calibri"/>
          <w:color w:val="000000" w:themeColor="text1"/>
        </w:rPr>
        <w:t xml:space="preserve"> relationships</w:t>
      </w:r>
      <w:r>
        <w:rPr>
          <w:rFonts w:eastAsia="Calibri" w:cs="Calibri"/>
          <w:color w:val="000000" w:themeColor="text1"/>
        </w:rPr>
        <w:t xml:space="preserve"> between parents, caregivers and youth</w:t>
      </w:r>
      <w:r w:rsidR="008B2B48">
        <w:rPr>
          <w:rFonts w:eastAsia="Calibri" w:cs="Calibri"/>
          <w:color w:val="000000" w:themeColor="text1"/>
        </w:rPr>
        <w:t>.</w:t>
      </w:r>
      <w:r w:rsidR="00791013">
        <w:rPr>
          <w:rFonts w:eastAsia="Calibri" w:cs="Calibri"/>
          <w:color w:val="000000" w:themeColor="text1"/>
        </w:rPr>
        <w:t xml:space="preserve"> </w:t>
      </w:r>
      <w:r w:rsidRPr="3863ED53">
        <w:rPr>
          <w:rFonts w:eastAsia="Calibri" w:cs="Calibri"/>
          <w:color w:val="000000" w:themeColor="text1"/>
        </w:rPr>
        <w:t xml:space="preserve">Positive Family Connections funds programs </w:t>
      </w:r>
      <w:r w:rsidRPr="2FB8A667">
        <w:rPr>
          <w:rFonts w:eastAsia="Calibri" w:cs="Calibri"/>
          <w:color w:val="000000" w:themeColor="text1"/>
        </w:rPr>
        <w:t xml:space="preserve">designed to </w:t>
      </w:r>
      <w:r w:rsidRPr="3863ED53">
        <w:rPr>
          <w:rFonts w:eastAsia="Calibri" w:cs="Calibri"/>
          <w:color w:val="000000" w:themeColor="text1"/>
        </w:rPr>
        <w:t>s</w:t>
      </w:r>
      <w:r>
        <w:rPr>
          <w:rFonts w:eastAsia="Calibri" w:cs="Calibri"/>
          <w:color w:val="000000" w:themeColor="text1"/>
        </w:rPr>
        <w:t>trengthen</w:t>
      </w:r>
      <w:r w:rsidRPr="3863ED53">
        <w:rPr>
          <w:rFonts w:eastAsia="Calibri" w:cs="Calibri"/>
          <w:color w:val="000000" w:themeColor="text1"/>
        </w:rPr>
        <w:t xml:space="preserve"> </w:t>
      </w:r>
      <w:r>
        <w:rPr>
          <w:rFonts w:eastAsia="Calibri" w:cs="Calibri"/>
          <w:color w:val="000000" w:themeColor="text1"/>
        </w:rPr>
        <w:t>p</w:t>
      </w:r>
      <w:r w:rsidRPr="3863ED53">
        <w:rPr>
          <w:rFonts w:eastAsia="Calibri" w:cs="Calibri"/>
          <w:color w:val="000000" w:themeColor="text1"/>
        </w:rPr>
        <w:t>arent</w:t>
      </w:r>
      <w:r>
        <w:rPr>
          <w:rFonts w:eastAsia="Calibri" w:cs="Calibri"/>
          <w:color w:val="000000" w:themeColor="text1"/>
        </w:rPr>
        <w:t>-</w:t>
      </w:r>
      <w:r w:rsidRPr="3863ED53">
        <w:rPr>
          <w:rFonts w:eastAsia="Calibri" w:cs="Calibri"/>
          <w:color w:val="000000" w:themeColor="text1"/>
        </w:rPr>
        <w:t>to</w:t>
      </w:r>
      <w:r>
        <w:rPr>
          <w:rFonts w:eastAsia="Calibri" w:cs="Calibri"/>
          <w:color w:val="000000" w:themeColor="text1"/>
        </w:rPr>
        <w:t>-p</w:t>
      </w:r>
      <w:r w:rsidRPr="3863ED53">
        <w:rPr>
          <w:rFonts w:eastAsia="Calibri" w:cs="Calibri"/>
          <w:color w:val="000000" w:themeColor="text1"/>
        </w:rPr>
        <w:t xml:space="preserve">arent engagement, </w:t>
      </w:r>
      <w:r>
        <w:rPr>
          <w:rFonts w:eastAsia="Calibri" w:cs="Calibri"/>
          <w:color w:val="000000" w:themeColor="text1"/>
        </w:rPr>
        <w:t>kinship care relationships</w:t>
      </w:r>
      <w:r w:rsidRPr="3863ED53">
        <w:rPr>
          <w:rFonts w:eastAsia="Calibri" w:cs="Calibri"/>
          <w:color w:val="000000" w:themeColor="text1"/>
        </w:rPr>
        <w:t>, intergenerational and cultural heritage bonds, restorative practices, personal development for young people and parents/caregivers</w:t>
      </w:r>
      <w:r>
        <w:rPr>
          <w:rFonts w:eastAsia="Calibri" w:cs="Calibri"/>
          <w:color w:val="000000" w:themeColor="text1"/>
        </w:rPr>
        <w:t>,</w:t>
      </w:r>
      <w:r w:rsidRPr="3863ED53">
        <w:rPr>
          <w:rFonts w:eastAsia="Calibri" w:cs="Calibri"/>
          <w:color w:val="000000" w:themeColor="text1"/>
        </w:rPr>
        <w:t xml:space="preserve"> and </w:t>
      </w:r>
      <w:r>
        <w:rPr>
          <w:rFonts w:eastAsia="Calibri" w:cs="Calibri"/>
          <w:color w:val="000000" w:themeColor="text1"/>
        </w:rPr>
        <w:t xml:space="preserve">the </w:t>
      </w:r>
      <w:r w:rsidRPr="3863ED53">
        <w:rPr>
          <w:rFonts w:eastAsia="Calibri" w:cs="Calibri"/>
          <w:color w:val="000000" w:themeColor="text1"/>
        </w:rPr>
        <w:t>connection</w:t>
      </w:r>
      <w:r>
        <w:rPr>
          <w:rFonts w:eastAsia="Calibri" w:cs="Calibri"/>
          <w:color w:val="000000" w:themeColor="text1"/>
        </w:rPr>
        <w:t>s</w:t>
      </w:r>
      <w:r w:rsidRPr="3863ED53">
        <w:rPr>
          <w:rFonts w:eastAsia="Calibri" w:cs="Calibri"/>
          <w:color w:val="000000" w:themeColor="text1"/>
        </w:rPr>
        <w:t xml:space="preserve"> among </w:t>
      </w:r>
      <w:r>
        <w:rPr>
          <w:rFonts w:eastAsia="Calibri" w:cs="Calibri"/>
          <w:color w:val="000000" w:themeColor="text1"/>
        </w:rPr>
        <w:t>these family members.</w:t>
      </w:r>
      <w:r w:rsidRPr="3863ED53">
        <w:rPr>
          <w:rFonts w:eastAsia="Calibri" w:cs="Calibri"/>
          <w:color w:val="000000" w:themeColor="text1"/>
        </w:rPr>
        <w:t xml:space="preserve"> </w:t>
      </w:r>
    </w:p>
    <w:p w14:paraId="776D872E" w14:textId="77777777" w:rsidR="00E24924" w:rsidRDefault="00E24924" w:rsidP="00E24924">
      <w:pPr>
        <w:contextualSpacing/>
        <w:rPr>
          <w:rFonts w:eastAsia="Calibri" w:cs="Calibri"/>
          <w:b/>
          <w:bCs/>
          <w:color w:val="000000" w:themeColor="text1"/>
        </w:rPr>
      </w:pPr>
    </w:p>
    <w:p w14:paraId="3FE7E5B9" w14:textId="77641BB8" w:rsidR="00E24924" w:rsidRDefault="00E24924" w:rsidP="00E24924">
      <w:pPr>
        <w:contextualSpacing/>
        <w:rPr>
          <w:rFonts w:eastAsia="Calibri" w:cs="Calibri"/>
          <w:b/>
          <w:color w:val="000000" w:themeColor="text1"/>
        </w:rPr>
      </w:pPr>
      <w:r w:rsidRPr="1BF2F0B1">
        <w:rPr>
          <w:rFonts w:eastAsia="Calibri" w:cs="Calibri"/>
          <w:b/>
          <w:bCs/>
          <w:color w:val="000000" w:themeColor="text1"/>
        </w:rPr>
        <w:t xml:space="preserve">Planned Refinements in </w:t>
      </w:r>
      <w:r w:rsidR="005B3FA5" w:rsidRPr="00675C8A">
        <w:rPr>
          <w:rFonts w:eastAsia="Calibri" w:cs="Calibri"/>
          <w:b/>
          <w:bCs/>
          <w:i/>
          <w:iCs/>
          <w:color w:val="000000" w:themeColor="text1"/>
        </w:rPr>
        <w:t>Best Starts for Kids</w:t>
      </w:r>
      <w:r w:rsidR="005B3FA5" w:rsidRPr="005B3FA5">
        <w:rPr>
          <w:rFonts w:eastAsia="Calibri" w:cs="Calibri"/>
          <w:b/>
          <w:bCs/>
          <w:color w:val="000000" w:themeColor="text1"/>
        </w:rPr>
        <w:t xml:space="preserve"> 2022-2027:</w:t>
      </w:r>
    </w:p>
    <w:p w14:paraId="3E64C758" w14:textId="77777777" w:rsidR="00E24924" w:rsidRDefault="00E24924" w:rsidP="00025030">
      <w:pPr>
        <w:pStyle w:val="ListParagraph"/>
        <w:numPr>
          <w:ilvl w:val="0"/>
          <w:numId w:val="41"/>
        </w:numPr>
        <w:contextualSpacing w:val="0"/>
        <w:rPr>
          <w:rFonts w:asciiTheme="minorHAnsi" w:eastAsiaTheme="minorEastAsia" w:hAnsiTheme="minorHAnsi"/>
          <w:i/>
          <w:iCs/>
          <w:color w:val="000000" w:themeColor="text1"/>
        </w:rPr>
      </w:pPr>
      <w:r w:rsidRPr="1BF2F0B1">
        <w:rPr>
          <w:rFonts w:eastAsia="Calibri" w:cs="Calibri"/>
          <w:color w:val="000000" w:themeColor="text1"/>
        </w:rPr>
        <w:t>Partner</w:t>
      </w:r>
      <w:r w:rsidRPr="3863ED53">
        <w:rPr>
          <w:rFonts w:eastAsia="Calibri" w:cs="Calibri"/>
          <w:color w:val="000000" w:themeColor="text1"/>
        </w:rPr>
        <w:t xml:space="preserve"> with communities and families to understand their needs and co-design </w:t>
      </w:r>
      <w:r w:rsidRPr="1BF2F0B1">
        <w:rPr>
          <w:rFonts w:eastAsia="Calibri" w:cs="Calibri"/>
          <w:color w:val="000000" w:themeColor="text1"/>
        </w:rPr>
        <w:t xml:space="preserve">authentic </w:t>
      </w:r>
      <w:r w:rsidRPr="3863ED53">
        <w:rPr>
          <w:rFonts w:eastAsia="Calibri" w:cs="Calibri"/>
          <w:color w:val="000000" w:themeColor="text1"/>
        </w:rPr>
        <w:t xml:space="preserve">family engagement strategies. </w:t>
      </w:r>
    </w:p>
    <w:p w14:paraId="3B404C57" w14:textId="77777777" w:rsidR="00E24924" w:rsidRDefault="00E24924" w:rsidP="00025030">
      <w:pPr>
        <w:pStyle w:val="ListParagraph"/>
        <w:numPr>
          <w:ilvl w:val="0"/>
          <w:numId w:val="41"/>
        </w:numPr>
        <w:contextualSpacing w:val="0"/>
        <w:rPr>
          <w:i/>
          <w:color w:val="000000" w:themeColor="text1"/>
        </w:rPr>
      </w:pPr>
      <w:r w:rsidRPr="351B1C68">
        <w:rPr>
          <w:rFonts w:eastAsia="Calibri" w:cs="Calibri"/>
          <w:color w:val="000000" w:themeColor="text1"/>
        </w:rPr>
        <w:t>Launch</w:t>
      </w:r>
      <w:r>
        <w:rPr>
          <w:rFonts w:eastAsia="Calibri" w:cs="Calibri"/>
          <w:color w:val="000000" w:themeColor="text1"/>
        </w:rPr>
        <w:t xml:space="preserve"> a</w:t>
      </w:r>
      <w:r w:rsidRPr="3863ED53">
        <w:rPr>
          <w:rFonts w:eastAsia="Calibri" w:cs="Calibri"/>
          <w:color w:val="000000" w:themeColor="text1"/>
        </w:rPr>
        <w:t xml:space="preserve"> family-focused leadership and resource workgroup to center youth and family voices in </w:t>
      </w:r>
      <w:r w:rsidRPr="00D03F1F">
        <w:rPr>
          <w:rFonts w:eastAsia="Calibri" w:cs="Calibri"/>
          <w:i/>
          <w:color w:val="000000" w:themeColor="text1"/>
        </w:rPr>
        <w:t xml:space="preserve">Best Starts </w:t>
      </w:r>
      <w:r w:rsidRPr="3863ED53">
        <w:rPr>
          <w:rFonts w:eastAsia="Calibri" w:cs="Calibri"/>
          <w:color w:val="000000" w:themeColor="text1"/>
        </w:rPr>
        <w:t>programming</w:t>
      </w:r>
      <w:r w:rsidRPr="009C43A9">
        <w:rPr>
          <w:rFonts w:eastAsia="Calibri" w:cs="Calibri"/>
          <w:i/>
          <w:color w:val="000000" w:themeColor="text1"/>
        </w:rPr>
        <w:t>.</w:t>
      </w:r>
    </w:p>
    <w:p w14:paraId="2CBD897D" w14:textId="77777777" w:rsidR="00E24924" w:rsidRDefault="00E24924" w:rsidP="00025030">
      <w:pPr>
        <w:pStyle w:val="ListParagraph"/>
        <w:numPr>
          <w:ilvl w:val="0"/>
          <w:numId w:val="41"/>
        </w:numPr>
        <w:contextualSpacing w:val="0"/>
        <w:rPr>
          <w:rFonts w:asciiTheme="minorHAnsi" w:eastAsiaTheme="minorEastAsia" w:hAnsiTheme="minorHAnsi"/>
          <w:i/>
          <w:iCs/>
          <w:color w:val="000000" w:themeColor="text1"/>
        </w:rPr>
      </w:pPr>
      <w:r w:rsidRPr="351B1C68">
        <w:rPr>
          <w:rFonts w:eastAsia="Calibri" w:cs="Calibri"/>
          <w:color w:val="000000" w:themeColor="text1"/>
        </w:rPr>
        <w:t>Change the name of the strategy to reflect the shared vision for the funded programs.</w:t>
      </w:r>
    </w:p>
    <w:p w14:paraId="7E5038C1" w14:textId="77777777" w:rsidR="00E24924" w:rsidRDefault="00E24924" w:rsidP="00E24924">
      <w:pPr>
        <w:contextualSpacing/>
        <w:rPr>
          <w:rFonts w:eastAsia="Calibri" w:cs="Calibri"/>
          <w:color w:val="000000" w:themeColor="text1"/>
        </w:rPr>
      </w:pPr>
    </w:p>
    <w:p w14:paraId="669E34BA" w14:textId="6D208F77" w:rsidR="00E24924" w:rsidRPr="00B26789" w:rsidRDefault="00E24924" w:rsidP="00E24924">
      <w:pPr>
        <w:contextualSpacing/>
        <w:rPr>
          <w:rFonts w:eastAsia="Calibri" w:cs="Arial"/>
        </w:rPr>
      </w:pPr>
      <w:r>
        <w:rPr>
          <w:rFonts w:eastAsia="Times New Roman" w:cs="Calibri"/>
          <w:b/>
          <w:bCs/>
        </w:rPr>
        <w:t>A</w:t>
      </w:r>
      <w:r w:rsidR="00276BBF">
        <w:rPr>
          <w:rFonts w:eastAsia="Times New Roman" w:cs="Calibri"/>
          <w:b/>
          <w:bCs/>
        </w:rPr>
        <w:t>pproximate</w:t>
      </w:r>
      <w:r>
        <w:rPr>
          <w:rFonts w:eastAsia="Times New Roman" w:cs="Calibri"/>
          <w:b/>
          <w:bCs/>
        </w:rPr>
        <w:t xml:space="preserve"> </w:t>
      </w:r>
      <w:r w:rsidRPr="27004845">
        <w:rPr>
          <w:rFonts w:eastAsia="Times New Roman" w:cs="Calibri"/>
          <w:b/>
          <w:bCs/>
        </w:rPr>
        <w:t>Scope</w:t>
      </w:r>
      <w:r w:rsidRPr="00F4031B">
        <w:rPr>
          <w:rFonts w:eastAsia="Times New Roman" w:cs="Calibri"/>
          <w:b/>
          <w:bCs/>
        </w:rPr>
        <w:t xml:space="preserve">: </w:t>
      </w:r>
      <w:r w:rsidRPr="006907B1">
        <w:rPr>
          <w:rFonts w:eastAsia="Times New Roman" w:cs="Calibri"/>
          <w:i/>
          <w:iCs/>
        </w:rPr>
        <w:t>Best Starts</w:t>
      </w:r>
      <w:r w:rsidRPr="00F4031B">
        <w:rPr>
          <w:rFonts w:eastAsia="Times New Roman" w:cs="Calibri"/>
        </w:rPr>
        <w:t xml:space="preserve"> anticipates</w:t>
      </w:r>
      <w:r w:rsidRPr="00B26789">
        <w:rPr>
          <w:rFonts w:eastAsia="Times New Roman" w:cs="Calibri"/>
        </w:rPr>
        <w:t xml:space="preserve"> serving up to 1,500 parents, children</w:t>
      </w:r>
      <w:r>
        <w:rPr>
          <w:rFonts w:eastAsia="Times New Roman" w:cs="Calibri"/>
        </w:rPr>
        <w:t>,</w:t>
      </w:r>
      <w:r w:rsidRPr="00B26789">
        <w:rPr>
          <w:rFonts w:eastAsia="Times New Roman" w:cs="Calibri"/>
        </w:rPr>
        <w:t xml:space="preserve"> and youth annually. </w:t>
      </w:r>
    </w:p>
    <w:p w14:paraId="5E59C412" w14:textId="77777777" w:rsidR="00E24924" w:rsidRDefault="00E24924" w:rsidP="00E24924">
      <w:pPr>
        <w:rPr>
          <w:rFonts w:eastAsia="Calibri" w:cs="Arial"/>
          <w:b/>
          <w:color w:val="000000" w:themeColor="text1"/>
        </w:rPr>
      </w:pPr>
    </w:p>
    <w:p w14:paraId="57AC18E5" w14:textId="26DC358D" w:rsidR="00E24924" w:rsidRPr="003E2D5F" w:rsidRDefault="00E24924" w:rsidP="003E2D5F">
      <w:pPr>
        <w:spacing w:line="240" w:lineRule="auto"/>
        <w:textAlignment w:val="baseline"/>
        <w:rPr>
          <w:rFonts w:ascii="Segoe UI" w:eastAsia="Times New Roman" w:hAnsi="Segoe UI" w:cs="Segoe UI"/>
          <w:sz w:val="18"/>
          <w:szCs w:val="18"/>
        </w:rPr>
      </w:pPr>
      <w:r>
        <w:rPr>
          <w:rFonts w:eastAsia="Times New Roman" w:cs="Calibri"/>
          <w:b/>
          <w:bCs/>
          <w:color w:val="000000"/>
        </w:rPr>
        <w:t>Anticipated</w:t>
      </w:r>
      <w:r w:rsidRPr="00427DAE">
        <w:rPr>
          <w:rFonts w:eastAsia="Times New Roman" w:cs="Calibri"/>
          <w:b/>
          <w:bCs/>
          <w:color w:val="000000"/>
        </w:rPr>
        <w:t> Timeline</w:t>
      </w:r>
      <w:r>
        <w:rPr>
          <w:rFonts w:eastAsia="Times New Roman" w:cs="Calibri"/>
          <w:color w:val="000000"/>
        </w:rPr>
        <w:t>:</w:t>
      </w:r>
    </w:p>
    <w:p w14:paraId="0043FF48" w14:textId="33C293A5" w:rsidR="00E24924" w:rsidRPr="00427DAE" w:rsidRDefault="00E24924" w:rsidP="00025030">
      <w:pPr>
        <w:numPr>
          <w:ilvl w:val="0"/>
          <w:numId w:val="49"/>
        </w:numPr>
        <w:spacing w:line="240" w:lineRule="auto"/>
        <w:ind w:left="360" w:firstLine="0"/>
        <w:textAlignment w:val="baseline"/>
        <w:rPr>
          <w:rFonts w:eastAsia="Times New Roman" w:cs="Calibri"/>
        </w:rPr>
      </w:pPr>
      <w:r w:rsidRPr="00ED7280">
        <w:rPr>
          <w:rFonts w:cs="Calibri"/>
          <w:color w:val="000000"/>
          <w:shd w:val="clear" w:color="auto" w:fill="FFFFFF"/>
        </w:rPr>
        <w:t>Release new RFP for Positive Family Connections in </w:t>
      </w:r>
      <w:r w:rsidR="00586328">
        <w:rPr>
          <w:rFonts w:cs="Calibri"/>
          <w:color w:val="000000"/>
          <w:shd w:val="clear" w:color="auto" w:fill="FFFFFF"/>
        </w:rPr>
        <w:t>Q</w:t>
      </w:r>
      <w:r>
        <w:rPr>
          <w:rFonts w:cs="Calibri"/>
          <w:color w:val="000000"/>
          <w:shd w:val="clear" w:color="auto" w:fill="FFFFFF"/>
        </w:rPr>
        <w:t>3</w:t>
      </w:r>
      <w:r w:rsidRPr="00ED7280">
        <w:rPr>
          <w:rFonts w:cs="Calibri"/>
          <w:color w:val="000000"/>
          <w:shd w:val="clear" w:color="auto" w:fill="FFFFFF"/>
        </w:rPr>
        <w:t> 2022</w:t>
      </w:r>
      <w:r w:rsidR="008B2B48">
        <w:rPr>
          <w:rFonts w:cs="Calibri"/>
          <w:color w:val="000000"/>
          <w:shd w:val="clear" w:color="auto" w:fill="FFFFFF"/>
        </w:rPr>
        <w:t>.</w:t>
      </w:r>
      <w:r w:rsidR="00791013">
        <w:rPr>
          <w:rFonts w:cs="Calibri"/>
          <w:color w:val="000000"/>
          <w:shd w:val="clear" w:color="auto" w:fill="FFFFFF"/>
        </w:rPr>
        <w:t xml:space="preserve"> </w:t>
      </w:r>
    </w:p>
    <w:p w14:paraId="4BA52AD2" w14:textId="77777777" w:rsidR="00E24924" w:rsidRPr="00CB236B" w:rsidRDefault="00E24924" w:rsidP="00E24924">
      <w:pPr>
        <w:rPr>
          <w:rFonts w:eastAsia="Calibri" w:cs="Arial"/>
          <w:b/>
          <w:color w:val="000000" w:themeColor="text1"/>
        </w:rPr>
      </w:pPr>
    </w:p>
    <w:tbl>
      <w:tblPr>
        <w:tblStyle w:val="TableGrid"/>
        <w:tblpPr w:leftFromText="180" w:rightFromText="180" w:vertAnchor="text" w:horzAnchor="margin" w:tblpY="119"/>
        <w:tblW w:w="9510" w:type="dxa"/>
        <w:tblLook w:val="04A0" w:firstRow="1" w:lastRow="0" w:firstColumn="1" w:lastColumn="0" w:noHBand="0" w:noVBand="1"/>
      </w:tblPr>
      <w:tblGrid>
        <w:gridCol w:w="9510"/>
      </w:tblGrid>
      <w:tr w:rsidR="00E24924" w:rsidRPr="00D03F1F" w14:paraId="1CB4723A" w14:textId="77777777" w:rsidTr="007C7424">
        <w:trPr>
          <w:trHeight w:val="385"/>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7E4B9AF" w14:textId="77777777" w:rsidR="00E24924" w:rsidRPr="00BB1A2A" w:rsidRDefault="00E24924" w:rsidP="009B00D1">
            <w:pPr>
              <w:contextualSpacing/>
              <w:rPr>
                <w:rFonts w:cs="Calibri"/>
                <w:sz w:val="28"/>
                <w:szCs w:val="28"/>
              </w:rPr>
            </w:pPr>
            <w:r w:rsidRPr="00BB1A2A">
              <w:rPr>
                <w:rFonts w:eastAsia="Calibri" w:cs="Calibri"/>
                <w:b/>
                <w:color w:val="000000" w:themeColor="text1"/>
                <w:sz w:val="28"/>
                <w:szCs w:val="28"/>
              </w:rPr>
              <w:t>Stopping the School-To-Prison Pipeline (</w:t>
            </w:r>
            <w:bookmarkStart w:id="77" w:name="SSPP"/>
            <w:r w:rsidRPr="00BB1A2A">
              <w:rPr>
                <w:rFonts w:eastAsia="Calibri" w:cs="Calibri"/>
                <w:b/>
                <w:color w:val="000000" w:themeColor="text1"/>
                <w:sz w:val="28"/>
                <w:szCs w:val="28"/>
              </w:rPr>
              <w:t>SSPP</w:t>
            </w:r>
            <w:bookmarkEnd w:id="77"/>
            <w:r w:rsidRPr="00BB1A2A">
              <w:rPr>
                <w:rFonts w:eastAsia="Calibri" w:cs="Calibri"/>
                <w:b/>
                <w:color w:val="000000" w:themeColor="text1"/>
                <w:sz w:val="28"/>
                <w:szCs w:val="28"/>
              </w:rPr>
              <w:t>)</w:t>
            </w:r>
          </w:p>
        </w:tc>
      </w:tr>
    </w:tbl>
    <w:tbl>
      <w:tblPr>
        <w:tblW w:w="9540" w:type="dxa"/>
        <w:tblLook w:val="04A0" w:firstRow="1" w:lastRow="0" w:firstColumn="1" w:lastColumn="0" w:noHBand="0" w:noVBand="1"/>
      </w:tblPr>
      <w:tblGrid>
        <w:gridCol w:w="970"/>
        <w:gridCol w:w="1186"/>
        <w:gridCol w:w="1186"/>
        <w:gridCol w:w="1187"/>
        <w:gridCol w:w="1187"/>
        <w:gridCol w:w="1187"/>
        <w:gridCol w:w="1187"/>
        <w:gridCol w:w="1450"/>
      </w:tblGrid>
      <w:tr w:rsidR="00E24924" w:rsidRPr="00811DF6" w14:paraId="6F6B58F5" w14:textId="77777777" w:rsidTr="00934B25">
        <w:trPr>
          <w:trHeight w:val="332"/>
        </w:trPr>
        <w:tc>
          <w:tcPr>
            <w:tcW w:w="9540" w:type="dxa"/>
            <w:gridSpan w:val="8"/>
            <w:tcBorders>
              <w:top w:val="nil"/>
              <w:left w:val="nil"/>
              <w:bottom w:val="single" w:sz="12" w:space="0" w:color="FFD966"/>
              <w:right w:val="nil"/>
            </w:tcBorders>
            <w:shd w:val="clear" w:color="auto" w:fill="auto"/>
            <w:noWrap/>
            <w:vAlign w:val="bottom"/>
            <w:hideMark/>
          </w:tcPr>
          <w:p w14:paraId="518ED417" w14:textId="77777777" w:rsidR="00E24924" w:rsidRPr="00811DF6" w:rsidRDefault="00E24924" w:rsidP="009B00D1">
            <w:pPr>
              <w:spacing w:line="240" w:lineRule="auto"/>
              <w:rPr>
                <w:rFonts w:eastAsia="Times New Roman" w:cs="Calibri"/>
                <w:b/>
                <w:bCs/>
                <w:i/>
                <w:iCs/>
                <w:color w:val="000000"/>
              </w:rPr>
            </w:pPr>
            <w:r w:rsidRPr="00811DF6">
              <w:rPr>
                <w:rFonts w:eastAsia="Times New Roman" w:cs="Calibri"/>
                <w:b/>
                <w:bCs/>
                <w:i/>
                <w:iCs/>
                <w:color w:val="000000"/>
              </w:rPr>
              <w:t>Funding Estimate:</w:t>
            </w:r>
          </w:p>
        </w:tc>
      </w:tr>
      <w:tr w:rsidR="00E24924" w:rsidRPr="00811DF6" w14:paraId="354C4DA3" w14:textId="77777777" w:rsidTr="00934B25">
        <w:trPr>
          <w:trHeight w:val="443"/>
        </w:trPr>
        <w:tc>
          <w:tcPr>
            <w:tcW w:w="970" w:type="dxa"/>
            <w:tcBorders>
              <w:top w:val="nil"/>
              <w:left w:val="single" w:sz="12" w:space="0" w:color="FFD966"/>
              <w:bottom w:val="single" w:sz="8" w:space="0" w:color="FFD966"/>
              <w:right w:val="single" w:sz="8" w:space="0" w:color="FFD966"/>
            </w:tcBorders>
            <w:shd w:val="clear" w:color="000000" w:fill="D9E1F2"/>
            <w:noWrap/>
            <w:vAlign w:val="center"/>
            <w:hideMark/>
          </w:tcPr>
          <w:p w14:paraId="0440B0B5" w14:textId="77777777" w:rsidR="00E24924" w:rsidRPr="00811DF6" w:rsidRDefault="00E24924" w:rsidP="009B00D1">
            <w:pPr>
              <w:spacing w:line="240" w:lineRule="auto"/>
              <w:rPr>
                <w:rFonts w:eastAsia="Times New Roman" w:cs="Calibri"/>
                <w:b/>
                <w:bCs/>
                <w:i/>
                <w:iCs/>
              </w:rPr>
            </w:pPr>
            <w:r w:rsidRPr="00811DF6">
              <w:rPr>
                <w:rFonts w:eastAsia="Times New Roman" w:cs="Calibri"/>
                <w:b/>
                <w:bCs/>
                <w:i/>
                <w:iCs/>
              </w:rPr>
              <w:t>Year</w:t>
            </w:r>
          </w:p>
        </w:tc>
        <w:tc>
          <w:tcPr>
            <w:tcW w:w="1186" w:type="dxa"/>
            <w:tcBorders>
              <w:top w:val="nil"/>
              <w:left w:val="nil"/>
              <w:bottom w:val="single" w:sz="8" w:space="0" w:color="FFD966"/>
              <w:right w:val="single" w:sz="8" w:space="0" w:color="FFD966"/>
            </w:tcBorders>
            <w:shd w:val="clear" w:color="000000" w:fill="D9E1F2"/>
            <w:noWrap/>
            <w:vAlign w:val="center"/>
            <w:hideMark/>
          </w:tcPr>
          <w:p w14:paraId="40C7D36A" w14:textId="77777777" w:rsidR="00E24924" w:rsidRPr="00811DF6" w:rsidRDefault="00E24924" w:rsidP="009B00D1">
            <w:pPr>
              <w:spacing w:line="240" w:lineRule="auto"/>
              <w:jc w:val="right"/>
              <w:rPr>
                <w:rFonts w:eastAsia="Times New Roman" w:cs="Calibri"/>
              </w:rPr>
            </w:pPr>
            <w:r w:rsidRPr="00811DF6">
              <w:rPr>
                <w:rFonts w:eastAsia="Times New Roman" w:cs="Calibri"/>
              </w:rPr>
              <w:t>2022</w:t>
            </w:r>
          </w:p>
        </w:tc>
        <w:tc>
          <w:tcPr>
            <w:tcW w:w="1186" w:type="dxa"/>
            <w:tcBorders>
              <w:top w:val="nil"/>
              <w:left w:val="nil"/>
              <w:bottom w:val="single" w:sz="8" w:space="0" w:color="FFD966"/>
              <w:right w:val="single" w:sz="8" w:space="0" w:color="FFD966"/>
            </w:tcBorders>
            <w:shd w:val="clear" w:color="000000" w:fill="D9E1F2"/>
            <w:noWrap/>
            <w:vAlign w:val="center"/>
            <w:hideMark/>
          </w:tcPr>
          <w:p w14:paraId="4D06642C" w14:textId="77777777" w:rsidR="00E24924" w:rsidRPr="00811DF6" w:rsidRDefault="00E24924" w:rsidP="009B00D1">
            <w:pPr>
              <w:spacing w:line="240" w:lineRule="auto"/>
              <w:jc w:val="right"/>
              <w:rPr>
                <w:rFonts w:eastAsia="Times New Roman" w:cs="Calibri"/>
              </w:rPr>
            </w:pPr>
            <w:r w:rsidRPr="00811DF6">
              <w:rPr>
                <w:rFonts w:eastAsia="Times New Roman" w:cs="Calibri"/>
              </w:rPr>
              <w:t>2023</w:t>
            </w:r>
          </w:p>
        </w:tc>
        <w:tc>
          <w:tcPr>
            <w:tcW w:w="1187" w:type="dxa"/>
            <w:tcBorders>
              <w:top w:val="nil"/>
              <w:left w:val="nil"/>
              <w:bottom w:val="single" w:sz="8" w:space="0" w:color="FFD966"/>
              <w:right w:val="single" w:sz="8" w:space="0" w:color="FFD966"/>
            </w:tcBorders>
            <w:shd w:val="clear" w:color="000000" w:fill="D9E1F2"/>
            <w:noWrap/>
            <w:vAlign w:val="center"/>
            <w:hideMark/>
          </w:tcPr>
          <w:p w14:paraId="093DBD96" w14:textId="77777777" w:rsidR="00E24924" w:rsidRPr="00811DF6" w:rsidRDefault="00E24924" w:rsidP="009B00D1">
            <w:pPr>
              <w:spacing w:line="240" w:lineRule="auto"/>
              <w:jc w:val="right"/>
              <w:rPr>
                <w:rFonts w:eastAsia="Times New Roman" w:cs="Calibri"/>
              </w:rPr>
            </w:pPr>
            <w:r w:rsidRPr="00811DF6">
              <w:rPr>
                <w:rFonts w:eastAsia="Times New Roman" w:cs="Calibri"/>
              </w:rPr>
              <w:t>2024</w:t>
            </w:r>
          </w:p>
        </w:tc>
        <w:tc>
          <w:tcPr>
            <w:tcW w:w="1187" w:type="dxa"/>
            <w:tcBorders>
              <w:top w:val="nil"/>
              <w:left w:val="nil"/>
              <w:bottom w:val="single" w:sz="8" w:space="0" w:color="FFD966"/>
              <w:right w:val="single" w:sz="8" w:space="0" w:color="FFD966"/>
            </w:tcBorders>
            <w:shd w:val="clear" w:color="000000" w:fill="D9E1F2"/>
            <w:noWrap/>
            <w:vAlign w:val="center"/>
            <w:hideMark/>
          </w:tcPr>
          <w:p w14:paraId="209ECF8D" w14:textId="77777777" w:rsidR="00E24924" w:rsidRPr="00811DF6" w:rsidRDefault="00E24924" w:rsidP="009B00D1">
            <w:pPr>
              <w:spacing w:line="240" w:lineRule="auto"/>
              <w:jc w:val="right"/>
              <w:rPr>
                <w:rFonts w:eastAsia="Times New Roman" w:cs="Calibri"/>
              </w:rPr>
            </w:pPr>
            <w:r w:rsidRPr="00811DF6">
              <w:rPr>
                <w:rFonts w:eastAsia="Times New Roman" w:cs="Calibri"/>
              </w:rPr>
              <w:t>2025</w:t>
            </w:r>
          </w:p>
        </w:tc>
        <w:tc>
          <w:tcPr>
            <w:tcW w:w="1187" w:type="dxa"/>
            <w:tcBorders>
              <w:top w:val="nil"/>
              <w:left w:val="nil"/>
              <w:bottom w:val="single" w:sz="8" w:space="0" w:color="FFD966"/>
              <w:right w:val="single" w:sz="8" w:space="0" w:color="FFD966"/>
            </w:tcBorders>
            <w:shd w:val="clear" w:color="000000" w:fill="D9E1F2"/>
            <w:noWrap/>
            <w:vAlign w:val="center"/>
            <w:hideMark/>
          </w:tcPr>
          <w:p w14:paraId="078D2693" w14:textId="77777777" w:rsidR="00E24924" w:rsidRPr="00811DF6" w:rsidRDefault="00E24924" w:rsidP="009B00D1">
            <w:pPr>
              <w:spacing w:line="240" w:lineRule="auto"/>
              <w:jc w:val="right"/>
              <w:rPr>
                <w:rFonts w:eastAsia="Times New Roman" w:cs="Calibri"/>
              </w:rPr>
            </w:pPr>
            <w:r w:rsidRPr="00811DF6">
              <w:rPr>
                <w:rFonts w:eastAsia="Times New Roman" w:cs="Calibri"/>
              </w:rPr>
              <w:t>2026</w:t>
            </w:r>
          </w:p>
        </w:tc>
        <w:tc>
          <w:tcPr>
            <w:tcW w:w="1187" w:type="dxa"/>
            <w:tcBorders>
              <w:top w:val="nil"/>
              <w:left w:val="nil"/>
              <w:bottom w:val="single" w:sz="8" w:space="0" w:color="FFD966"/>
              <w:right w:val="single" w:sz="8" w:space="0" w:color="FFD966"/>
            </w:tcBorders>
            <w:shd w:val="clear" w:color="000000" w:fill="D9E1F2"/>
            <w:noWrap/>
            <w:vAlign w:val="center"/>
            <w:hideMark/>
          </w:tcPr>
          <w:p w14:paraId="4D0D7A6B" w14:textId="77777777" w:rsidR="00E24924" w:rsidRPr="00811DF6" w:rsidRDefault="00E24924" w:rsidP="009B00D1">
            <w:pPr>
              <w:spacing w:line="240" w:lineRule="auto"/>
              <w:jc w:val="right"/>
              <w:rPr>
                <w:rFonts w:eastAsia="Times New Roman" w:cs="Calibri"/>
              </w:rPr>
            </w:pPr>
            <w:r w:rsidRPr="00811DF6">
              <w:rPr>
                <w:rFonts w:eastAsia="Times New Roman" w:cs="Calibri"/>
              </w:rPr>
              <w:t>2027</w:t>
            </w:r>
          </w:p>
        </w:tc>
        <w:tc>
          <w:tcPr>
            <w:tcW w:w="1450" w:type="dxa"/>
            <w:tcBorders>
              <w:top w:val="nil"/>
              <w:left w:val="nil"/>
              <w:bottom w:val="single" w:sz="8" w:space="0" w:color="FFD966"/>
              <w:right w:val="single" w:sz="12" w:space="0" w:color="FFD966"/>
            </w:tcBorders>
            <w:shd w:val="clear" w:color="000000" w:fill="D9E1F2"/>
            <w:noWrap/>
            <w:vAlign w:val="center"/>
            <w:hideMark/>
          </w:tcPr>
          <w:p w14:paraId="191E2A5F" w14:textId="77777777" w:rsidR="00E24924" w:rsidRPr="00811DF6" w:rsidRDefault="00E24924" w:rsidP="009B00D1">
            <w:pPr>
              <w:spacing w:line="240" w:lineRule="auto"/>
              <w:jc w:val="right"/>
              <w:rPr>
                <w:rFonts w:eastAsia="Times New Roman" w:cs="Calibri"/>
                <w:b/>
                <w:bCs/>
                <w:i/>
                <w:iCs/>
              </w:rPr>
            </w:pPr>
            <w:r w:rsidRPr="00811DF6">
              <w:rPr>
                <w:rFonts w:eastAsia="Times New Roman" w:cs="Calibri"/>
                <w:b/>
                <w:bCs/>
                <w:i/>
                <w:iCs/>
              </w:rPr>
              <w:t>Total</w:t>
            </w:r>
          </w:p>
        </w:tc>
      </w:tr>
      <w:tr w:rsidR="00E24924" w:rsidRPr="00811DF6" w14:paraId="1A71B0A4" w14:textId="77777777" w:rsidTr="00934B25">
        <w:trPr>
          <w:trHeight w:val="443"/>
        </w:trPr>
        <w:tc>
          <w:tcPr>
            <w:tcW w:w="970" w:type="dxa"/>
            <w:tcBorders>
              <w:top w:val="nil"/>
              <w:left w:val="single" w:sz="12" w:space="0" w:color="FFD966"/>
              <w:bottom w:val="single" w:sz="12" w:space="0" w:color="FFD966"/>
              <w:right w:val="single" w:sz="8" w:space="0" w:color="FFD966"/>
            </w:tcBorders>
            <w:shd w:val="clear" w:color="auto" w:fill="auto"/>
            <w:noWrap/>
            <w:vAlign w:val="center"/>
            <w:hideMark/>
          </w:tcPr>
          <w:p w14:paraId="4B4B38DC" w14:textId="77777777" w:rsidR="00E24924" w:rsidRPr="00811DF6" w:rsidRDefault="00E24924" w:rsidP="009B00D1">
            <w:pPr>
              <w:spacing w:line="240" w:lineRule="auto"/>
              <w:rPr>
                <w:rFonts w:eastAsia="Times New Roman" w:cs="Calibri"/>
                <w:b/>
                <w:bCs/>
                <w:i/>
                <w:iCs/>
                <w:color w:val="000000"/>
              </w:rPr>
            </w:pPr>
            <w:r w:rsidRPr="00811DF6">
              <w:rPr>
                <w:rFonts w:eastAsia="Times New Roman" w:cs="Calibri"/>
                <w:b/>
                <w:bCs/>
                <w:i/>
                <w:iCs/>
                <w:color w:val="000000"/>
              </w:rPr>
              <w:t>Amount</w:t>
            </w:r>
          </w:p>
        </w:tc>
        <w:tc>
          <w:tcPr>
            <w:tcW w:w="1186" w:type="dxa"/>
            <w:tcBorders>
              <w:top w:val="nil"/>
              <w:left w:val="nil"/>
              <w:bottom w:val="single" w:sz="12" w:space="0" w:color="FFD966"/>
              <w:right w:val="single" w:sz="8" w:space="0" w:color="FFD966"/>
            </w:tcBorders>
            <w:shd w:val="clear" w:color="auto" w:fill="auto"/>
            <w:noWrap/>
            <w:vAlign w:val="center"/>
            <w:hideMark/>
          </w:tcPr>
          <w:p w14:paraId="1FD1372D"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$4,650,000 </w:t>
            </w:r>
          </w:p>
        </w:tc>
        <w:tc>
          <w:tcPr>
            <w:tcW w:w="1186" w:type="dxa"/>
            <w:tcBorders>
              <w:top w:val="nil"/>
              <w:left w:val="nil"/>
              <w:bottom w:val="single" w:sz="12" w:space="0" w:color="FFD966"/>
              <w:right w:val="single" w:sz="8" w:space="0" w:color="FFD966"/>
            </w:tcBorders>
            <w:shd w:val="clear" w:color="auto" w:fill="auto"/>
            <w:noWrap/>
            <w:vAlign w:val="center"/>
            <w:hideMark/>
          </w:tcPr>
          <w:p w14:paraId="383E785D"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$4,752,000 </w:t>
            </w:r>
          </w:p>
        </w:tc>
        <w:tc>
          <w:tcPr>
            <w:tcW w:w="1187" w:type="dxa"/>
            <w:tcBorders>
              <w:top w:val="nil"/>
              <w:left w:val="nil"/>
              <w:bottom w:val="single" w:sz="12" w:space="0" w:color="FFD966"/>
              <w:right w:val="single" w:sz="8" w:space="0" w:color="FFD966"/>
            </w:tcBorders>
            <w:shd w:val="clear" w:color="auto" w:fill="auto"/>
            <w:noWrap/>
            <w:vAlign w:val="center"/>
            <w:hideMark/>
          </w:tcPr>
          <w:p w14:paraId="4F9C5868"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$4,857,000 </w:t>
            </w:r>
          </w:p>
        </w:tc>
        <w:tc>
          <w:tcPr>
            <w:tcW w:w="1187" w:type="dxa"/>
            <w:tcBorders>
              <w:top w:val="nil"/>
              <w:left w:val="nil"/>
              <w:bottom w:val="single" w:sz="12" w:space="0" w:color="FFD966"/>
              <w:right w:val="single" w:sz="8" w:space="0" w:color="FFD966"/>
            </w:tcBorders>
            <w:shd w:val="clear" w:color="auto" w:fill="auto"/>
            <w:noWrap/>
            <w:vAlign w:val="center"/>
            <w:hideMark/>
          </w:tcPr>
          <w:p w14:paraId="3BF878B4"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$4,964,000 </w:t>
            </w:r>
          </w:p>
        </w:tc>
        <w:tc>
          <w:tcPr>
            <w:tcW w:w="1187" w:type="dxa"/>
            <w:tcBorders>
              <w:top w:val="nil"/>
              <w:left w:val="nil"/>
              <w:bottom w:val="single" w:sz="12" w:space="0" w:color="FFD966"/>
              <w:right w:val="single" w:sz="8" w:space="0" w:color="FFD966"/>
            </w:tcBorders>
            <w:shd w:val="clear" w:color="auto" w:fill="auto"/>
            <w:noWrap/>
            <w:vAlign w:val="center"/>
            <w:hideMark/>
          </w:tcPr>
          <w:p w14:paraId="463B72F2"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$5,073,000 </w:t>
            </w:r>
          </w:p>
        </w:tc>
        <w:tc>
          <w:tcPr>
            <w:tcW w:w="1187" w:type="dxa"/>
            <w:tcBorders>
              <w:top w:val="nil"/>
              <w:left w:val="nil"/>
              <w:bottom w:val="single" w:sz="12" w:space="0" w:color="FFD966"/>
              <w:right w:val="single" w:sz="8" w:space="0" w:color="FFD966"/>
            </w:tcBorders>
            <w:shd w:val="clear" w:color="auto" w:fill="auto"/>
            <w:noWrap/>
            <w:vAlign w:val="center"/>
            <w:hideMark/>
          </w:tcPr>
          <w:p w14:paraId="71B59AC8"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$5,185,000 </w:t>
            </w:r>
          </w:p>
        </w:tc>
        <w:tc>
          <w:tcPr>
            <w:tcW w:w="1450" w:type="dxa"/>
            <w:tcBorders>
              <w:top w:val="nil"/>
              <w:left w:val="nil"/>
              <w:bottom w:val="single" w:sz="12" w:space="0" w:color="FFD966"/>
              <w:right w:val="single" w:sz="12" w:space="0" w:color="FFD966"/>
            </w:tcBorders>
            <w:shd w:val="clear" w:color="auto" w:fill="auto"/>
            <w:noWrap/>
            <w:vAlign w:val="center"/>
            <w:hideMark/>
          </w:tcPr>
          <w:p w14:paraId="5EFFE7EF" w14:textId="77777777" w:rsidR="00E24924" w:rsidRPr="00811DF6" w:rsidRDefault="00E24924" w:rsidP="009B00D1">
            <w:pPr>
              <w:spacing w:line="240" w:lineRule="auto"/>
              <w:jc w:val="right"/>
              <w:rPr>
                <w:rFonts w:eastAsia="Times New Roman" w:cs="Calibri"/>
                <w:b/>
                <w:bCs/>
                <w:color w:val="000000"/>
              </w:rPr>
            </w:pPr>
            <w:r w:rsidRPr="00811DF6">
              <w:rPr>
                <w:rFonts w:eastAsia="Times New Roman" w:cs="Calibri"/>
                <w:b/>
                <w:bCs/>
                <w:color w:val="000000"/>
              </w:rPr>
              <w:t xml:space="preserve">$29,480,000 </w:t>
            </w:r>
          </w:p>
        </w:tc>
      </w:tr>
    </w:tbl>
    <w:p w14:paraId="16923DE0" w14:textId="77777777" w:rsidR="00E24924" w:rsidRDefault="00E24924" w:rsidP="00E24924">
      <w:pPr>
        <w:contextualSpacing/>
        <w:rPr>
          <w:rFonts w:eastAsia="Calibri" w:cs="Calibri"/>
          <w:b/>
          <w:bCs/>
          <w:color w:val="000000" w:themeColor="text1"/>
        </w:rPr>
      </w:pPr>
    </w:p>
    <w:p w14:paraId="035C79FE" w14:textId="77777777" w:rsidR="00E24924" w:rsidRPr="00D03F1F" w:rsidRDefault="00E24924" w:rsidP="00E24924">
      <w:pPr>
        <w:contextualSpacing/>
        <w:rPr>
          <w:rFonts w:eastAsia="Calibri" w:cs="Calibri"/>
          <w:color w:val="000000" w:themeColor="text1"/>
        </w:rPr>
      </w:pPr>
      <w:r w:rsidRPr="00D03F1F">
        <w:rPr>
          <w:rFonts w:eastAsia="Calibri" w:cs="Calibri"/>
          <w:b/>
          <w:color w:val="000000" w:themeColor="text1"/>
        </w:rPr>
        <w:t>Description</w:t>
      </w:r>
      <w:r>
        <w:rPr>
          <w:rFonts w:eastAsia="Calibri" w:cs="Calibri"/>
          <w:b/>
          <w:bCs/>
          <w:color w:val="000000" w:themeColor="text1"/>
        </w:rPr>
        <w:t>:</w:t>
      </w:r>
    </w:p>
    <w:p w14:paraId="0DC0C0EB" w14:textId="088F8FF3" w:rsidR="00E24924" w:rsidRPr="00D03F1F" w:rsidRDefault="00E24924" w:rsidP="00E24924">
      <w:pPr>
        <w:contextualSpacing/>
        <w:rPr>
          <w:rFonts w:eastAsia="Calibri" w:cs="Calibri"/>
          <w:color w:val="000000" w:themeColor="text1"/>
        </w:rPr>
      </w:pPr>
      <w:r w:rsidRPr="00D03F1F">
        <w:rPr>
          <w:rFonts w:eastAsia="Calibri" w:cs="Calibri"/>
          <w:color w:val="000000" w:themeColor="text1"/>
        </w:rPr>
        <w:t xml:space="preserve">The </w:t>
      </w:r>
      <w:r w:rsidRPr="1BF2F0B1">
        <w:rPr>
          <w:rFonts w:eastAsia="Calibri" w:cs="Calibri"/>
          <w:color w:val="000000" w:themeColor="text1"/>
        </w:rPr>
        <w:t xml:space="preserve">SSPP </w:t>
      </w:r>
      <w:r w:rsidRPr="00D03F1F">
        <w:rPr>
          <w:rFonts w:eastAsia="Calibri" w:cs="Calibri"/>
          <w:color w:val="000000" w:themeColor="text1"/>
        </w:rPr>
        <w:t xml:space="preserve">strategy invests in </w:t>
      </w:r>
      <w:r w:rsidRPr="1BF2F0B1">
        <w:rPr>
          <w:rFonts w:eastAsia="Calibri" w:cs="Calibri"/>
          <w:color w:val="000000" w:themeColor="text1"/>
        </w:rPr>
        <w:t>direct service</w:t>
      </w:r>
      <w:r w:rsidRPr="00D03F1F">
        <w:rPr>
          <w:rFonts w:eastAsia="Calibri" w:cs="Calibri"/>
          <w:color w:val="000000" w:themeColor="text1"/>
        </w:rPr>
        <w:t xml:space="preserve"> </w:t>
      </w:r>
      <w:r>
        <w:rPr>
          <w:rFonts w:eastAsia="Calibri" w:cs="Calibri"/>
          <w:color w:val="000000" w:themeColor="text1"/>
        </w:rPr>
        <w:t>programs</w:t>
      </w:r>
      <w:r w:rsidRPr="00D03F1F">
        <w:rPr>
          <w:rFonts w:eastAsia="Calibri" w:cs="Calibri"/>
          <w:color w:val="000000" w:themeColor="text1"/>
        </w:rPr>
        <w:t xml:space="preserve"> as an alternative to harmful punitive legal measures</w:t>
      </w:r>
      <w:r w:rsidRPr="1BF2F0B1">
        <w:rPr>
          <w:rFonts w:eastAsia="Calibri" w:cs="Calibri"/>
          <w:color w:val="000000" w:themeColor="text1"/>
        </w:rPr>
        <w:t>, and drives policy and systems change work to shift the current juvenile legal system</w:t>
      </w:r>
      <w:r w:rsidR="006A39FA">
        <w:rPr>
          <w:rFonts w:eastAsia="Calibri" w:cs="Calibri"/>
          <w:color w:val="000000" w:themeColor="text1"/>
        </w:rPr>
        <w:t>.</w:t>
      </w:r>
      <w:r w:rsidR="00791013">
        <w:rPr>
          <w:rFonts w:eastAsia="Calibri" w:cs="Calibri"/>
          <w:color w:val="000000" w:themeColor="text1"/>
        </w:rPr>
        <w:t xml:space="preserve"> </w:t>
      </w:r>
      <w:r w:rsidRPr="00D03F1F">
        <w:rPr>
          <w:rFonts w:eastAsia="Calibri" w:cs="Calibri"/>
          <w:color w:val="000000" w:themeColor="text1"/>
        </w:rPr>
        <w:t>SSPP</w:t>
      </w:r>
      <w:r w:rsidRPr="00D03F1F" w:rsidDel="009F1A66">
        <w:rPr>
          <w:rFonts w:eastAsia="Calibri" w:cs="Calibri"/>
          <w:color w:val="000000" w:themeColor="text1"/>
        </w:rPr>
        <w:t xml:space="preserve"> </w:t>
      </w:r>
      <w:r w:rsidRPr="00D03F1F">
        <w:rPr>
          <w:rFonts w:eastAsia="Calibri" w:cs="Calibri"/>
          <w:color w:val="000000" w:themeColor="text1"/>
        </w:rPr>
        <w:t xml:space="preserve">partners with community-based organizations to </w:t>
      </w:r>
      <w:r w:rsidRPr="1BF2F0B1">
        <w:rPr>
          <w:rFonts w:eastAsia="Calibri" w:cs="Calibri"/>
          <w:color w:val="000000" w:themeColor="text1"/>
        </w:rPr>
        <w:t>serve</w:t>
      </w:r>
      <w:r w:rsidRPr="00D03F1F">
        <w:rPr>
          <w:rFonts w:eastAsia="Calibri" w:cs="Calibri"/>
          <w:color w:val="000000" w:themeColor="text1"/>
        </w:rPr>
        <w:t xml:space="preserve"> 12</w:t>
      </w:r>
      <w:r w:rsidR="0052175B">
        <w:rPr>
          <w:rFonts w:eastAsia="Calibri" w:cs="Calibri"/>
          <w:color w:val="000000" w:themeColor="text1"/>
        </w:rPr>
        <w:t>-</w:t>
      </w:r>
      <w:r w:rsidRPr="00D03F1F">
        <w:rPr>
          <w:rFonts w:eastAsia="Calibri" w:cs="Calibri"/>
          <w:color w:val="000000" w:themeColor="text1"/>
        </w:rPr>
        <w:t xml:space="preserve"> to</w:t>
      </w:r>
      <w:r>
        <w:rPr>
          <w:rFonts w:eastAsia="Calibri" w:cs="Calibri"/>
          <w:color w:val="000000" w:themeColor="text1"/>
        </w:rPr>
        <w:t xml:space="preserve"> </w:t>
      </w:r>
      <w:r w:rsidRPr="00D03F1F">
        <w:rPr>
          <w:rFonts w:eastAsia="Calibri" w:cs="Calibri"/>
          <w:color w:val="000000" w:themeColor="text1"/>
        </w:rPr>
        <w:t xml:space="preserve">24-year-old young people and their families most likely to be pushed into the criminal legal system or </w:t>
      </w:r>
      <w:r w:rsidRPr="1BF2F0B1">
        <w:rPr>
          <w:rFonts w:eastAsia="Calibri" w:cs="Calibri"/>
          <w:color w:val="000000" w:themeColor="text1"/>
        </w:rPr>
        <w:t xml:space="preserve">who </w:t>
      </w:r>
      <w:r w:rsidRPr="00D03F1F">
        <w:rPr>
          <w:rFonts w:eastAsia="Calibri" w:cs="Calibri"/>
          <w:color w:val="000000" w:themeColor="text1"/>
        </w:rPr>
        <w:t xml:space="preserve">are involved in the criminal legal system. </w:t>
      </w:r>
    </w:p>
    <w:p w14:paraId="36B5C154" w14:textId="77777777" w:rsidR="00E24924" w:rsidRPr="00D03F1F" w:rsidRDefault="00E24924" w:rsidP="00E24924">
      <w:pPr>
        <w:contextualSpacing/>
        <w:rPr>
          <w:rFonts w:eastAsia="Calibri" w:cs="Calibri"/>
          <w:color w:val="000000" w:themeColor="text1"/>
        </w:rPr>
      </w:pPr>
    </w:p>
    <w:p w14:paraId="2FA84E8F" w14:textId="24A9BA1D" w:rsidR="00C01D82" w:rsidRDefault="00E24924" w:rsidP="00C01D82">
      <w:pPr>
        <w:contextualSpacing/>
        <w:rPr>
          <w:rFonts w:eastAsia="Calibri" w:cs="Calibri"/>
          <w:color w:val="000000" w:themeColor="text1"/>
        </w:rPr>
      </w:pPr>
      <w:r w:rsidRPr="00934B25">
        <w:rPr>
          <w:rFonts w:eastAsia="Calibri" w:cs="Calibri"/>
          <w:color w:val="000000" w:themeColor="text1"/>
        </w:rPr>
        <w:lastRenderedPageBreak/>
        <w:t>SSPP</w:t>
      </w:r>
      <w:r w:rsidR="00D44F35">
        <w:rPr>
          <w:rFonts w:eastAsia="Calibri" w:cs="Calibri"/>
          <w:color w:val="000000" w:themeColor="text1"/>
        </w:rPr>
        <w:t>-</w:t>
      </w:r>
      <w:r>
        <w:rPr>
          <w:rFonts w:eastAsia="Calibri" w:cs="Calibri"/>
          <w:color w:val="000000" w:themeColor="text1"/>
        </w:rPr>
        <w:t>funded</w:t>
      </w:r>
      <w:r w:rsidRPr="00D03F1F">
        <w:rPr>
          <w:rFonts w:eastAsia="Calibri" w:cs="Calibri"/>
          <w:color w:val="000000" w:themeColor="text1"/>
        </w:rPr>
        <w:t xml:space="preserve"> </w:t>
      </w:r>
      <w:r w:rsidRPr="1BF2F0B1">
        <w:rPr>
          <w:rFonts w:eastAsia="Calibri" w:cs="Calibri"/>
          <w:color w:val="000000" w:themeColor="text1"/>
        </w:rPr>
        <w:t>programming</w:t>
      </w:r>
      <w:r w:rsidRPr="00D03F1F">
        <w:rPr>
          <w:rFonts w:eastAsia="Calibri" w:cs="Calibri"/>
          <w:color w:val="000000" w:themeColor="text1"/>
        </w:rPr>
        <w:t xml:space="preserve"> </w:t>
      </w:r>
      <w:r w:rsidRPr="1BF2F0B1">
        <w:rPr>
          <w:rFonts w:eastAsia="Calibri" w:cs="Calibri"/>
          <w:color w:val="000000" w:themeColor="text1"/>
        </w:rPr>
        <w:t>builds</w:t>
      </w:r>
      <w:r w:rsidRPr="00D03F1F">
        <w:rPr>
          <w:rFonts w:eastAsia="Calibri" w:cs="Calibri"/>
          <w:color w:val="000000" w:themeColor="text1"/>
        </w:rPr>
        <w:t xml:space="preserve"> relationships, </w:t>
      </w:r>
      <w:r w:rsidRPr="1BF2F0B1">
        <w:rPr>
          <w:rFonts w:eastAsia="Calibri" w:cs="Calibri"/>
          <w:color w:val="000000" w:themeColor="text1"/>
        </w:rPr>
        <w:t>provides</w:t>
      </w:r>
      <w:r w:rsidRPr="00D03F1F">
        <w:rPr>
          <w:rFonts w:eastAsia="Calibri" w:cs="Calibri"/>
          <w:color w:val="000000" w:themeColor="text1"/>
        </w:rPr>
        <w:t xml:space="preserve"> guidance, and </w:t>
      </w:r>
      <w:r w:rsidRPr="1BF2F0B1">
        <w:rPr>
          <w:rFonts w:eastAsia="Calibri" w:cs="Calibri"/>
          <w:color w:val="000000" w:themeColor="text1"/>
        </w:rPr>
        <w:t>connects</w:t>
      </w:r>
      <w:r w:rsidRPr="00D03F1F">
        <w:rPr>
          <w:rFonts w:eastAsia="Calibri" w:cs="Calibri"/>
          <w:color w:val="000000" w:themeColor="text1"/>
        </w:rPr>
        <w:t xml:space="preserve"> young people to opportunities that advance community</w:t>
      </w:r>
      <w:r w:rsidRPr="1BF2F0B1">
        <w:rPr>
          <w:rFonts w:eastAsia="Calibri" w:cs="Calibri"/>
          <w:color w:val="000000" w:themeColor="text1"/>
        </w:rPr>
        <w:t>-</w:t>
      </w:r>
      <w:r w:rsidRPr="00D03F1F">
        <w:rPr>
          <w:rFonts w:eastAsia="Calibri" w:cs="Calibri"/>
          <w:color w:val="000000" w:themeColor="text1"/>
        </w:rPr>
        <w:t xml:space="preserve">defined economic </w:t>
      </w:r>
      <w:r w:rsidRPr="1BF2F0B1">
        <w:rPr>
          <w:rFonts w:eastAsia="Calibri" w:cs="Calibri"/>
          <w:color w:val="000000" w:themeColor="text1"/>
        </w:rPr>
        <w:t xml:space="preserve">and educational </w:t>
      </w:r>
      <w:r w:rsidRPr="00D03F1F">
        <w:rPr>
          <w:rFonts w:eastAsia="Calibri" w:cs="Calibri"/>
          <w:color w:val="000000" w:themeColor="text1"/>
        </w:rPr>
        <w:t xml:space="preserve">success for young people and their </w:t>
      </w:r>
      <w:r w:rsidRPr="2C155C0A">
        <w:rPr>
          <w:rFonts w:eastAsia="Calibri" w:cs="Calibri"/>
          <w:color w:val="000000" w:themeColor="text1"/>
        </w:rPr>
        <w:t>families from</w:t>
      </w:r>
      <w:r w:rsidRPr="00D03F1F">
        <w:rPr>
          <w:rFonts w:eastAsia="Calibri" w:cs="Calibri"/>
          <w:color w:val="000000" w:themeColor="text1"/>
        </w:rPr>
        <w:t xml:space="preserve"> any school district in King County</w:t>
      </w:r>
      <w:r w:rsidR="00FB2955">
        <w:rPr>
          <w:rFonts w:eastAsia="Calibri" w:cs="Calibri"/>
          <w:color w:val="000000" w:themeColor="text1"/>
        </w:rPr>
        <w:t>.</w:t>
      </w:r>
      <w:r w:rsidRPr="1BF2F0B1" w:rsidDel="00A45A90">
        <w:rPr>
          <w:rFonts w:eastAsia="Calibri" w:cs="Calibri"/>
          <w:color w:val="000000" w:themeColor="text1"/>
        </w:rPr>
        <w:t xml:space="preserve"> </w:t>
      </w:r>
      <w:r w:rsidR="00A45A90">
        <w:rPr>
          <w:rFonts w:eastAsia="Calibri" w:cs="Calibri"/>
          <w:color w:val="000000" w:themeColor="text1"/>
        </w:rPr>
        <w:t>Programming</w:t>
      </w:r>
      <w:r w:rsidR="00A45A90" w:rsidRPr="1BF2F0B1">
        <w:rPr>
          <w:rFonts w:eastAsia="Calibri" w:cs="Calibri"/>
          <w:color w:val="000000" w:themeColor="text1"/>
        </w:rPr>
        <w:t xml:space="preserve"> </w:t>
      </w:r>
      <w:r w:rsidRPr="1BF2F0B1">
        <w:rPr>
          <w:rFonts w:eastAsia="Calibri" w:cs="Calibri"/>
          <w:color w:val="000000" w:themeColor="text1"/>
        </w:rPr>
        <w:t>include</w:t>
      </w:r>
      <w:r w:rsidR="00A45A90">
        <w:rPr>
          <w:rFonts w:eastAsia="Calibri" w:cs="Calibri"/>
          <w:color w:val="000000" w:themeColor="text1"/>
        </w:rPr>
        <w:t>s</w:t>
      </w:r>
      <w:r w:rsidRPr="1BF2F0B1">
        <w:rPr>
          <w:rFonts w:eastAsia="Calibri" w:cs="Calibri"/>
          <w:color w:val="000000" w:themeColor="text1"/>
        </w:rPr>
        <w:t>:</w:t>
      </w:r>
    </w:p>
    <w:p w14:paraId="2F7C16BF" w14:textId="25DCA27C" w:rsidR="00E24924" w:rsidRPr="00C01D82" w:rsidRDefault="00E24924" w:rsidP="00025030">
      <w:pPr>
        <w:pStyle w:val="ListParagraph"/>
        <w:numPr>
          <w:ilvl w:val="0"/>
          <w:numId w:val="61"/>
        </w:numPr>
        <w:contextualSpacing w:val="0"/>
        <w:rPr>
          <w:rFonts w:eastAsia="Times New Roman" w:cs="Calibri"/>
        </w:rPr>
      </w:pPr>
      <w:r w:rsidRPr="00FF4A81">
        <w:rPr>
          <w:rFonts w:eastAsia="Times New Roman" w:cs="Calibri"/>
          <w:b/>
          <w:bCs/>
        </w:rPr>
        <w:t>Employment and Economic Development </w:t>
      </w:r>
      <w:r w:rsidRPr="00C01D82">
        <w:rPr>
          <w:rFonts w:eastAsia="Times New Roman" w:cs="Calibri"/>
        </w:rPr>
        <w:t>provides intentional guidance and connect</w:t>
      </w:r>
      <w:r w:rsidR="00704EDF">
        <w:rPr>
          <w:rFonts w:eastAsia="Times New Roman" w:cs="Calibri"/>
        </w:rPr>
        <w:t>ion</w:t>
      </w:r>
      <w:r w:rsidRPr="00C01D82">
        <w:rPr>
          <w:rFonts w:eastAsia="Times New Roman" w:cs="Calibri"/>
        </w:rPr>
        <w:t xml:space="preserve"> to relevant resources related primarily to employment and education opportunities such as paid skills/job training and shadowing,</w:t>
      </w:r>
      <w:r w:rsidRPr="00C01D82">
        <w:rPr>
          <w:rFonts w:eastAsia="Times New Roman" w:cs="Calibri"/>
          <w:b/>
          <w:bCs/>
        </w:rPr>
        <w:t> </w:t>
      </w:r>
      <w:r w:rsidRPr="00C01D82">
        <w:rPr>
          <w:rFonts w:eastAsia="Times New Roman" w:cs="Calibri"/>
        </w:rPr>
        <w:t>paid internships, civic and business leadership development, career and land stewardship mentoring, and culturally reflective mental health and well</w:t>
      </w:r>
      <w:r w:rsidRPr="00C01D82">
        <w:rPr>
          <w:rFonts w:eastAsia="Times New Roman" w:cs="Calibri"/>
          <w:color w:val="881798"/>
        </w:rPr>
        <w:t>-</w:t>
      </w:r>
      <w:r w:rsidRPr="00C01D82">
        <w:rPr>
          <w:rFonts w:eastAsia="Times New Roman" w:cs="Calibri"/>
        </w:rPr>
        <w:t>being supports.</w:t>
      </w:r>
    </w:p>
    <w:p w14:paraId="46815B6D" w14:textId="46F5280D" w:rsidR="00E24924" w:rsidRPr="008D6D7D" w:rsidRDefault="00E24924" w:rsidP="003420B4">
      <w:pPr>
        <w:pStyle w:val="ListParagraph"/>
        <w:numPr>
          <w:ilvl w:val="0"/>
          <w:numId w:val="47"/>
        </w:numPr>
        <w:tabs>
          <w:tab w:val="num" w:pos="720"/>
        </w:tabs>
        <w:contextualSpacing w:val="0"/>
        <w:textAlignment w:val="baseline"/>
        <w:rPr>
          <w:rFonts w:eastAsia="Times New Roman" w:cs="Calibri"/>
        </w:rPr>
      </w:pPr>
      <w:r w:rsidRPr="00FF4A81">
        <w:rPr>
          <w:rFonts w:eastAsia="Times New Roman" w:cs="Calibri"/>
          <w:b/>
          <w:bCs/>
        </w:rPr>
        <w:t>Mall Safety</w:t>
      </w:r>
      <w:r w:rsidRPr="00020581">
        <w:rPr>
          <w:rFonts w:eastAsia="Times New Roman" w:cs="Calibri"/>
          <w:i/>
          <w:iCs/>
        </w:rPr>
        <w:t> </w:t>
      </w:r>
      <w:r w:rsidRPr="00020581">
        <w:rPr>
          <w:rFonts w:eastAsia="Calibri" w:cs="Calibri"/>
        </w:rPr>
        <w:t xml:space="preserve">proactively builds caring and supportive relationships with young people on the Westfield Southcenter Mall premises, intervenes in situations on the </w:t>
      </w:r>
      <w:r w:rsidR="0052175B">
        <w:rPr>
          <w:rFonts w:eastAsia="Calibri" w:cs="Calibri"/>
        </w:rPr>
        <w:t>m</w:t>
      </w:r>
      <w:r w:rsidRPr="00020581">
        <w:rPr>
          <w:rFonts w:eastAsia="Calibri" w:cs="Calibri"/>
        </w:rPr>
        <w:t>all premises where there is a risk of violence or law enforcement involvement, and connect</w:t>
      </w:r>
      <w:r w:rsidR="004D3666">
        <w:rPr>
          <w:rFonts w:eastAsia="Calibri" w:cs="Calibri"/>
        </w:rPr>
        <w:t>s</w:t>
      </w:r>
      <w:r w:rsidRPr="00020581">
        <w:rPr>
          <w:rFonts w:eastAsia="Calibri" w:cs="Calibri"/>
        </w:rPr>
        <w:t xml:space="preserve"> youth with </w:t>
      </w:r>
      <w:r w:rsidR="004D3666">
        <w:rPr>
          <w:rFonts w:eastAsia="Calibri" w:cs="Calibri"/>
        </w:rPr>
        <w:t>needed</w:t>
      </w:r>
      <w:r w:rsidRPr="00020581">
        <w:rPr>
          <w:rFonts w:eastAsia="Calibri" w:cs="Calibri"/>
        </w:rPr>
        <w:t xml:space="preserve"> services</w:t>
      </w:r>
      <w:r w:rsidR="006A39FA">
        <w:rPr>
          <w:rFonts w:eastAsia="Calibri" w:cs="Calibri"/>
        </w:rPr>
        <w:t>.</w:t>
      </w:r>
    </w:p>
    <w:p w14:paraId="6B9D4DB8" w14:textId="18E1AC85" w:rsidR="00E24924" w:rsidRPr="008D6D7D" w:rsidRDefault="00E24924" w:rsidP="003420B4">
      <w:pPr>
        <w:pStyle w:val="ListParagraph"/>
        <w:numPr>
          <w:ilvl w:val="0"/>
          <w:numId w:val="47"/>
        </w:numPr>
        <w:tabs>
          <w:tab w:val="num" w:pos="720"/>
        </w:tabs>
        <w:contextualSpacing w:val="0"/>
        <w:textAlignment w:val="baseline"/>
        <w:rPr>
          <w:rFonts w:eastAsia="Times New Roman" w:cs="Calibri"/>
        </w:rPr>
      </w:pPr>
      <w:r w:rsidRPr="00FF4A81">
        <w:rPr>
          <w:rFonts w:eastAsia="Times New Roman" w:cs="Calibri"/>
          <w:b/>
          <w:bCs/>
        </w:rPr>
        <w:t>Education Empowerment and Engagement</w:t>
      </w:r>
      <w:r w:rsidRPr="008D6D7D">
        <w:rPr>
          <w:rFonts w:eastAsia="Times New Roman" w:cs="Calibri"/>
        </w:rPr>
        <w:t xml:space="preserve"> serv</w:t>
      </w:r>
      <w:r>
        <w:rPr>
          <w:rFonts w:eastAsia="Times New Roman" w:cs="Calibri"/>
        </w:rPr>
        <w:t xml:space="preserve">es </w:t>
      </w:r>
      <w:r w:rsidRPr="008D6D7D">
        <w:rPr>
          <w:rFonts w:eastAsia="Times New Roman" w:cs="Calibri"/>
        </w:rPr>
        <w:t xml:space="preserve">young people who have been suspended, expelled, and/or are </w:t>
      </w:r>
      <w:r w:rsidR="004D3666">
        <w:rPr>
          <w:rFonts w:eastAsia="Times New Roman" w:cs="Calibri"/>
        </w:rPr>
        <w:t xml:space="preserve">designated </w:t>
      </w:r>
      <w:r w:rsidRPr="008D6D7D">
        <w:rPr>
          <w:rFonts w:eastAsia="Times New Roman" w:cs="Calibri"/>
        </w:rPr>
        <w:t>truant, including students significantly behind in obtaining high school credits or being recommended for enrollment by case managers from DSHS, law enforcement, community youth development service providers, or school district personnel. Supports include working with students to engage in their academic success including earning their high school diploma. Services help students overcome barriers and achieve goals related to education success. </w:t>
      </w:r>
    </w:p>
    <w:p w14:paraId="0CBB85FB" w14:textId="77777777" w:rsidR="00E24924" w:rsidRPr="00D03F1F" w:rsidRDefault="00E24924" w:rsidP="00E24924">
      <w:pPr>
        <w:contextualSpacing/>
        <w:rPr>
          <w:rFonts w:eastAsia="Calibri" w:cs="Calibri"/>
          <w:b/>
          <w:bCs/>
          <w:color w:val="000000" w:themeColor="text1"/>
        </w:rPr>
      </w:pPr>
    </w:p>
    <w:p w14:paraId="57945DAC" w14:textId="77777777" w:rsidR="00561878" w:rsidRDefault="00561878" w:rsidP="00561878">
      <w:pPr>
        <w:rPr>
          <w:rFonts w:eastAsia="Calibri" w:cs="Calibri"/>
          <w:b/>
          <w:bCs/>
          <w:color w:val="1D1D1D"/>
        </w:rPr>
      </w:pPr>
      <w:r>
        <w:rPr>
          <w:rFonts w:eastAsia="Calibri" w:cs="Calibri"/>
          <w:b/>
          <w:bCs/>
          <w:color w:val="1D1D1D"/>
        </w:rPr>
        <w:t>No Planned Refinements.</w:t>
      </w:r>
    </w:p>
    <w:p w14:paraId="63DDDAE4" w14:textId="77777777" w:rsidR="00561878" w:rsidRDefault="00561878" w:rsidP="00E24924">
      <w:pPr>
        <w:contextualSpacing/>
        <w:rPr>
          <w:rFonts w:eastAsia="Calibri" w:cs="Calibri"/>
          <w:b/>
          <w:color w:val="000000" w:themeColor="text1"/>
        </w:rPr>
      </w:pPr>
    </w:p>
    <w:p w14:paraId="110FA4A9" w14:textId="670C747D" w:rsidR="00E24924" w:rsidRPr="00D03F1F" w:rsidRDefault="00E24924" w:rsidP="00E24924">
      <w:pPr>
        <w:contextualSpacing/>
        <w:rPr>
          <w:rFonts w:eastAsia="Calibri" w:cs="Calibri"/>
          <w:b/>
          <w:color w:val="000000" w:themeColor="text1"/>
        </w:rPr>
      </w:pPr>
      <w:r>
        <w:rPr>
          <w:rFonts w:eastAsia="Calibri" w:cs="Calibri"/>
          <w:b/>
          <w:color w:val="000000" w:themeColor="text1"/>
        </w:rPr>
        <w:t>A</w:t>
      </w:r>
      <w:r w:rsidR="00276BBF">
        <w:rPr>
          <w:rFonts w:eastAsia="Calibri" w:cs="Calibri"/>
          <w:b/>
          <w:color w:val="000000" w:themeColor="text1"/>
        </w:rPr>
        <w:t>pproximate</w:t>
      </w:r>
      <w:r>
        <w:rPr>
          <w:rFonts w:eastAsia="Calibri" w:cs="Calibri"/>
          <w:b/>
          <w:color w:val="000000" w:themeColor="text1"/>
        </w:rPr>
        <w:t xml:space="preserve"> Scope:  </w:t>
      </w:r>
      <w:r w:rsidRPr="00B47CE2">
        <w:rPr>
          <w:rFonts w:eastAsia="Calibri" w:cs="Calibri"/>
          <w:bCs/>
          <w:i/>
          <w:iCs/>
          <w:color w:val="000000" w:themeColor="text1"/>
        </w:rPr>
        <w:t>Best Starts</w:t>
      </w:r>
      <w:r w:rsidRPr="00472141">
        <w:rPr>
          <w:rFonts w:eastAsia="Calibri" w:cs="Calibri"/>
          <w:bCs/>
          <w:color w:val="000000" w:themeColor="text1"/>
        </w:rPr>
        <w:t xml:space="preserve"> anticipates servi</w:t>
      </w:r>
      <w:r w:rsidR="00A30211">
        <w:rPr>
          <w:rFonts w:eastAsia="Calibri" w:cs="Calibri"/>
          <w:bCs/>
          <w:color w:val="000000" w:themeColor="text1"/>
        </w:rPr>
        <w:t>ng</w:t>
      </w:r>
      <w:r w:rsidRPr="00472141">
        <w:rPr>
          <w:rFonts w:eastAsia="Calibri" w:cs="Calibri"/>
          <w:bCs/>
          <w:color w:val="000000" w:themeColor="text1"/>
        </w:rPr>
        <w:t xml:space="preserve"> 1</w:t>
      </w:r>
      <w:r w:rsidR="0052175B">
        <w:rPr>
          <w:rFonts w:eastAsia="Calibri" w:cs="Calibri"/>
          <w:bCs/>
          <w:color w:val="000000" w:themeColor="text1"/>
        </w:rPr>
        <w:t>,</w:t>
      </w:r>
      <w:r w:rsidRPr="00472141">
        <w:rPr>
          <w:rFonts w:eastAsia="Calibri" w:cs="Calibri"/>
          <w:bCs/>
          <w:color w:val="000000" w:themeColor="text1"/>
        </w:rPr>
        <w:t>400 youth and young adults per year.</w:t>
      </w:r>
      <w:r>
        <w:rPr>
          <w:rFonts w:eastAsia="Calibri" w:cs="Calibri"/>
          <w:b/>
          <w:color w:val="000000" w:themeColor="text1"/>
        </w:rPr>
        <w:t xml:space="preserve"> </w:t>
      </w:r>
    </w:p>
    <w:p w14:paraId="2C7CD9AE" w14:textId="77777777" w:rsidR="00DF0685" w:rsidRDefault="00DF0685" w:rsidP="00E24924">
      <w:pPr>
        <w:rPr>
          <w:rFonts w:eastAsia="Calibri" w:cs="Calibri"/>
          <w:b/>
          <w:bCs/>
          <w:color w:val="000000" w:themeColor="text1"/>
        </w:rPr>
      </w:pPr>
    </w:p>
    <w:p w14:paraId="1AE6824C" w14:textId="3FC9D520" w:rsidR="00E24924" w:rsidRPr="003E4F64" w:rsidRDefault="00E24924" w:rsidP="003E4F64">
      <w:pPr>
        <w:rPr>
          <w:rFonts w:eastAsia="Calibri" w:cs="Calibri"/>
          <w:b/>
          <w:bCs/>
          <w:color w:val="000000" w:themeColor="text1"/>
        </w:rPr>
      </w:pPr>
      <w:r w:rsidRPr="351B1C68">
        <w:rPr>
          <w:rFonts w:eastAsia="Calibri" w:cs="Calibri"/>
          <w:b/>
          <w:bCs/>
          <w:color w:val="000000" w:themeColor="text1"/>
        </w:rPr>
        <w:t>Anticipated Timeline:</w:t>
      </w:r>
      <w:r>
        <w:rPr>
          <w:rFonts w:eastAsia="Calibri" w:cs="Calibri"/>
          <w:b/>
          <w:bCs/>
          <w:color w:val="000000" w:themeColor="text1"/>
        </w:rPr>
        <w:t xml:space="preserve"> </w:t>
      </w:r>
      <w:r w:rsidRPr="00295B32">
        <w:rPr>
          <w:rFonts w:cs="Calibri"/>
          <w:color w:val="000000"/>
          <w:shd w:val="clear" w:color="auto" w:fill="FFFFFF"/>
        </w:rPr>
        <w:t xml:space="preserve">Release </w:t>
      </w:r>
      <w:r>
        <w:rPr>
          <w:rFonts w:cs="Calibri"/>
          <w:color w:val="000000"/>
          <w:shd w:val="clear" w:color="auto" w:fill="FFFFFF"/>
        </w:rPr>
        <w:t>R</w:t>
      </w:r>
      <w:r w:rsidRPr="00295B32">
        <w:rPr>
          <w:rFonts w:cs="Calibri"/>
          <w:color w:val="000000"/>
          <w:shd w:val="clear" w:color="auto" w:fill="FFFFFF"/>
        </w:rPr>
        <w:t xml:space="preserve">FP </w:t>
      </w:r>
      <w:r>
        <w:rPr>
          <w:rFonts w:cs="Calibri"/>
          <w:color w:val="000000"/>
          <w:shd w:val="clear" w:color="auto" w:fill="FFFFFF"/>
        </w:rPr>
        <w:t>Q</w:t>
      </w:r>
      <w:r w:rsidRPr="00295B32">
        <w:rPr>
          <w:rFonts w:cs="Calibri"/>
          <w:color w:val="000000"/>
          <w:shd w:val="clear" w:color="auto" w:fill="FFFFFF"/>
        </w:rPr>
        <w:t>4</w:t>
      </w:r>
      <w:r>
        <w:rPr>
          <w:rFonts w:cs="Calibri"/>
          <w:color w:val="000000"/>
          <w:shd w:val="clear" w:color="auto" w:fill="FFFFFF"/>
        </w:rPr>
        <w:t xml:space="preserve"> </w:t>
      </w:r>
      <w:r w:rsidRPr="00295B32">
        <w:rPr>
          <w:rFonts w:cs="Calibri"/>
          <w:color w:val="000000"/>
          <w:shd w:val="clear" w:color="auto" w:fill="FFFFFF"/>
        </w:rPr>
        <w:t>2021</w:t>
      </w:r>
      <w:r>
        <w:rPr>
          <w:rFonts w:cs="Calibri"/>
          <w:color w:val="000000"/>
          <w:shd w:val="clear" w:color="auto" w:fill="FFFFFF"/>
        </w:rPr>
        <w:t xml:space="preserve">. </w:t>
      </w:r>
    </w:p>
    <w:tbl>
      <w:tblPr>
        <w:tblStyle w:val="TableGrid"/>
        <w:tblpPr w:leftFromText="180" w:rightFromText="180" w:vertAnchor="text" w:horzAnchor="margin" w:tblpY="205"/>
        <w:tblW w:w="9690" w:type="dxa"/>
        <w:tblLook w:val="04A0" w:firstRow="1" w:lastRow="0" w:firstColumn="1" w:lastColumn="0" w:noHBand="0" w:noVBand="1"/>
      </w:tblPr>
      <w:tblGrid>
        <w:gridCol w:w="9690"/>
      </w:tblGrid>
      <w:tr w:rsidR="007F4C7F" w:rsidRPr="002A277B" w14:paraId="4F5500B0" w14:textId="77777777" w:rsidTr="007C7424">
        <w:trPr>
          <w:trHeight w:val="400"/>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BE3DAFD" w14:textId="77777777" w:rsidR="007F4C7F" w:rsidRPr="002A277B" w:rsidRDefault="007F4C7F" w:rsidP="007F4C7F">
            <w:pPr>
              <w:contextualSpacing/>
              <w:rPr>
                <w:rFonts w:cs="Calibri"/>
              </w:rPr>
            </w:pPr>
            <w:bookmarkStart w:id="78" w:name="Transitions_Adulthood"/>
            <w:r w:rsidRPr="00EE121B">
              <w:rPr>
                <w:rFonts w:eastAsia="Calibri" w:cs="Calibri"/>
                <w:b/>
                <w:color w:val="000000" w:themeColor="text1"/>
                <w:sz w:val="28"/>
                <w:szCs w:val="28"/>
              </w:rPr>
              <w:t>Transitions to Adulthood</w:t>
            </w:r>
            <w:r w:rsidRPr="002A277B">
              <w:rPr>
                <w:rFonts w:eastAsia="MS Mincho" w:cs="Calibri"/>
                <w:color w:val="000000" w:themeColor="text1"/>
              </w:rPr>
              <w:t xml:space="preserve"> </w:t>
            </w:r>
            <w:bookmarkEnd w:id="78"/>
            <w:r w:rsidRPr="002A277B">
              <w:rPr>
                <w:rFonts w:eastAsia="Calibri" w:cs="Calibri"/>
                <w:color w:val="000000" w:themeColor="text1"/>
              </w:rPr>
              <w:t>(formerly Youth Successfully Transitioning to Adulthood)</w:t>
            </w:r>
          </w:p>
        </w:tc>
      </w:tr>
    </w:tbl>
    <w:tbl>
      <w:tblPr>
        <w:tblW w:w="9785" w:type="dxa"/>
        <w:tblLook w:val="04A0" w:firstRow="1" w:lastRow="0" w:firstColumn="1" w:lastColumn="0" w:noHBand="0" w:noVBand="1"/>
      </w:tblPr>
      <w:tblGrid>
        <w:gridCol w:w="1012"/>
        <w:gridCol w:w="1240"/>
        <w:gridCol w:w="1240"/>
        <w:gridCol w:w="1240"/>
        <w:gridCol w:w="1240"/>
        <w:gridCol w:w="1240"/>
        <w:gridCol w:w="1240"/>
        <w:gridCol w:w="1333"/>
      </w:tblGrid>
      <w:tr w:rsidR="00983071" w:rsidRPr="00983071" w14:paraId="776FAC47" w14:textId="77777777" w:rsidTr="00D44F35">
        <w:trPr>
          <w:trHeight w:val="248"/>
        </w:trPr>
        <w:tc>
          <w:tcPr>
            <w:tcW w:w="9785" w:type="dxa"/>
            <w:gridSpan w:val="8"/>
            <w:tcBorders>
              <w:top w:val="nil"/>
              <w:left w:val="nil"/>
              <w:bottom w:val="single" w:sz="12" w:space="0" w:color="FFD966"/>
              <w:right w:val="nil"/>
            </w:tcBorders>
            <w:shd w:val="clear" w:color="auto" w:fill="auto"/>
            <w:noWrap/>
            <w:vAlign w:val="bottom"/>
            <w:hideMark/>
          </w:tcPr>
          <w:p w14:paraId="104D101C" w14:textId="77777777" w:rsidR="00983071" w:rsidRPr="00983071" w:rsidRDefault="00983071" w:rsidP="00983071">
            <w:pPr>
              <w:spacing w:line="240" w:lineRule="auto"/>
              <w:rPr>
                <w:rFonts w:eastAsia="Times New Roman" w:cs="Calibri"/>
                <w:b/>
                <w:bCs/>
                <w:i/>
                <w:iCs/>
                <w:color w:val="000000"/>
              </w:rPr>
            </w:pPr>
            <w:r w:rsidRPr="00983071">
              <w:rPr>
                <w:rFonts w:eastAsia="Times New Roman" w:cs="Calibri"/>
                <w:b/>
                <w:bCs/>
                <w:i/>
                <w:iCs/>
                <w:color w:val="000000"/>
              </w:rPr>
              <w:t>Funding Estimate:</w:t>
            </w:r>
          </w:p>
        </w:tc>
      </w:tr>
      <w:tr w:rsidR="00983071" w:rsidRPr="00983071" w14:paraId="0FC5B283" w14:textId="77777777" w:rsidTr="00D44F35">
        <w:trPr>
          <w:trHeight w:val="331"/>
        </w:trPr>
        <w:tc>
          <w:tcPr>
            <w:tcW w:w="1012" w:type="dxa"/>
            <w:tcBorders>
              <w:top w:val="nil"/>
              <w:left w:val="single" w:sz="12" w:space="0" w:color="FFD966"/>
              <w:bottom w:val="single" w:sz="8" w:space="0" w:color="FFD966"/>
              <w:right w:val="single" w:sz="8" w:space="0" w:color="FFD966"/>
            </w:tcBorders>
            <w:shd w:val="clear" w:color="000000" w:fill="D9E1F2"/>
            <w:noWrap/>
            <w:vAlign w:val="center"/>
            <w:hideMark/>
          </w:tcPr>
          <w:p w14:paraId="12312325" w14:textId="77777777" w:rsidR="00983071" w:rsidRPr="00983071" w:rsidRDefault="00983071" w:rsidP="00983071">
            <w:pPr>
              <w:spacing w:line="240" w:lineRule="auto"/>
              <w:rPr>
                <w:rFonts w:eastAsia="Times New Roman" w:cs="Calibri"/>
                <w:b/>
                <w:bCs/>
                <w:i/>
                <w:iCs/>
              </w:rPr>
            </w:pPr>
            <w:r w:rsidRPr="00983071">
              <w:rPr>
                <w:rFonts w:eastAsia="Times New Roman" w:cs="Calibri"/>
                <w:b/>
                <w:bCs/>
                <w:i/>
                <w:iCs/>
              </w:rPr>
              <w:t>Year</w:t>
            </w:r>
          </w:p>
        </w:tc>
        <w:tc>
          <w:tcPr>
            <w:tcW w:w="1240" w:type="dxa"/>
            <w:tcBorders>
              <w:top w:val="nil"/>
              <w:left w:val="nil"/>
              <w:bottom w:val="single" w:sz="8" w:space="0" w:color="FFD966"/>
              <w:right w:val="single" w:sz="8" w:space="0" w:color="FFD966"/>
            </w:tcBorders>
            <w:shd w:val="clear" w:color="000000" w:fill="D9E1F2"/>
            <w:noWrap/>
            <w:vAlign w:val="center"/>
            <w:hideMark/>
          </w:tcPr>
          <w:p w14:paraId="021E05F5" w14:textId="77777777" w:rsidR="00983071" w:rsidRPr="00983071" w:rsidRDefault="00983071" w:rsidP="00983071">
            <w:pPr>
              <w:spacing w:line="240" w:lineRule="auto"/>
              <w:jc w:val="right"/>
              <w:rPr>
                <w:rFonts w:eastAsia="Times New Roman" w:cs="Calibri"/>
              </w:rPr>
            </w:pPr>
            <w:r w:rsidRPr="00983071">
              <w:rPr>
                <w:rFonts w:eastAsia="Times New Roman" w:cs="Calibri"/>
              </w:rPr>
              <w:t>2022</w:t>
            </w:r>
          </w:p>
        </w:tc>
        <w:tc>
          <w:tcPr>
            <w:tcW w:w="1240" w:type="dxa"/>
            <w:tcBorders>
              <w:top w:val="nil"/>
              <w:left w:val="nil"/>
              <w:bottom w:val="single" w:sz="8" w:space="0" w:color="FFD966"/>
              <w:right w:val="single" w:sz="8" w:space="0" w:color="FFD966"/>
            </w:tcBorders>
            <w:shd w:val="clear" w:color="000000" w:fill="D9E1F2"/>
            <w:noWrap/>
            <w:vAlign w:val="center"/>
            <w:hideMark/>
          </w:tcPr>
          <w:p w14:paraId="54D72E5E" w14:textId="77777777" w:rsidR="00983071" w:rsidRPr="00983071" w:rsidRDefault="00983071" w:rsidP="00983071">
            <w:pPr>
              <w:spacing w:line="240" w:lineRule="auto"/>
              <w:jc w:val="right"/>
              <w:rPr>
                <w:rFonts w:eastAsia="Times New Roman" w:cs="Calibri"/>
              </w:rPr>
            </w:pPr>
            <w:r w:rsidRPr="00983071">
              <w:rPr>
                <w:rFonts w:eastAsia="Times New Roman" w:cs="Calibri"/>
              </w:rPr>
              <w:t>2023</w:t>
            </w:r>
          </w:p>
        </w:tc>
        <w:tc>
          <w:tcPr>
            <w:tcW w:w="1240" w:type="dxa"/>
            <w:tcBorders>
              <w:top w:val="nil"/>
              <w:left w:val="nil"/>
              <w:bottom w:val="single" w:sz="8" w:space="0" w:color="FFD966"/>
              <w:right w:val="single" w:sz="8" w:space="0" w:color="FFD966"/>
            </w:tcBorders>
            <w:shd w:val="clear" w:color="000000" w:fill="D9E1F2"/>
            <w:noWrap/>
            <w:vAlign w:val="center"/>
            <w:hideMark/>
          </w:tcPr>
          <w:p w14:paraId="5E1AA5FD" w14:textId="77777777" w:rsidR="00983071" w:rsidRPr="00983071" w:rsidRDefault="00983071" w:rsidP="00983071">
            <w:pPr>
              <w:spacing w:line="240" w:lineRule="auto"/>
              <w:jc w:val="right"/>
              <w:rPr>
                <w:rFonts w:eastAsia="Times New Roman" w:cs="Calibri"/>
              </w:rPr>
            </w:pPr>
            <w:r w:rsidRPr="00983071">
              <w:rPr>
                <w:rFonts w:eastAsia="Times New Roman" w:cs="Calibri"/>
              </w:rPr>
              <w:t>2024</w:t>
            </w:r>
          </w:p>
        </w:tc>
        <w:tc>
          <w:tcPr>
            <w:tcW w:w="1240" w:type="dxa"/>
            <w:tcBorders>
              <w:top w:val="nil"/>
              <w:left w:val="nil"/>
              <w:bottom w:val="single" w:sz="8" w:space="0" w:color="FFD966"/>
              <w:right w:val="single" w:sz="8" w:space="0" w:color="FFD966"/>
            </w:tcBorders>
            <w:shd w:val="clear" w:color="000000" w:fill="D9E1F2"/>
            <w:noWrap/>
            <w:vAlign w:val="center"/>
            <w:hideMark/>
          </w:tcPr>
          <w:p w14:paraId="3F5EC396" w14:textId="77777777" w:rsidR="00983071" w:rsidRPr="00983071" w:rsidRDefault="00983071" w:rsidP="00983071">
            <w:pPr>
              <w:spacing w:line="240" w:lineRule="auto"/>
              <w:jc w:val="right"/>
              <w:rPr>
                <w:rFonts w:eastAsia="Times New Roman" w:cs="Calibri"/>
              </w:rPr>
            </w:pPr>
            <w:r w:rsidRPr="00983071">
              <w:rPr>
                <w:rFonts w:eastAsia="Times New Roman" w:cs="Calibri"/>
              </w:rPr>
              <w:t>2025</w:t>
            </w:r>
          </w:p>
        </w:tc>
        <w:tc>
          <w:tcPr>
            <w:tcW w:w="1240" w:type="dxa"/>
            <w:tcBorders>
              <w:top w:val="nil"/>
              <w:left w:val="nil"/>
              <w:bottom w:val="single" w:sz="8" w:space="0" w:color="FFD966"/>
              <w:right w:val="single" w:sz="8" w:space="0" w:color="FFD966"/>
            </w:tcBorders>
            <w:shd w:val="clear" w:color="000000" w:fill="D9E1F2"/>
            <w:noWrap/>
            <w:vAlign w:val="center"/>
            <w:hideMark/>
          </w:tcPr>
          <w:p w14:paraId="318221D1" w14:textId="77777777" w:rsidR="00983071" w:rsidRPr="00983071" w:rsidRDefault="00983071" w:rsidP="00983071">
            <w:pPr>
              <w:spacing w:line="240" w:lineRule="auto"/>
              <w:jc w:val="right"/>
              <w:rPr>
                <w:rFonts w:eastAsia="Times New Roman" w:cs="Calibri"/>
              </w:rPr>
            </w:pPr>
            <w:r w:rsidRPr="00983071">
              <w:rPr>
                <w:rFonts w:eastAsia="Times New Roman" w:cs="Calibri"/>
              </w:rPr>
              <w:t>2026</w:t>
            </w:r>
          </w:p>
        </w:tc>
        <w:tc>
          <w:tcPr>
            <w:tcW w:w="1240" w:type="dxa"/>
            <w:tcBorders>
              <w:top w:val="nil"/>
              <w:left w:val="nil"/>
              <w:bottom w:val="single" w:sz="8" w:space="0" w:color="FFD966"/>
              <w:right w:val="single" w:sz="8" w:space="0" w:color="FFD966"/>
            </w:tcBorders>
            <w:shd w:val="clear" w:color="000000" w:fill="D9E1F2"/>
            <w:noWrap/>
            <w:vAlign w:val="center"/>
            <w:hideMark/>
          </w:tcPr>
          <w:p w14:paraId="68581DF9" w14:textId="77777777" w:rsidR="00983071" w:rsidRPr="00983071" w:rsidRDefault="00983071" w:rsidP="00983071">
            <w:pPr>
              <w:spacing w:line="240" w:lineRule="auto"/>
              <w:jc w:val="right"/>
              <w:rPr>
                <w:rFonts w:eastAsia="Times New Roman" w:cs="Calibri"/>
              </w:rPr>
            </w:pPr>
            <w:r w:rsidRPr="00983071">
              <w:rPr>
                <w:rFonts w:eastAsia="Times New Roman" w:cs="Calibri"/>
              </w:rPr>
              <w:t>2027</w:t>
            </w:r>
          </w:p>
        </w:tc>
        <w:tc>
          <w:tcPr>
            <w:tcW w:w="1333" w:type="dxa"/>
            <w:tcBorders>
              <w:top w:val="nil"/>
              <w:left w:val="nil"/>
              <w:bottom w:val="single" w:sz="8" w:space="0" w:color="FFD966"/>
              <w:right w:val="single" w:sz="12" w:space="0" w:color="FFD966"/>
            </w:tcBorders>
            <w:shd w:val="clear" w:color="000000" w:fill="D9E1F2"/>
            <w:noWrap/>
            <w:vAlign w:val="center"/>
            <w:hideMark/>
          </w:tcPr>
          <w:p w14:paraId="1782CB80" w14:textId="77777777" w:rsidR="00983071" w:rsidRPr="00983071" w:rsidRDefault="00983071" w:rsidP="00983071">
            <w:pPr>
              <w:spacing w:line="240" w:lineRule="auto"/>
              <w:jc w:val="right"/>
              <w:rPr>
                <w:rFonts w:eastAsia="Times New Roman" w:cs="Calibri"/>
                <w:b/>
                <w:bCs/>
                <w:i/>
                <w:iCs/>
              </w:rPr>
            </w:pPr>
            <w:r w:rsidRPr="00983071">
              <w:rPr>
                <w:rFonts w:eastAsia="Times New Roman" w:cs="Calibri"/>
                <w:b/>
                <w:bCs/>
                <w:i/>
                <w:iCs/>
              </w:rPr>
              <w:t>Total</w:t>
            </w:r>
          </w:p>
        </w:tc>
      </w:tr>
      <w:tr w:rsidR="00983071" w:rsidRPr="00983071" w14:paraId="56FA1D5C" w14:textId="77777777" w:rsidTr="00D44F35">
        <w:trPr>
          <w:trHeight w:val="331"/>
        </w:trPr>
        <w:tc>
          <w:tcPr>
            <w:tcW w:w="1012" w:type="dxa"/>
            <w:tcBorders>
              <w:top w:val="nil"/>
              <w:left w:val="single" w:sz="12" w:space="0" w:color="FFD966"/>
              <w:bottom w:val="single" w:sz="12" w:space="0" w:color="FFD966"/>
              <w:right w:val="single" w:sz="8" w:space="0" w:color="FFD966"/>
            </w:tcBorders>
            <w:shd w:val="clear" w:color="auto" w:fill="auto"/>
            <w:noWrap/>
            <w:vAlign w:val="center"/>
            <w:hideMark/>
          </w:tcPr>
          <w:p w14:paraId="2E5E0A3B" w14:textId="77777777" w:rsidR="00983071" w:rsidRPr="00983071" w:rsidRDefault="00983071" w:rsidP="00983071">
            <w:pPr>
              <w:spacing w:line="240" w:lineRule="auto"/>
              <w:rPr>
                <w:rFonts w:eastAsia="Times New Roman" w:cs="Calibri"/>
                <w:b/>
                <w:bCs/>
                <w:i/>
                <w:iCs/>
                <w:color w:val="000000"/>
              </w:rPr>
            </w:pPr>
            <w:r w:rsidRPr="00983071">
              <w:rPr>
                <w:rFonts w:eastAsia="Times New Roman" w:cs="Calibri"/>
                <w:b/>
                <w:bCs/>
                <w:i/>
                <w:iCs/>
                <w:color w:val="000000"/>
              </w:rPr>
              <w:t>Amount</w:t>
            </w:r>
          </w:p>
        </w:tc>
        <w:tc>
          <w:tcPr>
            <w:tcW w:w="1240" w:type="dxa"/>
            <w:tcBorders>
              <w:top w:val="nil"/>
              <w:left w:val="nil"/>
              <w:bottom w:val="single" w:sz="12" w:space="0" w:color="FFD966"/>
              <w:right w:val="single" w:sz="8" w:space="0" w:color="FFD966"/>
            </w:tcBorders>
            <w:shd w:val="clear" w:color="auto" w:fill="auto"/>
            <w:noWrap/>
            <w:vAlign w:val="center"/>
            <w:hideMark/>
          </w:tcPr>
          <w:p w14:paraId="68BB4D93"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$4,735,000 </w:t>
            </w:r>
          </w:p>
        </w:tc>
        <w:tc>
          <w:tcPr>
            <w:tcW w:w="1240" w:type="dxa"/>
            <w:tcBorders>
              <w:top w:val="nil"/>
              <w:left w:val="nil"/>
              <w:bottom w:val="single" w:sz="12" w:space="0" w:color="FFD966"/>
              <w:right w:val="single" w:sz="8" w:space="0" w:color="FFD966"/>
            </w:tcBorders>
            <w:shd w:val="clear" w:color="auto" w:fill="auto"/>
            <w:noWrap/>
            <w:vAlign w:val="center"/>
            <w:hideMark/>
          </w:tcPr>
          <w:p w14:paraId="749BFFED"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$4,839,000 </w:t>
            </w:r>
          </w:p>
        </w:tc>
        <w:tc>
          <w:tcPr>
            <w:tcW w:w="1240" w:type="dxa"/>
            <w:tcBorders>
              <w:top w:val="nil"/>
              <w:left w:val="nil"/>
              <w:bottom w:val="single" w:sz="12" w:space="0" w:color="FFD966"/>
              <w:right w:val="single" w:sz="8" w:space="0" w:color="FFD966"/>
            </w:tcBorders>
            <w:shd w:val="clear" w:color="auto" w:fill="auto"/>
            <w:noWrap/>
            <w:vAlign w:val="center"/>
            <w:hideMark/>
          </w:tcPr>
          <w:p w14:paraId="1FB62D26"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$4,946,000 </w:t>
            </w:r>
          </w:p>
        </w:tc>
        <w:tc>
          <w:tcPr>
            <w:tcW w:w="1240" w:type="dxa"/>
            <w:tcBorders>
              <w:top w:val="nil"/>
              <w:left w:val="nil"/>
              <w:bottom w:val="single" w:sz="12" w:space="0" w:color="FFD966"/>
              <w:right w:val="single" w:sz="8" w:space="0" w:color="FFD966"/>
            </w:tcBorders>
            <w:shd w:val="clear" w:color="auto" w:fill="auto"/>
            <w:noWrap/>
            <w:vAlign w:val="center"/>
            <w:hideMark/>
          </w:tcPr>
          <w:p w14:paraId="2AEEBCA2"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$5,054,000 </w:t>
            </w:r>
          </w:p>
        </w:tc>
        <w:tc>
          <w:tcPr>
            <w:tcW w:w="1240" w:type="dxa"/>
            <w:tcBorders>
              <w:top w:val="nil"/>
              <w:left w:val="nil"/>
              <w:bottom w:val="single" w:sz="12" w:space="0" w:color="FFD966"/>
              <w:right w:val="single" w:sz="8" w:space="0" w:color="FFD966"/>
            </w:tcBorders>
            <w:shd w:val="clear" w:color="auto" w:fill="auto"/>
            <w:noWrap/>
            <w:vAlign w:val="center"/>
            <w:hideMark/>
          </w:tcPr>
          <w:p w14:paraId="23C764AD"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$5,166,000 </w:t>
            </w:r>
          </w:p>
        </w:tc>
        <w:tc>
          <w:tcPr>
            <w:tcW w:w="1240" w:type="dxa"/>
            <w:tcBorders>
              <w:top w:val="nil"/>
              <w:left w:val="nil"/>
              <w:bottom w:val="single" w:sz="12" w:space="0" w:color="FFD966"/>
              <w:right w:val="single" w:sz="8" w:space="0" w:color="FFD966"/>
            </w:tcBorders>
            <w:shd w:val="clear" w:color="auto" w:fill="auto"/>
            <w:noWrap/>
            <w:vAlign w:val="center"/>
            <w:hideMark/>
          </w:tcPr>
          <w:p w14:paraId="336E01D0"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$5,279,000 </w:t>
            </w:r>
          </w:p>
        </w:tc>
        <w:tc>
          <w:tcPr>
            <w:tcW w:w="1333" w:type="dxa"/>
            <w:tcBorders>
              <w:top w:val="nil"/>
              <w:left w:val="nil"/>
              <w:bottom w:val="single" w:sz="12" w:space="0" w:color="FFD966"/>
              <w:right w:val="single" w:sz="12" w:space="0" w:color="FFD966"/>
            </w:tcBorders>
            <w:shd w:val="clear" w:color="auto" w:fill="auto"/>
            <w:noWrap/>
            <w:vAlign w:val="center"/>
            <w:hideMark/>
          </w:tcPr>
          <w:p w14:paraId="1E484E8C" w14:textId="77777777" w:rsidR="00983071" w:rsidRPr="00983071" w:rsidRDefault="00983071" w:rsidP="00983071">
            <w:pPr>
              <w:spacing w:line="240" w:lineRule="auto"/>
              <w:jc w:val="right"/>
              <w:rPr>
                <w:rFonts w:eastAsia="Times New Roman" w:cs="Calibri"/>
                <w:b/>
                <w:bCs/>
                <w:color w:val="000000"/>
              </w:rPr>
            </w:pPr>
            <w:r w:rsidRPr="00983071">
              <w:rPr>
                <w:rFonts w:eastAsia="Times New Roman" w:cs="Calibri"/>
                <w:b/>
                <w:bCs/>
                <w:color w:val="000000"/>
              </w:rPr>
              <w:t xml:space="preserve">$30,019,000 </w:t>
            </w:r>
          </w:p>
        </w:tc>
      </w:tr>
    </w:tbl>
    <w:p w14:paraId="51B51A8F" w14:textId="77777777" w:rsidR="00DD4D44" w:rsidRPr="00D03F1F" w:rsidRDefault="00DD4D44" w:rsidP="00DD4D44">
      <w:pPr>
        <w:contextualSpacing/>
        <w:rPr>
          <w:rFonts w:eastAsia="Calibri" w:cs="Calibri"/>
          <w:b/>
          <w:bCs/>
          <w:color w:val="000000" w:themeColor="text1"/>
        </w:rPr>
      </w:pPr>
    </w:p>
    <w:p w14:paraId="2BC8D3DD" w14:textId="3967E8F3" w:rsidR="00DD4D44" w:rsidRPr="00D03F1F" w:rsidRDefault="00DD4D44" w:rsidP="00DD4D44">
      <w:pPr>
        <w:contextualSpacing/>
        <w:rPr>
          <w:rFonts w:eastAsia="Calibri" w:cs="Calibri"/>
          <w:color w:val="000000" w:themeColor="text1"/>
        </w:rPr>
      </w:pPr>
      <w:r w:rsidRPr="00D03F1F">
        <w:rPr>
          <w:rFonts w:eastAsia="Calibri" w:cs="Calibri"/>
          <w:b/>
          <w:color w:val="000000" w:themeColor="text1"/>
        </w:rPr>
        <w:t>Description</w:t>
      </w:r>
    </w:p>
    <w:p w14:paraId="52749F0C" w14:textId="2968A8A6" w:rsidR="00DD4D44" w:rsidRDefault="00DD4D44" w:rsidP="00DD4D44">
      <w:pPr>
        <w:contextualSpacing/>
        <w:rPr>
          <w:rFonts w:eastAsia="Calibri" w:cs="Calibri"/>
          <w:color w:val="000000" w:themeColor="text1"/>
        </w:rPr>
      </w:pPr>
      <w:r w:rsidRPr="00D03F1F">
        <w:rPr>
          <w:rFonts w:eastAsia="Calibri" w:cs="Calibri"/>
          <w:color w:val="000000" w:themeColor="text1"/>
        </w:rPr>
        <w:t xml:space="preserve">The Transitions to Adulthood strategy helps young people </w:t>
      </w:r>
      <w:r w:rsidR="0007277B">
        <w:rPr>
          <w:rFonts w:eastAsia="Calibri" w:cs="Calibri"/>
          <w:color w:val="000000" w:themeColor="text1"/>
        </w:rPr>
        <w:t xml:space="preserve">who face major barriers to </w:t>
      </w:r>
      <w:r w:rsidRPr="00D03F1F">
        <w:rPr>
          <w:rFonts w:eastAsia="Calibri" w:cs="Calibri"/>
          <w:color w:val="000000" w:themeColor="text1"/>
        </w:rPr>
        <w:t>meet their education and employment goals</w:t>
      </w:r>
      <w:r w:rsidR="009A7775">
        <w:rPr>
          <w:rFonts w:eastAsia="Calibri" w:cs="Calibri"/>
          <w:color w:val="000000" w:themeColor="text1"/>
        </w:rPr>
        <w:t>. A</w:t>
      </w:r>
      <w:r w:rsidR="00864C7D" w:rsidRPr="00D03F1F">
        <w:rPr>
          <w:rFonts w:eastAsia="Calibri" w:cs="Calibri"/>
          <w:color w:val="000000" w:themeColor="text1"/>
        </w:rPr>
        <w:t xml:space="preserve"> team of </w:t>
      </w:r>
      <w:r w:rsidR="00DF4415">
        <w:rPr>
          <w:rFonts w:eastAsia="Calibri" w:cs="Calibri"/>
          <w:color w:val="000000" w:themeColor="text1"/>
        </w:rPr>
        <w:t>p</w:t>
      </w:r>
      <w:r w:rsidR="00864C7D" w:rsidRPr="00D03F1F">
        <w:rPr>
          <w:rFonts w:eastAsia="Calibri" w:cs="Calibri"/>
          <w:color w:val="000000" w:themeColor="text1"/>
        </w:rPr>
        <w:t xml:space="preserve">eer </w:t>
      </w:r>
      <w:r w:rsidR="00DF4415">
        <w:rPr>
          <w:rFonts w:eastAsia="Calibri" w:cs="Calibri"/>
          <w:color w:val="000000" w:themeColor="text1"/>
        </w:rPr>
        <w:t>c</w:t>
      </w:r>
      <w:r w:rsidR="00864C7D" w:rsidRPr="00D03F1F">
        <w:rPr>
          <w:rFonts w:eastAsia="Calibri" w:cs="Calibri"/>
          <w:color w:val="000000" w:themeColor="text1"/>
        </w:rPr>
        <w:t>onnectors</w:t>
      </w:r>
      <w:r w:rsidR="4F490C2C" w:rsidRPr="62EEE0B4">
        <w:rPr>
          <w:rFonts w:eastAsia="Calibri" w:cs="Calibri"/>
          <w:color w:val="000000" w:themeColor="text1"/>
        </w:rPr>
        <w:t xml:space="preserve"> </w:t>
      </w:r>
      <w:r w:rsidR="003F09A2">
        <w:rPr>
          <w:rFonts w:eastAsia="Calibri" w:cs="Calibri"/>
          <w:color w:val="000000" w:themeColor="text1"/>
        </w:rPr>
        <w:t>navigate</w:t>
      </w:r>
      <w:r w:rsidR="00864C7D" w:rsidRPr="00D03F1F">
        <w:rPr>
          <w:rFonts w:eastAsia="Calibri" w:cs="Calibri"/>
          <w:color w:val="000000" w:themeColor="text1"/>
        </w:rPr>
        <w:t xml:space="preserve"> </w:t>
      </w:r>
      <w:r w:rsidR="006E65A0">
        <w:rPr>
          <w:rFonts w:eastAsia="Calibri" w:cs="Calibri"/>
          <w:color w:val="000000" w:themeColor="text1"/>
        </w:rPr>
        <w:t>young people</w:t>
      </w:r>
      <w:r w:rsidR="00864C7D" w:rsidRPr="00D03F1F">
        <w:rPr>
          <w:rFonts w:eastAsia="Calibri" w:cs="Calibri"/>
          <w:color w:val="000000" w:themeColor="text1"/>
        </w:rPr>
        <w:t xml:space="preserve"> to education and employment services </w:t>
      </w:r>
      <w:r w:rsidR="003F09A2">
        <w:rPr>
          <w:rFonts w:eastAsia="Calibri" w:cs="Calibri"/>
          <w:color w:val="000000" w:themeColor="text1"/>
        </w:rPr>
        <w:t>such as</w:t>
      </w:r>
      <w:r w:rsidR="00864C7D" w:rsidRPr="00D03F1F">
        <w:rPr>
          <w:rFonts w:eastAsia="Calibri" w:cs="Calibri"/>
          <w:color w:val="000000" w:themeColor="text1"/>
        </w:rPr>
        <w:t xml:space="preserve"> high school</w:t>
      </w:r>
      <w:r w:rsidR="003F09A2">
        <w:rPr>
          <w:rFonts w:eastAsia="Calibri" w:cs="Calibri"/>
          <w:color w:val="000000" w:themeColor="text1"/>
        </w:rPr>
        <w:t xml:space="preserve"> completion</w:t>
      </w:r>
      <w:r w:rsidR="009C6F1F">
        <w:rPr>
          <w:rFonts w:eastAsia="Calibri" w:cs="Calibri"/>
          <w:color w:val="000000" w:themeColor="text1"/>
        </w:rPr>
        <w:t xml:space="preserve"> programs</w:t>
      </w:r>
      <w:r w:rsidR="00864C7D" w:rsidRPr="00D03F1F">
        <w:rPr>
          <w:rFonts w:eastAsia="Calibri" w:cs="Calibri"/>
          <w:color w:val="000000" w:themeColor="text1"/>
        </w:rPr>
        <w:t>, post-secondary education, behavioral health</w:t>
      </w:r>
      <w:r w:rsidR="00864C7D">
        <w:rPr>
          <w:rFonts w:eastAsia="Calibri" w:cs="Calibri"/>
          <w:color w:val="000000" w:themeColor="text1"/>
        </w:rPr>
        <w:t xml:space="preserve"> services</w:t>
      </w:r>
      <w:r w:rsidR="00864C7D" w:rsidRPr="00D03F1F">
        <w:rPr>
          <w:rFonts w:eastAsia="Calibri" w:cs="Calibri"/>
          <w:color w:val="000000" w:themeColor="text1"/>
        </w:rPr>
        <w:t xml:space="preserve">, career exploration, </w:t>
      </w:r>
      <w:r w:rsidR="00864C7D" w:rsidRPr="62EEE0B4">
        <w:rPr>
          <w:rFonts w:eastAsia="Calibri"/>
          <w:color w:val="000000" w:themeColor="text1"/>
        </w:rPr>
        <w:t>internships, and employment services at the County’s reengagement sites</w:t>
      </w:r>
      <w:r w:rsidR="00740A7A" w:rsidRPr="62EEE0B4">
        <w:rPr>
          <w:rFonts w:eastAsia="Calibri"/>
          <w:color w:val="000000" w:themeColor="text1"/>
        </w:rPr>
        <w:t xml:space="preserve">. </w:t>
      </w:r>
      <w:r w:rsidRPr="00D03F1F">
        <w:rPr>
          <w:rFonts w:eastAsia="Calibri" w:cs="Calibri"/>
          <w:color w:val="000000" w:themeColor="text1"/>
        </w:rPr>
        <w:t>Contracted partner agencies and direct services of DCHS</w:t>
      </w:r>
      <w:r>
        <w:rPr>
          <w:rFonts w:eastAsia="Calibri" w:cs="Calibri"/>
          <w:color w:val="000000" w:themeColor="text1"/>
        </w:rPr>
        <w:t>’</w:t>
      </w:r>
      <w:r w:rsidRPr="00D03F1F">
        <w:rPr>
          <w:rFonts w:eastAsia="Calibri" w:cs="Calibri"/>
          <w:color w:val="000000" w:themeColor="text1"/>
        </w:rPr>
        <w:t xml:space="preserve"> Children, Youth and Young Adults division (CYYAD) </w:t>
      </w:r>
      <w:r w:rsidR="00740A7A">
        <w:rPr>
          <w:rFonts w:eastAsia="Calibri" w:cs="Calibri"/>
          <w:color w:val="000000" w:themeColor="text1"/>
        </w:rPr>
        <w:t>provide these services for</w:t>
      </w:r>
      <w:r w:rsidRPr="00D03F1F">
        <w:rPr>
          <w:rFonts w:eastAsia="Calibri" w:cs="Calibri"/>
          <w:color w:val="000000" w:themeColor="text1"/>
        </w:rPr>
        <w:t xml:space="preserve"> young adults, ages 16</w:t>
      </w:r>
      <w:r w:rsidR="0052175B">
        <w:rPr>
          <w:rFonts w:eastAsia="Calibri" w:cs="Calibri"/>
          <w:color w:val="000000" w:themeColor="text1"/>
        </w:rPr>
        <w:t>-</w:t>
      </w:r>
      <w:r w:rsidRPr="00D03F1F">
        <w:rPr>
          <w:rFonts w:eastAsia="Calibri" w:cs="Calibri"/>
          <w:color w:val="000000" w:themeColor="text1"/>
        </w:rPr>
        <w:t xml:space="preserve">24, who fall in at least one of the following categories: </w:t>
      </w:r>
    </w:p>
    <w:p w14:paraId="5F06806D" w14:textId="209F878C" w:rsidR="00DD4D44"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t>Young adults who have interacted with one or more systems, including behavioral health, child wel</w:t>
      </w:r>
      <w:r w:rsidRPr="005F6F91">
        <w:rPr>
          <w:rFonts w:eastAsia="Calibri" w:cs="Calibri"/>
          <w:color w:val="000000" w:themeColor="text1"/>
        </w:rPr>
        <w:t xml:space="preserve">fare, public assistance, and the criminal legal system; </w:t>
      </w:r>
    </w:p>
    <w:p w14:paraId="1779B31C" w14:textId="77777777" w:rsidR="00DD4D44"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t xml:space="preserve">young adults experiencing homelessness; </w:t>
      </w:r>
    </w:p>
    <w:p w14:paraId="32D90706" w14:textId="77777777" w:rsidR="00DD4D44"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lastRenderedPageBreak/>
        <w:t xml:space="preserve">young adults who are not working or not in school; and </w:t>
      </w:r>
    </w:p>
    <w:p w14:paraId="2B0BD238" w14:textId="5AEFDCB6" w:rsidR="00DD4D44" w:rsidRPr="000C3BFC"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t>young adults belonging to one or more groups that experience historically low rates of graduating on time</w:t>
      </w:r>
      <w:r w:rsidRPr="005F6F91">
        <w:rPr>
          <w:rFonts w:eastAsia="Calibri" w:cs="Calibri"/>
          <w:color w:val="000000" w:themeColor="text1"/>
        </w:rPr>
        <w:t xml:space="preserve"> </w:t>
      </w:r>
      <w:r>
        <w:rPr>
          <w:rFonts w:eastAsia="Calibri" w:cs="Calibri"/>
          <w:color w:val="000000" w:themeColor="text1"/>
        </w:rPr>
        <w:t>who are</w:t>
      </w:r>
      <w:r w:rsidRPr="00BD315C">
        <w:rPr>
          <w:rFonts w:eastAsia="Calibri" w:cs="Calibri"/>
          <w:color w:val="000000" w:themeColor="text1"/>
        </w:rPr>
        <w:t xml:space="preserve"> </w:t>
      </w:r>
      <w:r w:rsidRPr="00F40653">
        <w:rPr>
          <w:rFonts w:eastAsia="Calibri" w:cs="Calibri"/>
          <w:color w:val="000000" w:themeColor="text1"/>
        </w:rPr>
        <w:t>transitioning to post-secondary education (e.g., low-income youth, youth of color, youth with disabilities, and English Language Learners).</w:t>
      </w:r>
    </w:p>
    <w:p w14:paraId="48311323" w14:textId="77777777" w:rsidR="006A39FA" w:rsidRDefault="006A39FA" w:rsidP="00DD4D44">
      <w:pPr>
        <w:contextualSpacing/>
        <w:rPr>
          <w:rFonts w:eastAsia="Calibri" w:cs="Calibri"/>
          <w:b/>
          <w:color w:val="000000" w:themeColor="text1"/>
        </w:rPr>
      </w:pPr>
    </w:p>
    <w:p w14:paraId="32332008" w14:textId="746905C5" w:rsidR="00DD4D44" w:rsidRPr="00D03F1F" w:rsidRDefault="00DD4D44" w:rsidP="00DD4D44">
      <w:pPr>
        <w:contextualSpacing/>
        <w:rPr>
          <w:rFonts w:eastAsia="Calibri" w:cs="Calibri"/>
          <w:color w:val="000000" w:themeColor="text1"/>
        </w:rPr>
      </w:pPr>
      <w:r w:rsidRPr="00D03F1F">
        <w:rPr>
          <w:rFonts w:eastAsia="Calibri" w:cs="Calibri"/>
          <w:b/>
          <w:color w:val="000000" w:themeColor="text1"/>
        </w:rPr>
        <w:t>Rationale</w:t>
      </w:r>
      <w:r w:rsidR="00385113">
        <w:rPr>
          <w:rFonts w:eastAsia="Calibri" w:cs="Calibri"/>
          <w:b/>
          <w:color w:val="000000" w:themeColor="text1"/>
        </w:rPr>
        <w:t xml:space="preserve"> for Increased Investment</w:t>
      </w:r>
    </w:p>
    <w:p w14:paraId="6312162B" w14:textId="3769D0D3" w:rsidR="0099088A" w:rsidRDefault="000F5C23" w:rsidP="00DD4D44">
      <w:pPr>
        <w:contextualSpacing/>
        <w:rPr>
          <w:rFonts w:eastAsia="Calibri" w:cs="Calibri"/>
          <w:color w:val="000000" w:themeColor="text1"/>
        </w:rPr>
      </w:pPr>
      <w:r>
        <w:rPr>
          <w:rFonts w:eastAsia="Calibri" w:cs="Calibri"/>
          <w:color w:val="000000" w:themeColor="text1"/>
        </w:rPr>
        <w:t>Even prior to the pandemic</w:t>
      </w:r>
      <w:r w:rsidR="00AA4B18">
        <w:rPr>
          <w:rFonts w:eastAsia="Calibri" w:cs="Calibri"/>
          <w:color w:val="000000" w:themeColor="text1"/>
        </w:rPr>
        <w:t>,</w:t>
      </w:r>
      <w:r>
        <w:rPr>
          <w:rFonts w:eastAsia="Calibri" w:cs="Calibri"/>
          <w:color w:val="000000" w:themeColor="text1"/>
        </w:rPr>
        <w:t xml:space="preserve"> an increased investment was necessary to reach more young people with these services</w:t>
      </w:r>
      <w:r w:rsidR="00DE33BF">
        <w:rPr>
          <w:rFonts w:eastAsia="Calibri" w:cs="Calibri"/>
          <w:color w:val="000000" w:themeColor="text1"/>
        </w:rPr>
        <w:t>,</w:t>
      </w:r>
      <w:r>
        <w:rPr>
          <w:rFonts w:eastAsia="Calibri" w:cs="Calibri"/>
          <w:color w:val="000000" w:themeColor="text1"/>
        </w:rPr>
        <w:t xml:space="preserve"> and COVID-19 only </w:t>
      </w:r>
      <w:r w:rsidR="008F0FD0">
        <w:rPr>
          <w:rFonts w:eastAsia="Calibri" w:cs="Calibri"/>
          <w:color w:val="000000" w:themeColor="text1"/>
        </w:rPr>
        <w:t>exacer</w:t>
      </w:r>
      <w:r w:rsidR="00EB50C7">
        <w:rPr>
          <w:rFonts w:eastAsia="Calibri" w:cs="Calibri"/>
          <w:color w:val="000000" w:themeColor="text1"/>
        </w:rPr>
        <w:t>bated</w:t>
      </w:r>
      <w:r w:rsidR="008F0FD0">
        <w:rPr>
          <w:rFonts w:eastAsia="Calibri" w:cs="Calibri"/>
          <w:color w:val="000000" w:themeColor="text1"/>
        </w:rPr>
        <w:t xml:space="preserve"> </w:t>
      </w:r>
      <w:r>
        <w:rPr>
          <w:rFonts w:eastAsia="Calibri" w:cs="Calibri"/>
          <w:color w:val="000000" w:themeColor="text1"/>
        </w:rPr>
        <w:t xml:space="preserve">it. </w:t>
      </w:r>
      <w:r w:rsidR="0077058E">
        <w:rPr>
          <w:rFonts w:eastAsia="Calibri" w:cs="Calibri"/>
          <w:color w:val="000000" w:themeColor="text1"/>
        </w:rPr>
        <w:t>In</w:t>
      </w:r>
      <w:r w:rsidR="208F8E7D" w:rsidRPr="00D03F1F" w:rsidDel="009C7041">
        <w:rPr>
          <w:rFonts w:eastAsia="Calibri" w:cs="Calibri"/>
          <w:color w:val="000000" w:themeColor="text1"/>
        </w:rPr>
        <w:t xml:space="preserve"> </w:t>
      </w:r>
      <w:r w:rsidR="208F8E7D" w:rsidRPr="00D03F1F">
        <w:rPr>
          <w:rFonts w:eastAsia="Calibri" w:cs="Calibri"/>
          <w:color w:val="000000" w:themeColor="text1"/>
        </w:rPr>
        <w:t>a recent survey of young people on the impacts of COVID-19</w:t>
      </w:r>
      <w:r w:rsidR="6A829832" w:rsidRPr="62EEE0B4">
        <w:rPr>
          <w:rFonts w:eastAsia="Calibri" w:cs="Calibri"/>
          <w:color w:val="000000" w:themeColor="text1"/>
        </w:rPr>
        <w:t xml:space="preserve"> conducted in partnership with Center for Community Education Results (CCER)</w:t>
      </w:r>
      <w:r w:rsidR="00124935">
        <w:rPr>
          <w:rFonts w:eastAsia="Calibri" w:cs="Calibri"/>
          <w:color w:val="000000" w:themeColor="text1"/>
        </w:rPr>
        <w:t>,</w:t>
      </w:r>
      <w:r w:rsidR="208F8E7D" w:rsidRPr="00D03F1F">
        <w:rPr>
          <w:rFonts w:eastAsia="Calibri" w:cs="Calibri"/>
          <w:color w:val="000000" w:themeColor="text1"/>
        </w:rPr>
        <w:t xml:space="preserve"> respondents said they needed </w:t>
      </w:r>
      <w:r w:rsidR="002806FB">
        <w:rPr>
          <w:rFonts w:eastAsia="Calibri" w:cs="Calibri"/>
          <w:color w:val="000000" w:themeColor="text1"/>
        </w:rPr>
        <w:t>help</w:t>
      </w:r>
      <w:r w:rsidR="208F8E7D" w:rsidRPr="00D03F1F">
        <w:rPr>
          <w:rFonts w:eastAsia="Calibri" w:cs="Calibri"/>
          <w:color w:val="000000" w:themeColor="text1"/>
        </w:rPr>
        <w:t xml:space="preserve"> in four areas: education, employment, mental health, and social connections.</w:t>
      </w:r>
      <w:r w:rsidR="00DD4D44" w:rsidRPr="00D03F1F">
        <w:rPr>
          <w:rStyle w:val="FootnoteReference"/>
          <w:rFonts w:eastAsia="Calibri" w:cs="Calibri"/>
          <w:color w:val="000000" w:themeColor="text1"/>
        </w:rPr>
        <w:footnoteReference w:id="187"/>
      </w:r>
      <w:r w:rsidR="208F8E7D" w:rsidRPr="00D03F1F">
        <w:rPr>
          <w:rFonts w:eastAsia="Calibri" w:cs="Calibri"/>
          <w:color w:val="000000" w:themeColor="text1"/>
        </w:rPr>
        <w:t xml:space="preserve"> </w:t>
      </w:r>
      <w:r w:rsidR="208F8E7D" w:rsidRPr="3A288C6F">
        <w:rPr>
          <w:rFonts w:eastAsia="Calibri" w:cs="Calibri"/>
          <w:color w:val="000000" w:themeColor="text1"/>
        </w:rPr>
        <w:t xml:space="preserve"> </w:t>
      </w:r>
      <w:r w:rsidR="004474C1" w:rsidRPr="0045412C">
        <w:rPr>
          <w:rFonts w:eastAsia="Calibri" w:cs="Calibri"/>
          <w:i/>
          <w:iCs/>
          <w:color w:val="000000" w:themeColor="text1"/>
        </w:rPr>
        <w:t>Best Starts</w:t>
      </w:r>
      <w:r w:rsidR="004474C1">
        <w:rPr>
          <w:rFonts w:eastAsia="Calibri" w:cs="Calibri"/>
          <w:color w:val="000000" w:themeColor="text1"/>
        </w:rPr>
        <w:t xml:space="preserve"> will increase funding to ensure that young adults can participate in the economic recovery. Young people left out of the education and employment as schools went remote will </w:t>
      </w:r>
      <w:r w:rsidR="007D34F1">
        <w:rPr>
          <w:rFonts w:eastAsia="Calibri" w:cs="Calibri"/>
          <w:color w:val="000000" w:themeColor="text1"/>
        </w:rPr>
        <w:t>provide</w:t>
      </w:r>
      <w:r w:rsidR="004474C1">
        <w:rPr>
          <w:rFonts w:eastAsia="Calibri" w:cs="Calibri"/>
          <w:color w:val="000000" w:themeColor="text1"/>
        </w:rPr>
        <w:t xml:space="preserve"> more access to the education and employment system.</w:t>
      </w:r>
      <w:r w:rsidR="208F8E7D" w:rsidRPr="3A288C6F">
        <w:rPr>
          <w:rFonts w:eastAsia="Calibri" w:cs="Calibri"/>
          <w:color w:val="000000" w:themeColor="text1"/>
        </w:rPr>
        <w:t xml:space="preserve"> Additionally, </w:t>
      </w:r>
      <w:r w:rsidR="208F8E7D" w:rsidRPr="71D2A87E">
        <w:rPr>
          <w:rFonts w:eastAsia="Calibri" w:cs="Calibri"/>
          <w:color w:val="000000" w:themeColor="text1"/>
        </w:rPr>
        <w:t xml:space="preserve">youth and young adults voiced needs for mental health promotion, including peer-to-peer models. </w:t>
      </w:r>
    </w:p>
    <w:p w14:paraId="5DEA4C0F" w14:textId="77777777" w:rsidR="0099088A" w:rsidRDefault="0099088A" w:rsidP="00DD4D44">
      <w:pPr>
        <w:contextualSpacing/>
        <w:rPr>
          <w:rFonts w:eastAsia="Calibri" w:cs="Calibri"/>
          <w:color w:val="000000" w:themeColor="text1"/>
        </w:rPr>
      </w:pPr>
    </w:p>
    <w:p w14:paraId="6E609092" w14:textId="16B80487" w:rsidR="00DD4D44" w:rsidRPr="00D03F1F" w:rsidRDefault="208F8E7D" w:rsidP="00DD4D44">
      <w:pPr>
        <w:contextualSpacing/>
        <w:rPr>
          <w:rFonts w:eastAsia="Calibri" w:cs="Calibri"/>
          <w:color w:val="000000" w:themeColor="text1"/>
        </w:rPr>
      </w:pPr>
      <w:r w:rsidRPr="3A288C6F">
        <w:rPr>
          <w:rFonts w:eastAsia="Calibri" w:cs="Calibri"/>
          <w:color w:val="000000" w:themeColor="text1"/>
        </w:rPr>
        <w:t>Transitions to Adulthood is well poised to respond to all these needs</w:t>
      </w:r>
      <w:r w:rsidR="003453A2">
        <w:rPr>
          <w:rFonts w:eastAsia="Calibri" w:cs="Calibri"/>
          <w:color w:val="000000" w:themeColor="text1"/>
        </w:rPr>
        <w:t>,</w:t>
      </w:r>
      <w:r w:rsidRPr="3A288C6F">
        <w:rPr>
          <w:rFonts w:eastAsia="Calibri" w:cs="Calibri"/>
          <w:color w:val="000000" w:themeColor="text1"/>
        </w:rPr>
        <w:t xml:space="preserve"> </w:t>
      </w:r>
      <w:r w:rsidR="0099088A">
        <w:rPr>
          <w:rFonts w:eastAsia="Calibri" w:cs="Calibri"/>
          <w:color w:val="000000" w:themeColor="text1"/>
        </w:rPr>
        <w:t>to</w:t>
      </w:r>
      <w:r w:rsidR="0099088A" w:rsidRPr="3A288C6F">
        <w:rPr>
          <w:rFonts w:eastAsia="Calibri" w:cs="Calibri"/>
          <w:color w:val="000000" w:themeColor="text1"/>
        </w:rPr>
        <w:t xml:space="preserve"> </w:t>
      </w:r>
      <w:r w:rsidRPr="3A288C6F">
        <w:rPr>
          <w:rFonts w:eastAsia="Calibri" w:cs="Calibri"/>
          <w:color w:val="000000" w:themeColor="text1"/>
        </w:rPr>
        <w:t xml:space="preserve">provide the region’s young people </w:t>
      </w:r>
      <w:r w:rsidR="00457CC9">
        <w:rPr>
          <w:rFonts w:eastAsia="Calibri" w:cs="Calibri"/>
          <w:color w:val="000000" w:themeColor="text1"/>
        </w:rPr>
        <w:t xml:space="preserve">with the </w:t>
      </w:r>
      <w:r w:rsidRPr="3A288C6F">
        <w:rPr>
          <w:rFonts w:eastAsia="Calibri" w:cs="Calibri"/>
          <w:color w:val="000000" w:themeColor="text1"/>
        </w:rPr>
        <w:t xml:space="preserve">education and employment </w:t>
      </w:r>
      <w:r w:rsidR="00457CC9">
        <w:rPr>
          <w:rFonts w:eastAsia="Calibri" w:cs="Calibri"/>
          <w:color w:val="000000" w:themeColor="text1"/>
        </w:rPr>
        <w:t xml:space="preserve">opportunities </w:t>
      </w:r>
      <w:r w:rsidRPr="3A288C6F">
        <w:rPr>
          <w:rFonts w:eastAsia="Calibri" w:cs="Calibri"/>
          <w:color w:val="000000" w:themeColor="text1"/>
        </w:rPr>
        <w:t>require</w:t>
      </w:r>
      <w:r w:rsidR="00457CC9">
        <w:rPr>
          <w:rFonts w:eastAsia="Calibri" w:cs="Calibri"/>
          <w:color w:val="000000" w:themeColor="text1"/>
        </w:rPr>
        <w:t>d</w:t>
      </w:r>
      <w:r w:rsidRPr="3A288C6F">
        <w:rPr>
          <w:rFonts w:eastAsia="Calibri" w:cs="Calibri"/>
          <w:color w:val="000000" w:themeColor="text1"/>
        </w:rPr>
        <w:t xml:space="preserve"> to succeed in changing economic conditions</w:t>
      </w:r>
      <w:r w:rsidR="006A39FA">
        <w:rPr>
          <w:rFonts w:eastAsia="Calibri" w:cs="Calibri"/>
          <w:color w:val="000000" w:themeColor="text1"/>
        </w:rPr>
        <w:t>.</w:t>
      </w:r>
      <w:r w:rsidR="00791013">
        <w:rPr>
          <w:rFonts w:eastAsia="Calibri" w:cs="Calibri"/>
          <w:color w:val="000000" w:themeColor="text1"/>
        </w:rPr>
        <w:t xml:space="preserve"> </w:t>
      </w:r>
      <w:r w:rsidRPr="00D03F1F">
        <w:rPr>
          <w:rFonts w:eastAsia="Calibri" w:cs="Calibri"/>
          <w:color w:val="000000" w:themeColor="text1"/>
        </w:rPr>
        <w:t xml:space="preserve">Post-secondary education is key to living wage jobs, but about 2,000 students, disproportionally low-income </w:t>
      </w:r>
      <w:r w:rsidR="00F74481">
        <w:rPr>
          <w:rFonts w:eastAsia="Calibri" w:cs="Calibri"/>
          <w:color w:val="000000" w:themeColor="text1"/>
        </w:rPr>
        <w:t>youth</w:t>
      </w:r>
      <w:r w:rsidRPr="00D03F1F">
        <w:rPr>
          <w:rFonts w:eastAsia="Calibri" w:cs="Calibri"/>
          <w:color w:val="000000" w:themeColor="text1"/>
        </w:rPr>
        <w:t xml:space="preserve"> of color, drop out of school each year in King County.</w:t>
      </w:r>
      <w:r w:rsidR="00DD4D44" w:rsidRPr="00D03F1F">
        <w:rPr>
          <w:rStyle w:val="FootnoteReference"/>
          <w:rFonts w:eastAsia="Calibri" w:cs="Calibri"/>
          <w:color w:val="000000" w:themeColor="text1"/>
        </w:rPr>
        <w:footnoteReference w:id="188"/>
      </w:r>
      <w:r>
        <w:rPr>
          <w:rFonts w:eastAsia="Calibri" w:cs="Calibri"/>
          <w:color w:val="000000" w:themeColor="text1"/>
        </w:rPr>
        <w:t xml:space="preserve"> </w:t>
      </w:r>
      <w:r w:rsidRPr="00D03F1F">
        <w:rPr>
          <w:rFonts w:eastAsia="Calibri" w:cs="Calibri"/>
          <w:color w:val="000000" w:themeColor="text1"/>
        </w:rPr>
        <w:t>Research by Washington STEM shows that by 2024, almost 90 percent of living wage jobs in the County will require some kind of post-secondary education.</w:t>
      </w:r>
      <w:r w:rsidR="00DD4D44" w:rsidRPr="00D03F1F">
        <w:rPr>
          <w:rStyle w:val="FootnoteReference"/>
          <w:rFonts w:eastAsia="Calibri" w:cs="Calibri"/>
          <w:color w:val="000000" w:themeColor="text1"/>
        </w:rPr>
        <w:footnoteReference w:id="189"/>
      </w:r>
      <w:r w:rsidR="009028EB">
        <w:rPr>
          <w:rFonts w:eastAsia="Calibri" w:cs="Calibri"/>
          <w:color w:val="000000" w:themeColor="text1"/>
        </w:rPr>
        <w:t xml:space="preserve"> </w:t>
      </w:r>
    </w:p>
    <w:p w14:paraId="09971DB0" w14:textId="77777777" w:rsidR="00DD4D44" w:rsidRDefault="00DD4D44" w:rsidP="00DD4D44">
      <w:pPr>
        <w:contextualSpacing/>
        <w:rPr>
          <w:rFonts w:eastAsia="Calibri" w:cs="Calibri"/>
          <w:i/>
          <w:color w:val="000000" w:themeColor="text1"/>
        </w:rPr>
      </w:pPr>
    </w:p>
    <w:p w14:paraId="055AAB1A" w14:textId="25560AC1" w:rsidR="00DD4D44" w:rsidRPr="00D03F1F" w:rsidRDefault="00DD4D44" w:rsidP="00DD4D44">
      <w:pPr>
        <w:contextualSpacing/>
        <w:rPr>
          <w:rFonts w:eastAsia="Calibri" w:cs="Calibri"/>
          <w:color w:val="000000" w:themeColor="text1"/>
        </w:rPr>
      </w:pPr>
      <w:r w:rsidRPr="00492F66">
        <w:rPr>
          <w:rFonts w:eastAsia="Calibri" w:cs="Calibri"/>
          <w:color w:val="000000" w:themeColor="text1"/>
        </w:rPr>
        <w:t>T</w:t>
      </w:r>
      <w:r w:rsidRPr="00D03F1F">
        <w:rPr>
          <w:rFonts w:eastAsia="Calibri" w:cs="Calibri"/>
          <w:color w:val="000000" w:themeColor="text1"/>
        </w:rPr>
        <w:t xml:space="preserve">he Transitions to Adulthood investments in employment </w:t>
      </w:r>
      <w:r>
        <w:rPr>
          <w:rFonts w:eastAsia="Calibri" w:cs="Calibri"/>
          <w:color w:val="000000" w:themeColor="text1"/>
        </w:rPr>
        <w:t xml:space="preserve">will </w:t>
      </w:r>
      <w:r w:rsidR="000C2DE7">
        <w:rPr>
          <w:rFonts w:eastAsia="Calibri" w:cs="Calibri"/>
          <w:color w:val="000000" w:themeColor="text1"/>
        </w:rPr>
        <w:t>leverage and</w:t>
      </w:r>
      <w:r w:rsidRPr="00D03F1F">
        <w:rPr>
          <w:rFonts w:eastAsia="Calibri" w:cs="Calibri"/>
          <w:color w:val="000000" w:themeColor="text1"/>
        </w:rPr>
        <w:t xml:space="preserve"> complement the Puget Sound Taxpayer Accountability Act’s (PSTAA) King County Promise strategy </w:t>
      </w:r>
      <w:r w:rsidR="004E26E4">
        <w:rPr>
          <w:rFonts w:eastAsia="Calibri" w:cs="Calibri"/>
          <w:color w:val="000000" w:themeColor="text1"/>
        </w:rPr>
        <w:t>that is</w:t>
      </w:r>
      <w:r w:rsidRPr="00D03F1F">
        <w:rPr>
          <w:rFonts w:eastAsia="Calibri" w:cs="Calibri"/>
          <w:color w:val="000000" w:themeColor="text1"/>
        </w:rPr>
        <w:t xml:space="preserve"> starting in 2021.</w:t>
      </w:r>
      <w:r w:rsidRPr="134A2BD0">
        <w:rPr>
          <w:rStyle w:val="FootnoteReference"/>
          <w:rFonts w:eastAsia="Calibri" w:cs="Calibri"/>
          <w:color w:val="000000" w:themeColor="text1"/>
        </w:rPr>
        <w:footnoteReference w:id="190"/>
      </w:r>
    </w:p>
    <w:p w14:paraId="6073158D" w14:textId="09660662" w:rsidR="00DD4D44" w:rsidRPr="0051189C" w:rsidRDefault="1F67D9AB" w:rsidP="7C4FC203">
      <w:pPr>
        <w:rPr>
          <w:rFonts w:asciiTheme="minorHAnsi" w:eastAsiaTheme="minorEastAsia" w:hAnsiTheme="minorHAnsi"/>
          <w:b/>
          <w:color w:val="2E2C2C"/>
        </w:rPr>
      </w:pPr>
      <w:r w:rsidRPr="0051189C">
        <w:rPr>
          <w:rFonts w:asciiTheme="minorHAnsi" w:eastAsiaTheme="minorEastAsia" w:hAnsiTheme="minorHAnsi"/>
          <w:color w:val="2E2C2C"/>
        </w:rPr>
        <w:t>King County Promise is a public-private partnership to increase equity in college access and success for historically underserved students in King County. King County Promise was developed and is supported by a diverse coalition of over 300 organizations and individuals</w:t>
      </w:r>
      <w:r w:rsidR="73F16A84" w:rsidRPr="599E6457">
        <w:rPr>
          <w:rFonts w:asciiTheme="minorHAnsi" w:eastAsiaTheme="minorEastAsia" w:hAnsiTheme="minorHAnsi"/>
          <w:color w:val="2E2C2C"/>
        </w:rPr>
        <w:t xml:space="preserve">. </w:t>
      </w:r>
      <w:r w:rsidRPr="0051189C">
        <w:rPr>
          <w:rFonts w:asciiTheme="minorHAnsi" w:eastAsiaTheme="minorEastAsia" w:hAnsiTheme="minorHAnsi"/>
          <w:color w:val="2E2C2C"/>
        </w:rPr>
        <w:t xml:space="preserve">King County Promise </w:t>
      </w:r>
      <w:r w:rsidR="781308E6" w:rsidRPr="7C4FC203">
        <w:rPr>
          <w:rFonts w:asciiTheme="minorHAnsi" w:eastAsiaTheme="minorEastAsia" w:hAnsiTheme="minorHAnsi"/>
          <w:color w:val="2E2C2C"/>
        </w:rPr>
        <w:t xml:space="preserve">expects to </w:t>
      </w:r>
      <w:r w:rsidRPr="0051189C">
        <w:rPr>
          <w:rFonts w:asciiTheme="minorHAnsi" w:eastAsiaTheme="minorEastAsia" w:hAnsiTheme="minorHAnsi"/>
          <w:color w:val="2E2C2C"/>
        </w:rPr>
        <w:t xml:space="preserve">address longstanding barriers and fill capacity gaps by providing what students tell us they need to be successful: </w:t>
      </w:r>
    </w:p>
    <w:p w14:paraId="37EA868C" w14:textId="6115430B" w:rsidR="00DD4D44" w:rsidRDefault="1F67D9AB" w:rsidP="00025030">
      <w:pPr>
        <w:pStyle w:val="ListParagraph"/>
        <w:numPr>
          <w:ilvl w:val="0"/>
          <w:numId w:val="42"/>
        </w:numPr>
        <w:rPr>
          <w:rFonts w:asciiTheme="minorHAnsi" w:eastAsiaTheme="minorEastAsia" w:hAnsiTheme="minorHAnsi"/>
          <w:color w:val="2E2C2C"/>
        </w:rPr>
      </w:pPr>
      <w:r w:rsidRPr="0051189C">
        <w:rPr>
          <w:rFonts w:asciiTheme="minorHAnsi" w:eastAsiaTheme="minorEastAsia" w:hAnsiTheme="minorHAnsi"/>
          <w:color w:val="2E2C2C"/>
        </w:rPr>
        <w:t>Advising and navigation capacity in high schools, colleges, and community-based organizations to support historically underserved students and young people, under age 26 who are out of school, to get their college degree/credentials.</w:t>
      </w:r>
    </w:p>
    <w:p w14:paraId="4A488465" w14:textId="6115430B" w:rsidR="00DD4D44" w:rsidRDefault="1F67D9AB" w:rsidP="00025030">
      <w:pPr>
        <w:pStyle w:val="ListParagraph"/>
        <w:numPr>
          <w:ilvl w:val="0"/>
          <w:numId w:val="42"/>
        </w:numPr>
        <w:rPr>
          <w:rFonts w:asciiTheme="minorHAnsi" w:eastAsiaTheme="minorEastAsia" w:hAnsiTheme="minorHAnsi"/>
          <w:color w:val="2E2C2C"/>
        </w:rPr>
      </w:pPr>
      <w:r w:rsidRPr="0051189C">
        <w:rPr>
          <w:rFonts w:asciiTheme="minorHAnsi" w:eastAsiaTheme="minorEastAsia" w:hAnsiTheme="minorHAnsi"/>
          <w:color w:val="2E2C2C"/>
        </w:rPr>
        <w:t>Alignment between King County’s K-12 and college systems and eliminate barriers facing historically underserved students, to ensure equitable access to support and success in attaining degrees and credentials, through equitable systems improvement.</w:t>
      </w:r>
    </w:p>
    <w:p w14:paraId="64BFCA2F" w14:textId="69267779" w:rsidR="70A49C08" w:rsidRDefault="70A49C08" w:rsidP="70A49C08">
      <w:pPr>
        <w:rPr>
          <w:rFonts w:eastAsia="Calibri" w:cs="Arial"/>
          <w:b/>
          <w:bCs/>
          <w:color w:val="000000" w:themeColor="text1"/>
        </w:rPr>
      </w:pPr>
    </w:p>
    <w:p w14:paraId="4A0AFF94" w14:textId="77777777" w:rsidR="00561878" w:rsidRDefault="00561878" w:rsidP="00561878">
      <w:pPr>
        <w:rPr>
          <w:rFonts w:eastAsia="Calibri" w:cs="Calibri"/>
          <w:b/>
          <w:bCs/>
          <w:color w:val="1D1D1D"/>
        </w:rPr>
      </w:pPr>
      <w:r>
        <w:rPr>
          <w:rFonts w:eastAsia="Calibri" w:cs="Calibri"/>
          <w:b/>
          <w:bCs/>
          <w:color w:val="1D1D1D"/>
        </w:rPr>
        <w:t>No Planned Refinements.</w:t>
      </w:r>
    </w:p>
    <w:p w14:paraId="1A3E856A" w14:textId="77777777" w:rsidR="00561878" w:rsidRDefault="00561878" w:rsidP="00F13E43">
      <w:pPr>
        <w:contextualSpacing/>
        <w:rPr>
          <w:rFonts w:eastAsia="Times New Roman" w:cs="Calibri"/>
          <w:b/>
          <w:bCs/>
        </w:rPr>
      </w:pPr>
    </w:p>
    <w:p w14:paraId="09135F7B" w14:textId="74EBEF0C" w:rsidR="000E4035" w:rsidRDefault="00AE34E3" w:rsidP="00F13E43">
      <w:pPr>
        <w:contextualSpacing/>
        <w:rPr>
          <w:rFonts w:eastAsia="Times New Roman" w:cs="Calibri"/>
          <w:b/>
          <w:bCs/>
          <w:color w:val="1D1D1D"/>
        </w:rPr>
      </w:pPr>
      <w:r w:rsidRPr="005A3C04">
        <w:rPr>
          <w:rFonts w:eastAsia="Times New Roman" w:cs="Calibri"/>
          <w:b/>
          <w:bCs/>
        </w:rPr>
        <w:lastRenderedPageBreak/>
        <w:t xml:space="preserve">Approximate </w:t>
      </w:r>
      <w:r>
        <w:rPr>
          <w:rFonts w:eastAsia="Times New Roman" w:cs="Calibri"/>
          <w:b/>
          <w:bCs/>
        </w:rPr>
        <w:t>Scope:</w:t>
      </w:r>
      <w:r>
        <w:rPr>
          <w:rFonts w:eastAsia="Times New Roman" w:cs="Calibri"/>
        </w:rPr>
        <w:t xml:space="preserve"> </w:t>
      </w:r>
      <w:r w:rsidR="00D8442D">
        <w:rPr>
          <w:rFonts w:eastAsia="Times New Roman" w:cs="Calibri"/>
        </w:rPr>
        <w:t xml:space="preserve"> </w:t>
      </w:r>
      <w:r w:rsidR="00D8442D" w:rsidRPr="006722AF">
        <w:rPr>
          <w:rFonts w:eastAsia="Times New Roman" w:cs="Calibri"/>
          <w:i/>
        </w:rPr>
        <w:t>Best Starts</w:t>
      </w:r>
      <w:r w:rsidR="00D8442D">
        <w:rPr>
          <w:rFonts w:eastAsia="Times New Roman" w:cs="Calibri"/>
        </w:rPr>
        <w:t xml:space="preserve"> anticipates serving up to 1,000 youth and young adults a</w:t>
      </w:r>
      <w:r w:rsidR="00497C10">
        <w:rPr>
          <w:rFonts w:eastAsia="Times New Roman" w:cs="Calibri"/>
        </w:rPr>
        <w:t xml:space="preserve">nnually. </w:t>
      </w:r>
      <w:r w:rsidRPr="00662C58">
        <w:rPr>
          <w:rFonts w:eastAsia="Times New Roman" w:cs="Calibri"/>
        </w:rPr>
        <w:br/>
      </w:r>
    </w:p>
    <w:p w14:paraId="6D7E9F91" w14:textId="6F35031F" w:rsidR="005E6B66" w:rsidRDefault="00CE4A05" w:rsidP="00F13E43">
      <w:pPr>
        <w:contextualSpacing/>
        <w:rPr>
          <w:rFonts w:eastAsia="Times New Roman" w:cs="Calibri"/>
          <w:color w:val="1D1D1D"/>
        </w:rPr>
      </w:pPr>
      <w:r>
        <w:rPr>
          <w:rFonts w:eastAsia="Times New Roman" w:cs="Calibri"/>
          <w:b/>
          <w:bCs/>
          <w:color w:val="1D1D1D"/>
        </w:rPr>
        <w:t>Anticipated</w:t>
      </w:r>
      <w:r w:rsidRPr="00662C58">
        <w:rPr>
          <w:rFonts w:eastAsia="Times New Roman" w:cs="Calibri"/>
          <w:b/>
          <w:bCs/>
          <w:color w:val="1D1D1D"/>
        </w:rPr>
        <w:t xml:space="preserve"> Timeline:  </w:t>
      </w:r>
      <w:r>
        <w:rPr>
          <w:rFonts w:eastAsia="Times New Roman" w:cs="Calibri"/>
          <w:color w:val="1D1D1D"/>
        </w:rPr>
        <w:t xml:space="preserve">Release RFP for new contracts </w:t>
      </w:r>
      <w:r w:rsidRPr="00662C58">
        <w:rPr>
          <w:rFonts w:eastAsia="Times New Roman" w:cs="Calibri"/>
          <w:color w:val="1D1D1D"/>
        </w:rPr>
        <w:t xml:space="preserve">in </w:t>
      </w:r>
      <w:r>
        <w:rPr>
          <w:rFonts w:eastAsia="Times New Roman" w:cs="Calibri"/>
          <w:color w:val="1D1D1D"/>
        </w:rPr>
        <w:t>Q</w:t>
      </w:r>
      <w:r w:rsidRPr="00662C58">
        <w:rPr>
          <w:rFonts w:eastAsia="Times New Roman" w:cs="Calibri"/>
          <w:color w:val="1D1D1D"/>
        </w:rPr>
        <w:t>3</w:t>
      </w:r>
      <w:r>
        <w:rPr>
          <w:rFonts w:eastAsia="Times New Roman" w:cs="Calibri"/>
          <w:color w:val="1D1D1D"/>
        </w:rPr>
        <w:t xml:space="preserve"> 2022</w:t>
      </w:r>
      <w:r w:rsidR="002547BB">
        <w:rPr>
          <w:rFonts w:eastAsia="Times New Roman" w:cs="Calibri"/>
          <w:color w:val="1D1D1D"/>
        </w:rPr>
        <w:t>.</w:t>
      </w:r>
    </w:p>
    <w:p w14:paraId="57881F56" w14:textId="77777777" w:rsidR="005E6B66" w:rsidRPr="005E6B66" w:rsidRDefault="005E6B66" w:rsidP="00F13E43">
      <w:pPr>
        <w:contextualSpacing/>
        <w:rPr>
          <w:rFonts w:eastAsia="Times New Roman" w:cs="Calibri"/>
          <w:color w:val="1D1D1D"/>
        </w:rPr>
      </w:pPr>
    </w:p>
    <w:tbl>
      <w:tblPr>
        <w:tblStyle w:val="TableGrid"/>
        <w:tblpPr w:leftFromText="180" w:rightFromText="180" w:vertAnchor="text" w:horzAnchor="margin" w:tblpY="170"/>
        <w:tblW w:w="9510" w:type="dxa"/>
        <w:tblLook w:val="04A0" w:firstRow="1" w:lastRow="0" w:firstColumn="1" w:lastColumn="0" w:noHBand="0" w:noVBand="1"/>
      </w:tblPr>
      <w:tblGrid>
        <w:gridCol w:w="9510"/>
      </w:tblGrid>
      <w:tr w:rsidR="00F13E43" w:rsidRPr="00D03F1F" w14:paraId="1C2CFAA3" w14:textId="77777777" w:rsidTr="0070118E">
        <w:trPr>
          <w:trHeight w:val="390"/>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2A918E6" w14:textId="162F84D5" w:rsidR="00F13E43" w:rsidRPr="00BB1A2A" w:rsidRDefault="00F13E43" w:rsidP="00731C02">
            <w:pPr>
              <w:contextualSpacing/>
              <w:rPr>
                <w:rFonts w:cs="Calibri"/>
                <w:sz w:val="28"/>
                <w:szCs w:val="28"/>
              </w:rPr>
            </w:pPr>
            <w:r w:rsidRPr="00BB1A2A">
              <w:rPr>
                <w:rFonts w:eastAsia="Calibri" w:cs="Calibri"/>
                <w:b/>
                <w:color w:val="000000" w:themeColor="text1"/>
                <w:sz w:val="28"/>
                <w:szCs w:val="28"/>
              </w:rPr>
              <w:t xml:space="preserve">Child and Adolescent </w:t>
            </w:r>
            <w:bookmarkStart w:id="79" w:name="Immunizations"/>
            <w:r w:rsidRPr="00BB1A2A">
              <w:rPr>
                <w:rFonts w:eastAsia="Calibri" w:cs="Calibri"/>
                <w:b/>
                <w:color w:val="000000" w:themeColor="text1"/>
                <w:sz w:val="28"/>
                <w:szCs w:val="28"/>
              </w:rPr>
              <w:t>Immunizations</w:t>
            </w:r>
            <w:r w:rsidRPr="00BB1A2A">
              <w:rPr>
                <w:rFonts w:eastAsia="Calibri" w:cs="Calibri"/>
                <w:color w:val="000000" w:themeColor="text1"/>
                <w:sz w:val="28"/>
                <w:szCs w:val="28"/>
              </w:rPr>
              <w:t xml:space="preserve"> </w:t>
            </w:r>
            <w:bookmarkEnd w:id="79"/>
            <w:r w:rsidRPr="0070118E">
              <w:rPr>
                <w:rFonts w:eastAsia="Calibri" w:cs="Calibri"/>
                <w:color w:val="000000" w:themeColor="text1"/>
              </w:rPr>
              <w:t>(form</w:t>
            </w:r>
            <w:r w:rsidR="00054DC3" w:rsidRPr="0070118E">
              <w:rPr>
                <w:rFonts w:eastAsia="Calibri" w:cs="Calibri"/>
                <w:color w:val="000000" w:themeColor="text1"/>
              </w:rPr>
              <w:t>erly</w:t>
            </w:r>
            <w:r w:rsidRPr="0070118E">
              <w:rPr>
                <w:rFonts w:eastAsia="Calibri" w:cs="Calibri"/>
                <w:color w:val="000000" w:themeColor="text1"/>
              </w:rPr>
              <w:t xml:space="preserve"> Adolescent Immunizations)</w:t>
            </w:r>
          </w:p>
        </w:tc>
      </w:tr>
    </w:tbl>
    <w:tbl>
      <w:tblPr>
        <w:tblW w:w="9540" w:type="dxa"/>
        <w:tblLook w:val="04A0" w:firstRow="1" w:lastRow="0" w:firstColumn="1" w:lastColumn="0" w:noHBand="0" w:noVBand="1"/>
      </w:tblPr>
      <w:tblGrid>
        <w:gridCol w:w="1155"/>
        <w:gridCol w:w="1185"/>
        <w:gridCol w:w="1185"/>
        <w:gridCol w:w="1185"/>
        <w:gridCol w:w="1185"/>
        <w:gridCol w:w="1185"/>
        <w:gridCol w:w="1185"/>
        <w:gridCol w:w="1275"/>
      </w:tblGrid>
      <w:tr w:rsidR="00B80B59" w:rsidRPr="00B80B59" w14:paraId="48FBE826" w14:textId="77777777" w:rsidTr="00563616">
        <w:trPr>
          <w:trHeight w:val="337"/>
        </w:trPr>
        <w:tc>
          <w:tcPr>
            <w:tcW w:w="9540" w:type="dxa"/>
            <w:gridSpan w:val="8"/>
            <w:tcBorders>
              <w:top w:val="nil"/>
              <w:left w:val="nil"/>
              <w:bottom w:val="single" w:sz="12" w:space="0" w:color="FFD966"/>
              <w:right w:val="nil"/>
            </w:tcBorders>
            <w:shd w:val="clear" w:color="auto" w:fill="auto"/>
            <w:noWrap/>
            <w:vAlign w:val="bottom"/>
            <w:hideMark/>
          </w:tcPr>
          <w:p w14:paraId="14D84C83" w14:textId="77777777" w:rsidR="00B80B59" w:rsidRPr="00B80B59" w:rsidRDefault="00B80B59" w:rsidP="00B80B59">
            <w:pPr>
              <w:spacing w:line="240" w:lineRule="auto"/>
              <w:rPr>
                <w:rFonts w:eastAsia="Times New Roman" w:cs="Calibri"/>
                <w:b/>
                <w:bCs/>
                <w:i/>
                <w:iCs/>
                <w:color w:val="000000"/>
              </w:rPr>
            </w:pPr>
            <w:r w:rsidRPr="00B80B59">
              <w:rPr>
                <w:rFonts w:eastAsia="Times New Roman" w:cs="Calibri"/>
                <w:b/>
                <w:bCs/>
                <w:i/>
                <w:iCs/>
                <w:color w:val="000000"/>
              </w:rPr>
              <w:t>Funding Estimate:</w:t>
            </w:r>
          </w:p>
        </w:tc>
      </w:tr>
      <w:tr w:rsidR="00B80B59" w:rsidRPr="00B80B59" w14:paraId="6F7CBB91" w14:textId="77777777" w:rsidTr="00563616">
        <w:trPr>
          <w:trHeight w:val="450"/>
        </w:trPr>
        <w:tc>
          <w:tcPr>
            <w:tcW w:w="1155" w:type="dxa"/>
            <w:tcBorders>
              <w:top w:val="nil"/>
              <w:left w:val="single" w:sz="12" w:space="0" w:color="FFD966"/>
              <w:bottom w:val="single" w:sz="8" w:space="0" w:color="FFD966"/>
              <w:right w:val="single" w:sz="8" w:space="0" w:color="FFD966"/>
            </w:tcBorders>
            <w:shd w:val="clear" w:color="000000" w:fill="D9E1F2"/>
            <w:noWrap/>
            <w:vAlign w:val="center"/>
            <w:hideMark/>
          </w:tcPr>
          <w:p w14:paraId="0305DA3E" w14:textId="77777777" w:rsidR="00B80B59" w:rsidRPr="00B80B59" w:rsidRDefault="00B80B59" w:rsidP="00B80B59">
            <w:pPr>
              <w:spacing w:line="240" w:lineRule="auto"/>
              <w:rPr>
                <w:rFonts w:eastAsia="Times New Roman" w:cs="Calibri"/>
                <w:b/>
                <w:bCs/>
                <w:i/>
                <w:iCs/>
              </w:rPr>
            </w:pPr>
            <w:r w:rsidRPr="00B80B59">
              <w:rPr>
                <w:rFonts w:eastAsia="Times New Roman" w:cs="Calibri"/>
                <w:b/>
                <w:bCs/>
                <w:i/>
                <w:iCs/>
              </w:rPr>
              <w:t>Year</w:t>
            </w:r>
          </w:p>
        </w:tc>
        <w:tc>
          <w:tcPr>
            <w:tcW w:w="1185" w:type="dxa"/>
            <w:tcBorders>
              <w:top w:val="nil"/>
              <w:left w:val="nil"/>
              <w:bottom w:val="single" w:sz="8" w:space="0" w:color="FFD966"/>
              <w:right w:val="single" w:sz="8" w:space="0" w:color="FFD966"/>
            </w:tcBorders>
            <w:shd w:val="clear" w:color="000000" w:fill="D9E1F2"/>
            <w:noWrap/>
            <w:vAlign w:val="center"/>
            <w:hideMark/>
          </w:tcPr>
          <w:p w14:paraId="1292273C" w14:textId="77777777" w:rsidR="00B80B59" w:rsidRPr="00B80B59" w:rsidRDefault="00B80B59" w:rsidP="00B80B59">
            <w:pPr>
              <w:spacing w:line="240" w:lineRule="auto"/>
              <w:jc w:val="right"/>
              <w:rPr>
                <w:rFonts w:eastAsia="Times New Roman" w:cs="Calibri"/>
              </w:rPr>
            </w:pPr>
            <w:r w:rsidRPr="00B80B59">
              <w:rPr>
                <w:rFonts w:eastAsia="Times New Roman" w:cs="Calibri"/>
              </w:rPr>
              <w:t>2022</w:t>
            </w:r>
          </w:p>
        </w:tc>
        <w:tc>
          <w:tcPr>
            <w:tcW w:w="1185" w:type="dxa"/>
            <w:tcBorders>
              <w:top w:val="nil"/>
              <w:left w:val="nil"/>
              <w:bottom w:val="single" w:sz="8" w:space="0" w:color="FFD966"/>
              <w:right w:val="single" w:sz="8" w:space="0" w:color="FFD966"/>
            </w:tcBorders>
            <w:shd w:val="clear" w:color="000000" w:fill="D9E1F2"/>
            <w:noWrap/>
            <w:vAlign w:val="center"/>
            <w:hideMark/>
          </w:tcPr>
          <w:p w14:paraId="0BF7F0CF" w14:textId="77777777" w:rsidR="00B80B59" w:rsidRPr="00B80B59" w:rsidRDefault="00B80B59" w:rsidP="00B80B59">
            <w:pPr>
              <w:spacing w:line="240" w:lineRule="auto"/>
              <w:jc w:val="right"/>
              <w:rPr>
                <w:rFonts w:eastAsia="Times New Roman" w:cs="Calibri"/>
              </w:rPr>
            </w:pPr>
            <w:r w:rsidRPr="00B80B59">
              <w:rPr>
                <w:rFonts w:eastAsia="Times New Roman" w:cs="Calibri"/>
              </w:rPr>
              <w:t>2023</w:t>
            </w:r>
          </w:p>
        </w:tc>
        <w:tc>
          <w:tcPr>
            <w:tcW w:w="1185" w:type="dxa"/>
            <w:tcBorders>
              <w:top w:val="nil"/>
              <w:left w:val="nil"/>
              <w:bottom w:val="single" w:sz="8" w:space="0" w:color="FFD966"/>
              <w:right w:val="single" w:sz="8" w:space="0" w:color="FFD966"/>
            </w:tcBorders>
            <w:shd w:val="clear" w:color="000000" w:fill="D9E1F2"/>
            <w:noWrap/>
            <w:vAlign w:val="center"/>
            <w:hideMark/>
          </w:tcPr>
          <w:p w14:paraId="41DDEEAB" w14:textId="77777777" w:rsidR="00B80B59" w:rsidRPr="00B80B59" w:rsidRDefault="00B80B59" w:rsidP="00B80B59">
            <w:pPr>
              <w:spacing w:line="240" w:lineRule="auto"/>
              <w:jc w:val="right"/>
              <w:rPr>
                <w:rFonts w:eastAsia="Times New Roman" w:cs="Calibri"/>
              </w:rPr>
            </w:pPr>
            <w:r w:rsidRPr="00B80B59">
              <w:rPr>
                <w:rFonts w:eastAsia="Times New Roman" w:cs="Calibri"/>
              </w:rPr>
              <w:t>2024</w:t>
            </w:r>
          </w:p>
        </w:tc>
        <w:tc>
          <w:tcPr>
            <w:tcW w:w="1185" w:type="dxa"/>
            <w:tcBorders>
              <w:top w:val="nil"/>
              <w:left w:val="nil"/>
              <w:bottom w:val="single" w:sz="8" w:space="0" w:color="FFD966"/>
              <w:right w:val="single" w:sz="8" w:space="0" w:color="FFD966"/>
            </w:tcBorders>
            <w:shd w:val="clear" w:color="000000" w:fill="D9E1F2"/>
            <w:noWrap/>
            <w:vAlign w:val="center"/>
            <w:hideMark/>
          </w:tcPr>
          <w:p w14:paraId="7A19FC2C" w14:textId="77777777" w:rsidR="00B80B59" w:rsidRPr="00B80B59" w:rsidRDefault="00B80B59" w:rsidP="00B80B59">
            <w:pPr>
              <w:spacing w:line="240" w:lineRule="auto"/>
              <w:jc w:val="right"/>
              <w:rPr>
                <w:rFonts w:eastAsia="Times New Roman" w:cs="Calibri"/>
              </w:rPr>
            </w:pPr>
            <w:r w:rsidRPr="00B80B59">
              <w:rPr>
                <w:rFonts w:eastAsia="Times New Roman" w:cs="Calibri"/>
              </w:rPr>
              <w:t>2025</w:t>
            </w:r>
          </w:p>
        </w:tc>
        <w:tc>
          <w:tcPr>
            <w:tcW w:w="1185" w:type="dxa"/>
            <w:tcBorders>
              <w:top w:val="nil"/>
              <w:left w:val="nil"/>
              <w:bottom w:val="single" w:sz="8" w:space="0" w:color="FFD966"/>
              <w:right w:val="single" w:sz="8" w:space="0" w:color="FFD966"/>
            </w:tcBorders>
            <w:shd w:val="clear" w:color="000000" w:fill="D9E1F2"/>
            <w:noWrap/>
            <w:vAlign w:val="center"/>
            <w:hideMark/>
          </w:tcPr>
          <w:p w14:paraId="51EC0CF5" w14:textId="77777777" w:rsidR="00B80B59" w:rsidRPr="00B80B59" w:rsidRDefault="00B80B59" w:rsidP="00B80B59">
            <w:pPr>
              <w:spacing w:line="240" w:lineRule="auto"/>
              <w:jc w:val="right"/>
              <w:rPr>
                <w:rFonts w:eastAsia="Times New Roman" w:cs="Calibri"/>
              </w:rPr>
            </w:pPr>
            <w:r w:rsidRPr="00B80B59">
              <w:rPr>
                <w:rFonts w:eastAsia="Times New Roman" w:cs="Calibri"/>
              </w:rPr>
              <w:t>2026</w:t>
            </w:r>
          </w:p>
        </w:tc>
        <w:tc>
          <w:tcPr>
            <w:tcW w:w="1185" w:type="dxa"/>
            <w:tcBorders>
              <w:top w:val="nil"/>
              <w:left w:val="nil"/>
              <w:bottom w:val="single" w:sz="8" w:space="0" w:color="FFD966"/>
              <w:right w:val="single" w:sz="8" w:space="0" w:color="FFD966"/>
            </w:tcBorders>
            <w:shd w:val="clear" w:color="000000" w:fill="D9E1F2"/>
            <w:noWrap/>
            <w:vAlign w:val="center"/>
            <w:hideMark/>
          </w:tcPr>
          <w:p w14:paraId="67B9FF46" w14:textId="77777777" w:rsidR="00B80B59" w:rsidRPr="00B80B59" w:rsidRDefault="00B80B59" w:rsidP="00B80B59">
            <w:pPr>
              <w:spacing w:line="240" w:lineRule="auto"/>
              <w:jc w:val="right"/>
              <w:rPr>
                <w:rFonts w:eastAsia="Times New Roman" w:cs="Calibri"/>
              </w:rPr>
            </w:pPr>
            <w:r w:rsidRPr="00B80B59">
              <w:rPr>
                <w:rFonts w:eastAsia="Times New Roman" w:cs="Calibri"/>
              </w:rPr>
              <w:t>2027</w:t>
            </w:r>
          </w:p>
        </w:tc>
        <w:tc>
          <w:tcPr>
            <w:tcW w:w="1275" w:type="dxa"/>
            <w:tcBorders>
              <w:top w:val="nil"/>
              <w:left w:val="nil"/>
              <w:bottom w:val="single" w:sz="8" w:space="0" w:color="FFD966"/>
              <w:right w:val="single" w:sz="12" w:space="0" w:color="FFD966"/>
            </w:tcBorders>
            <w:shd w:val="clear" w:color="000000" w:fill="D9E1F2"/>
            <w:noWrap/>
            <w:vAlign w:val="center"/>
            <w:hideMark/>
          </w:tcPr>
          <w:p w14:paraId="65830C53" w14:textId="77777777" w:rsidR="00B80B59" w:rsidRPr="00B80B59" w:rsidRDefault="00B80B59" w:rsidP="00B80B59">
            <w:pPr>
              <w:spacing w:line="240" w:lineRule="auto"/>
              <w:jc w:val="right"/>
              <w:rPr>
                <w:rFonts w:eastAsia="Times New Roman" w:cs="Calibri"/>
                <w:b/>
                <w:bCs/>
                <w:i/>
                <w:iCs/>
              </w:rPr>
            </w:pPr>
            <w:r w:rsidRPr="00B80B59">
              <w:rPr>
                <w:rFonts w:eastAsia="Times New Roman" w:cs="Calibri"/>
                <w:b/>
                <w:bCs/>
                <w:i/>
                <w:iCs/>
              </w:rPr>
              <w:t>Total</w:t>
            </w:r>
          </w:p>
        </w:tc>
      </w:tr>
      <w:tr w:rsidR="00B80B59" w:rsidRPr="00B80B59" w14:paraId="3C5F5435" w14:textId="77777777" w:rsidTr="00563616">
        <w:trPr>
          <w:trHeight w:val="450"/>
        </w:trPr>
        <w:tc>
          <w:tcPr>
            <w:tcW w:w="1155" w:type="dxa"/>
            <w:tcBorders>
              <w:top w:val="nil"/>
              <w:left w:val="single" w:sz="12" w:space="0" w:color="FFD966"/>
              <w:bottom w:val="single" w:sz="12" w:space="0" w:color="FFD966"/>
              <w:right w:val="single" w:sz="8" w:space="0" w:color="FFD966"/>
            </w:tcBorders>
            <w:shd w:val="clear" w:color="auto" w:fill="auto"/>
            <w:noWrap/>
            <w:vAlign w:val="center"/>
            <w:hideMark/>
          </w:tcPr>
          <w:p w14:paraId="1F34ADB4" w14:textId="77777777" w:rsidR="00B80B59" w:rsidRPr="00B80B59" w:rsidRDefault="00B80B59" w:rsidP="00B80B59">
            <w:pPr>
              <w:spacing w:line="240" w:lineRule="auto"/>
              <w:rPr>
                <w:rFonts w:eastAsia="Times New Roman" w:cs="Calibri"/>
                <w:b/>
                <w:bCs/>
                <w:i/>
                <w:iCs/>
                <w:color w:val="000000"/>
              </w:rPr>
            </w:pPr>
            <w:r w:rsidRPr="00B80B59">
              <w:rPr>
                <w:rFonts w:eastAsia="Times New Roman" w:cs="Calibri"/>
                <w:b/>
                <w:bCs/>
                <w:i/>
                <w:iCs/>
                <w:color w:val="000000"/>
              </w:rPr>
              <w:t>Amount</w:t>
            </w:r>
          </w:p>
        </w:tc>
        <w:tc>
          <w:tcPr>
            <w:tcW w:w="1185" w:type="dxa"/>
            <w:tcBorders>
              <w:top w:val="nil"/>
              <w:left w:val="nil"/>
              <w:bottom w:val="single" w:sz="12" w:space="0" w:color="FFD966"/>
              <w:right w:val="single" w:sz="8" w:space="0" w:color="FFD966"/>
            </w:tcBorders>
            <w:shd w:val="clear" w:color="auto" w:fill="auto"/>
            <w:noWrap/>
            <w:vAlign w:val="center"/>
            <w:hideMark/>
          </w:tcPr>
          <w:p w14:paraId="42F887F7"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$450,000 </w:t>
            </w:r>
          </w:p>
        </w:tc>
        <w:tc>
          <w:tcPr>
            <w:tcW w:w="1185" w:type="dxa"/>
            <w:tcBorders>
              <w:top w:val="nil"/>
              <w:left w:val="nil"/>
              <w:bottom w:val="single" w:sz="12" w:space="0" w:color="FFD966"/>
              <w:right w:val="single" w:sz="8" w:space="0" w:color="FFD966"/>
            </w:tcBorders>
            <w:shd w:val="clear" w:color="auto" w:fill="auto"/>
            <w:noWrap/>
            <w:vAlign w:val="center"/>
            <w:hideMark/>
          </w:tcPr>
          <w:p w14:paraId="5384E3B3"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$460,000 </w:t>
            </w:r>
          </w:p>
        </w:tc>
        <w:tc>
          <w:tcPr>
            <w:tcW w:w="1185" w:type="dxa"/>
            <w:tcBorders>
              <w:top w:val="nil"/>
              <w:left w:val="nil"/>
              <w:bottom w:val="single" w:sz="12" w:space="0" w:color="FFD966"/>
              <w:right w:val="single" w:sz="8" w:space="0" w:color="FFD966"/>
            </w:tcBorders>
            <w:shd w:val="clear" w:color="auto" w:fill="auto"/>
            <w:noWrap/>
            <w:vAlign w:val="center"/>
            <w:hideMark/>
          </w:tcPr>
          <w:p w14:paraId="2C20231E"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$470,000 </w:t>
            </w:r>
          </w:p>
        </w:tc>
        <w:tc>
          <w:tcPr>
            <w:tcW w:w="1185" w:type="dxa"/>
            <w:tcBorders>
              <w:top w:val="nil"/>
              <w:left w:val="nil"/>
              <w:bottom w:val="single" w:sz="12" w:space="0" w:color="FFD966"/>
              <w:right w:val="single" w:sz="8" w:space="0" w:color="FFD966"/>
            </w:tcBorders>
            <w:shd w:val="clear" w:color="auto" w:fill="auto"/>
            <w:noWrap/>
            <w:vAlign w:val="center"/>
            <w:hideMark/>
          </w:tcPr>
          <w:p w14:paraId="67F00E9D"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$480,000 </w:t>
            </w:r>
          </w:p>
        </w:tc>
        <w:tc>
          <w:tcPr>
            <w:tcW w:w="1185" w:type="dxa"/>
            <w:tcBorders>
              <w:top w:val="nil"/>
              <w:left w:val="nil"/>
              <w:bottom w:val="single" w:sz="12" w:space="0" w:color="FFD966"/>
              <w:right w:val="single" w:sz="8" w:space="0" w:color="FFD966"/>
            </w:tcBorders>
            <w:shd w:val="clear" w:color="auto" w:fill="auto"/>
            <w:noWrap/>
            <w:vAlign w:val="center"/>
            <w:hideMark/>
          </w:tcPr>
          <w:p w14:paraId="7F6D7945"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$491,000 </w:t>
            </w:r>
          </w:p>
        </w:tc>
        <w:tc>
          <w:tcPr>
            <w:tcW w:w="1185" w:type="dxa"/>
            <w:tcBorders>
              <w:top w:val="nil"/>
              <w:left w:val="nil"/>
              <w:bottom w:val="single" w:sz="12" w:space="0" w:color="FFD966"/>
              <w:right w:val="single" w:sz="8" w:space="0" w:color="FFD966"/>
            </w:tcBorders>
            <w:shd w:val="clear" w:color="auto" w:fill="auto"/>
            <w:noWrap/>
            <w:vAlign w:val="center"/>
            <w:hideMark/>
          </w:tcPr>
          <w:p w14:paraId="25D23CE9"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$502,000 </w:t>
            </w:r>
          </w:p>
        </w:tc>
        <w:tc>
          <w:tcPr>
            <w:tcW w:w="1275" w:type="dxa"/>
            <w:tcBorders>
              <w:top w:val="nil"/>
              <w:left w:val="nil"/>
              <w:bottom w:val="single" w:sz="12" w:space="0" w:color="FFD966"/>
              <w:right w:val="single" w:sz="12" w:space="0" w:color="FFD966"/>
            </w:tcBorders>
            <w:shd w:val="clear" w:color="auto" w:fill="auto"/>
            <w:noWrap/>
            <w:vAlign w:val="center"/>
            <w:hideMark/>
          </w:tcPr>
          <w:p w14:paraId="0D777F67" w14:textId="77777777" w:rsidR="00B80B59" w:rsidRPr="00B80B59" w:rsidRDefault="00B80B59" w:rsidP="00B80B59">
            <w:pPr>
              <w:spacing w:line="240" w:lineRule="auto"/>
              <w:jc w:val="right"/>
              <w:rPr>
                <w:rFonts w:eastAsia="Times New Roman" w:cs="Calibri"/>
                <w:b/>
                <w:bCs/>
                <w:color w:val="000000"/>
              </w:rPr>
            </w:pPr>
            <w:r w:rsidRPr="00B80B59">
              <w:rPr>
                <w:rFonts w:eastAsia="Times New Roman" w:cs="Calibri"/>
                <w:b/>
                <w:bCs/>
                <w:color w:val="000000"/>
              </w:rPr>
              <w:t xml:space="preserve">$2,853,000 </w:t>
            </w:r>
          </w:p>
        </w:tc>
      </w:tr>
    </w:tbl>
    <w:p w14:paraId="499B7679" w14:textId="77777777" w:rsidR="00656BBD" w:rsidRDefault="00656BBD" w:rsidP="00F13E43">
      <w:pPr>
        <w:contextualSpacing/>
        <w:rPr>
          <w:rFonts w:eastAsia="Calibri" w:cs="Calibri"/>
          <w:b/>
          <w:bCs/>
          <w:color w:val="000000" w:themeColor="text1"/>
        </w:rPr>
      </w:pPr>
    </w:p>
    <w:p w14:paraId="56E856F1" w14:textId="5973BE52" w:rsidR="00F13E43" w:rsidRDefault="00F13E43" w:rsidP="00F13E43">
      <w:pPr>
        <w:contextualSpacing/>
        <w:rPr>
          <w:rFonts w:eastAsia="Calibri" w:cs="Calibri"/>
          <w:color w:val="000000" w:themeColor="text1"/>
        </w:rPr>
      </w:pPr>
      <w:r w:rsidRPr="3863ED53">
        <w:rPr>
          <w:rFonts w:eastAsia="Calibri" w:cs="Calibri"/>
          <w:b/>
          <w:bCs/>
          <w:color w:val="000000" w:themeColor="text1"/>
        </w:rPr>
        <w:t>Description</w:t>
      </w:r>
      <w:r w:rsidR="005E6B66">
        <w:rPr>
          <w:rFonts w:eastAsia="Calibri" w:cs="Calibri"/>
          <w:b/>
          <w:bCs/>
          <w:color w:val="000000" w:themeColor="text1"/>
        </w:rPr>
        <w:t>:</w:t>
      </w:r>
    </w:p>
    <w:p w14:paraId="2A5C3BAF" w14:textId="0F58B711" w:rsidR="00F13E43" w:rsidRDefault="00F13E43" w:rsidP="00F13E43">
      <w:pPr>
        <w:contextualSpacing/>
        <w:rPr>
          <w:rFonts w:eastAsia="Calibri" w:cs="Calibri"/>
          <w:color w:val="000000" w:themeColor="text1"/>
        </w:rPr>
      </w:pPr>
      <w:r w:rsidRPr="351B1C68">
        <w:rPr>
          <w:rFonts w:eastAsia="Calibri" w:cs="Calibri"/>
          <w:color w:val="000000" w:themeColor="text1"/>
        </w:rPr>
        <w:t>Th</w:t>
      </w:r>
      <w:r w:rsidR="5CC98BFB" w:rsidRPr="351B1C68">
        <w:rPr>
          <w:rFonts w:eastAsia="Calibri" w:cs="Calibri"/>
          <w:color w:val="000000" w:themeColor="text1"/>
        </w:rPr>
        <w:t>e</w:t>
      </w:r>
      <w:r w:rsidRPr="351B1C68">
        <w:rPr>
          <w:rFonts w:eastAsia="Calibri" w:cs="Calibri"/>
          <w:color w:val="000000" w:themeColor="text1"/>
        </w:rPr>
        <w:t xml:space="preserve"> </w:t>
      </w:r>
      <w:r w:rsidR="7ED7BE54" w:rsidRPr="351B1C68">
        <w:rPr>
          <w:rFonts w:eastAsia="Calibri" w:cs="Calibri"/>
          <w:color w:val="000000" w:themeColor="text1"/>
        </w:rPr>
        <w:t>Child and Adolescent Immunizations</w:t>
      </w:r>
      <w:r w:rsidRPr="3863ED53">
        <w:rPr>
          <w:rFonts w:eastAsia="Calibri" w:cs="Calibri"/>
          <w:color w:val="000000" w:themeColor="text1"/>
        </w:rPr>
        <w:t xml:space="preserve"> strategy </w:t>
      </w:r>
      <w:r w:rsidR="00DF23FC">
        <w:rPr>
          <w:rFonts w:eastAsia="Calibri" w:cs="Calibri"/>
          <w:color w:val="000000" w:themeColor="text1"/>
        </w:rPr>
        <w:t>focus on two key collaborations</w:t>
      </w:r>
      <w:r w:rsidR="005D37E9">
        <w:rPr>
          <w:rFonts w:eastAsia="Calibri" w:cs="Calibri"/>
          <w:color w:val="000000" w:themeColor="text1"/>
        </w:rPr>
        <w:t>,</w:t>
      </w:r>
      <w:r w:rsidRPr="3863ED53">
        <w:rPr>
          <w:rFonts w:eastAsia="Calibri" w:cs="Calibri"/>
          <w:color w:val="000000" w:themeColor="text1"/>
        </w:rPr>
        <w:t xml:space="preserve"> the Washington Child Health Improvement Partnership (WACHIP),</w:t>
      </w:r>
      <w:r w:rsidR="00F8373A">
        <w:rPr>
          <w:rStyle w:val="FootnoteReference"/>
          <w:rFonts w:eastAsia="Calibri" w:cs="Calibri"/>
          <w:color w:val="000000" w:themeColor="text1"/>
        </w:rPr>
        <w:footnoteReference w:id="191"/>
      </w:r>
      <w:r w:rsidRPr="3863ED53">
        <w:rPr>
          <w:rFonts w:eastAsia="Calibri" w:cs="Calibri"/>
          <w:color w:val="000000" w:themeColor="text1"/>
        </w:rPr>
        <w:t xml:space="preserve"> </w:t>
      </w:r>
      <w:r w:rsidR="00DF23FC">
        <w:rPr>
          <w:rFonts w:eastAsia="Calibri" w:cs="Calibri"/>
          <w:color w:val="000000" w:themeColor="text1"/>
        </w:rPr>
        <w:t>and the</w:t>
      </w:r>
      <w:r w:rsidRPr="3863ED53">
        <w:rPr>
          <w:rFonts w:eastAsia="Calibri" w:cs="Calibri"/>
          <w:color w:val="000000" w:themeColor="text1"/>
        </w:rPr>
        <w:t xml:space="preserve"> pediatric improvement partnership (PIP)</w:t>
      </w:r>
      <w:r w:rsidR="00422212">
        <w:rPr>
          <w:rStyle w:val="FootnoteReference"/>
          <w:rFonts w:eastAsia="Calibri" w:cs="Calibri"/>
          <w:color w:val="000000" w:themeColor="text1"/>
        </w:rPr>
        <w:footnoteReference w:id="192"/>
      </w:r>
      <w:r w:rsidR="00DF23FC">
        <w:rPr>
          <w:rFonts w:eastAsia="Calibri" w:cs="Calibri"/>
          <w:color w:val="000000" w:themeColor="text1"/>
        </w:rPr>
        <w:t xml:space="preserve"> to </w:t>
      </w:r>
      <w:r w:rsidR="005713F5">
        <w:rPr>
          <w:rFonts w:eastAsia="Calibri" w:cs="Calibri"/>
          <w:color w:val="000000" w:themeColor="text1"/>
        </w:rPr>
        <w:t xml:space="preserve">impact </w:t>
      </w:r>
      <w:r w:rsidR="00A6334C">
        <w:rPr>
          <w:rFonts w:eastAsia="Calibri" w:cs="Calibri"/>
          <w:color w:val="000000" w:themeColor="text1"/>
        </w:rPr>
        <w:t>vaccine delivery</w:t>
      </w:r>
      <w:r w:rsidR="005E6B66">
        <w:rPr>
          <w:rFonts w:eastAsia="Calibri" w:cs="Calibri"/>
          <w:color w:val="000000" w:themeColor="text1"/>
        </w:rPr>
        <w:t>.</w:t>
      </w:r>
      <w:r w:rsidR="001540DC" w:rsidRPr="351B1C68">
        <w:rPr>
          <w:rStyle w:val="FootnoteReference"/>
          <w:rFonts w:eastAsia="Calibri" w:cs="Calibri"/>
          <w:color w:val="000000" w:themeColor="text1"/>
        </w:rPr>
        <w:footnoteReference w:id="193"/>
      </w:r>
      <w:r w:rsidR="001540DC">
        <w:rPr>
          <w:rStyle w:val="FootnoteReference"/>
          <w:rFonts w:eastAsia="Calibri" w:cs="Calibri"/>
          <w:color w:val="000000" w:themeColor="text1"/>
        </w:rPr>
        <w:t>,</w:t>
      </w:r>
      <w:r w:rsidRPr="351B1C68">
        <w:rPr>
          <w:rStyle w:val="FootnoteReference"/>
          <w:rFonts w:eastAsia="Calibri" w:cs="Calibri"/>
          <w:color w:val="000000" w:themeColor="text1"/>
        </w:rPr>
        <w:footnoteReference w:id="194"/>
      </w:r>
    </w:p>
    <w:p w14:paraId="2F6A8423" w14:textId="77777777" w:rsidR="00F13E43" w:rsidRDefault="00F13E43" w:rsidP="00F13E43">
      <w:pPr>
        <w:contextualSpacing/>
        <w:rPr>
          <w:rFonts w:eastAsia="Calibri" w:cs="Calibri"/>
          <w:color w:val="000000" w:themeColor="text1"/>
        </w:rPr>
      </w:pPr>
    </w:p>
    <w:p w14:paraId="245C0B35" w14:textId="5BEB10F7" w:rsidR="00F13E43" w:rsidRDefault="00F13E43" w:rsidP="00F13E43">
      <w:pPr>
        <w:contextualSpacing/>
        <w:rPr>
          <w:rFonts w:eastAsia="Calibri" w:cs="Calibri"/>
        </w:rPr>
      </w:pPr>
      <w:r>
        <w:rPr>
          <w:rFonts w:eastAsia="Calibri" w:cs="Calibri"/>
          <w:color w:val="000000" w:themeColor="text1"/>
        </w:rPr>
        <w:t xml:space="preserve">The strategy </w:t>
      </w:r>
      <w:r w:rsidR="005713F5">
        <w:rPr>
          <w:rFonts w:eastAsia="Calibri" w:cs="Calibri"/>
          <w:color w:val="000000" w:themeColor="text1"/>
        </w:rPr>
        <w:t xml:space="preserve">identifies </w:t>
      </w:r>
      <w:r w:rsidR="005366A6">
        <w:rPr>
          <w:rFonts w:eastAsia="Calibri" w:cs="Calibri"/>
          <w:color w:val="000000" w:themeColor="text1"/>
        </w:rPr>
        <w:t>impacts</w:t>
      </w:r>
      <w:r w:rsidRPr="3863ED53" w:rsidDel="00A4044A">
        <w:rPr>
          <w:rFonts w:eastAsia="Calibri" w:cs="Calibri"/>
          <w:color w:val="000000" w:themeColor="text1"/>
        </w:rPr>
        <w:t xml:space="preserve"> </w:t>
      </w:r>
      <w:r w:rsidR="003B2D49">
        <w:rPr>
          <w:rFonts w:eastAsia="Calibri" w:cs="Calibri"/>
          <w:color w:val="000000" w:themeColor="text1"/>
        </w:rPr>
        <w:t xml:space="preserve">of </w:t>
      </w:r>
      <w:r w:rsidRPr="3863ED53">
        <w:rPr>
          <w:rFonts w:eastAsia="Calibri" w:cs="Calibri"/>
          <w:color w:val="000000" w:themeColor="text1"/>
        </w:rPr>
        <w:t xml:space="preserve">systemic barriers to vaccine delivery, </w:t>
      </w:r>
      <w:r w:rsidR="00F26DEA">
        <w:rPr>
          <w:rFonts w:eastAsia="Calibri" w:cs="Calibri"/>
          <w:color w:val="000000" w:themeColor="text1"/>
        </w:rPr>
        <w:t>including</w:t>
      </w:r>
      <w:r w:rsidRPr="3863ED53">
        <w:rPr>
          <w:rFonts w:eastAsia="Calibri" w:cs="Calibri"/>
          <w:color w:val="000000" w:themeColor="text1"/>
        </w:rPr>
        <w:t xml:space="preserve"> breakdowns in the chain of vaccine supply, young people’s access to health care, vaccine hesitancy, and the emergent and changing basic healthcare needs of the community</w:t>
      </w:r>
      <w:r w:rsidR="00BE735D">
        <w:rPr>
          <w:rFonts w:eastAsia="Calibri" w:cs="Calibri"/>
          <w:color w:val="000000" w:themeColor="text1"/>
        </w:rPr>
        <w:t xml:space="preserve">. Programs </w:t>
      </w:r>
      <w:r w:rsidR="003D25D8" w:rsidRPr="003D25D8">
        <w:rPr>
          <w:rFonts w:eastAsia="Calibri" w:cs="Calibri"/>
        </w:rPr>
        <w:t xml:space="preserve">gather </w:t>
      </w:r>
      <w:r w:rsidR="002D2BB0">
        <w:rPr>
          <w:rFonts w:eastAsia="Calibri" w:cs="Calibri"/>
        </w:rPr>
        <w:t>regional</w:t>
      </w:r>
      <w:r w:rsidR="003D25D8" w:rsidRPr="003D25D8">
        <w:rPr>
          <w:rFonts w:eastAsia="Calibri" w:cs="Calibri"/>
        </w:rPr>
        <w:t xml:space="preserve"> </w:t>
      </w:r>
      <w:r w:rsidR="00AC363E">
        <w:rPr>
          <w:rFonts w:eastAsia="Calibri" w:cs="Calibri"/>
        </w:rPr>
        <w:t>collaboration of public and private partners</w:t>
      </w:r>
      <w:r w:rsidR="003D25D8" w:rsidRPr="003D25D8">
        <w:rPr>
          <w:rFonts w:eastAsia="Calibri" w:cs="Calibri"/>
        </w:rPr>
        <w:t xml:space="preserve"> (PIP),</w:t>
      </w:r>
      <w:r w:rsidR="005A7907">
        <w:rPr>
          <w:rFonts w:eastAsia="Calibri" w:cs="Calibri"/>
        </w:rPr>
        <w:t xml:space="preserve"> to</w:t>
      </w:r>
      <w:r w:rsidR="003D25D8" w:rsidRPr="003D25D8">
        <w:rPr>
          <w:rFonts w:eastAsia="Calibri" w:cs="Calibri"/>
        </w:rPr>
        <w:t xml:space="preserve"> implement quality improvement techniques for pediatric healthcare providers (WACHIP learning collaborative), and partner with youth peer health educators to implement </w:t>
      </w:r>
      <w:r w:rsidR="00036CE4">
        <w:rPr>
          <w:rFonts w:eastAsia="Calibri" w:cs="Calibri"/>
        </w:rPr>
        <w:t>health an</w:t>
      </w:r>
      <w:r w:rsidR="00886196">
        <w:rPr>
          <w:rFonts w:eastAsia="Calibri" w:cs="Calibri"/>
        </w:rPr>
        <w:t xml:space="preserve">d vaccine education in their schools. </w:t>
      </w:r>
      <w:r w:rsidR="00F82E78">
        <w:rPr>
          <w:rFonts w:eastAsia="Calibri" w:cs="Calibri"/>
        </w:rPr>
        <w:t xml:space="preserve"> </w:t>
      </w:r>
      <w:r w:rsidR="003D25D8" w:rsidRPr="003D25D8">
        <w:rPr>
          <w:rFonts w:eastAsia="Calibri" w:cs="Calibri"/>
        </w:rPr>
        <w:t xml:space="preserve"> </w:t>
      </w:r>
    </w:p>
    <w:p w14:paraId="119B11A0" w14:textId="77777777" w:rsidR="00B80B59" w:rsidRPr="00B80B59" w:rsidRDefault="00B80B59" w:rsidP="00F13E43">
      <w:pPr>
        <w:contextualSpacing/>
        <w:rPr>
          <w:rFonts w:eastAsia="Calibri" w:cs="Calibri"/>
        </w:rPr>
      </w:pPr>
    </w:p>
    <w:p w14:paraId="3A5DCC56" w14:textId="33E67774" w:rsidR="00F13E43" w:rsidRDefault="41BCC18E">
      <w:pPr>
        <w:rPr>
          <w:rFonts w:eastAsia="Calibri" w:cs="Arial"/>
          <w:b/>
          <w:color w:val="000000" w:themeColor="text1"/>
        </w:rPr>
      </w:pPr>
      <w:r w:rsidRPr="351B1C68">
        <w:rPr>
          <w:rFonts w:eastAsia="Calibri" w:cs="Calibri"/>
          <w:b/>
          <w:bCs/>
          <w:color w:val="000000" w:themeColor="text1"/>
        </w:rPr>
        <w:t xml:space="preserve">Planned Refinements in </w:t>
      </w:r>
      <w:r w:rsidR="005B3FA5" w:rsidRPr="00D1000C">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B5314B">
        <w:rPr>
          <w:rFonts w:eastAsia="Times New Roman" w:cs="Calibri"/>
          <w:b/>
          <w:color w:val="000000" w:themeColor="text1"/>
        </w:rPr>
        <w:t>:</w:t>
      </w:r>
    </w:p>
    <w:p w14:paraId="02F5F0EA" w14:textId="77777777" w:rsidR="00137EBF" w:rsidRDefault="0053097D" w:rsidP="00025030">
      <w:pPr>
        <w:pStyle w:val="ListParagraph"/>
        <w:numPr>
          <w:ilvl w:val="0"/>
          <w:numId w:val="47"/>
        </w:numPr>
        <w:contextualSpacing w:val="0"/>
        <w:rPr>
          <w:rFonts w:eastAsia="Calibri" w:cs="Calibri"/>
          <w:color w:val="000000" w:themeColor="text1"/>
        </w:rPr>
      </w:pPr>
      <w:r w:rsidRPr="0053097D">
        <w:rPr>
          <w:rFonts w:eastAsia="Calibri" w:cs="Calibri"/>
          <w:iCs/>
          <w:color w:val="000000" w:themeColor="text1"/>
        </w:rPr>
        <w:t>I</w:t>
      </w:r>
      <w:r w:rsidR="70CF1E88" w:rsidRPr="0053097D">
        <w:rPr>
          <w:rFonts w:eastAsia="Calibri" w:cs="Calibri"/>
          <w:iCs/>
          <w:color w:val="000000" w:themeColor="text1"/>
        </w:rPr>
        <w:t>nclu</w:t>
      </w:r>
      <w:r w:rsidR="70CF1E88" w:rsidRPr="0053097D">
        <w:rPr>
          <w:rFonts w:eastAsia="Calibri" w:cs="Calibri"/>
          <w:color w:val="000000" w:themeColor="text1"/>
        </w:rPr>
        <w:t>de</w:t>
      </w:r>
      <w:r w:rsidR="00F13E43" w:rsidRPr="0053097D">
        <w:rPr>
          <w:rFonts w:eastAsia="Calibri" w:cs="Calibri"/>
          <w:color w:val="000000" w:themeColor="text1"/>
        </w:rPr>
        <w:t xml:space="preserve"> a new focus on engaging youth in South King County, where childhood vaccination rates are historically low and barriers to healthcare services historically high.</w:t>
      </w:r>
      <w:r w:rsidR="00F13E43" w:rsidRPr="351B1C68">
        <w:rPr>
          <w:rStyle w:val="FootnoteReference"/>
          <w:rFonts w:eastAsia="Calibri" w:cs="Calibri"/>
          <w:color w:val="000000" w:themeColor="text1"/>
        </w:rPr>
        <w:footnoteReference w:id="195"/>
      </w:r>
      <w:r w:rsidR="00F13E43" w:rsidRPr="0053097D">
        <w:rPr>
          <w:rFonts w:eastAsia="Calibri" w:cs="Calibri"/>
          <w:color w:val="000000" w:themeColor="text1"/>
        </w:rPr>
        <w:t xml:space="preserve"> </w:t>
      </w:r>
    </w:p>
    <w:p w14:paraId="09FB6BDC" w14:textId="3B330893" w:rsidR="00F13E43" w:rsidRPr="0053097D" w:rsidRDefault="00137EBF" w:rsidP="00025030">
      <w:pPr>
        <w:pStyle w:val="ListParagraph"/>
        <w:numPr>
          <w:ilvl w:val="0"/>
          <w:numId w:val="47"/>
        </w:numPr>
        <w:contextualSpacing w:val="0"/>
        <w:rPr>
          <w:rFonts w:eastAsia="Calibri" w:cs="Calibri"/>
          <w:color w:val="000000" w:themeColor="text1"/>
        </w:rPr>
      </w:pPr>
      <w:r w:rsidRPr="00137EBF">
        <w:rPr>
          <w:rFonts w:eastAsia="Calibri" w:cs="Calibri"/>
          <w:color w:val="000000" w:themeColor="text1"/>
        </w:rPr>
        <w:t>E</w:t>
      </w:r>
      <w:r w:rsidR="3F21DDD4" w:rsidRPr="00137EBF">
        <w:rPr>
          <w:rFonts w:eastAsia="Calibri" w:cs="Calibri"/>
          <w:color w:val="000000" w:themeColor="text1"/>
        </w:rPr>
        <w:t>ng</w:t>
      </w:r>
      <w:r w:rsidR="3F21DDD4" w:rsidRPr="0053097D">
        <w:rPr>
          <w:rFonts w:eastAsia="Calibri" w:cs="Calibri"/>
          <w:color w:val="000000" w:themeColor="text1"/>
        </w:rPr>
        <w:t>age youth</w:t>
      </w:r>
      <w:r w:rsidR="00F13E43" w:rsidRPr="0053097D">
        <w:rPr>
          <w:rFonts w:eastAsia="Calibri" w:cs="Calibri"/>
          <w:color w:val="000000" w:themeColor="text1"/>
        </w:rPr>
        <w:t xml:space="preserve"> in program design and development and build on </w:t>
      </w:r>
      <w:r w:rsidR="009109BD">
        <w:rPr>
          <w:rFonts w:eastAsia="Calibri" w:cs="Calibri"/>
          <w:color w:val="000000" w:themeColor="text1"/>
        </w:rPr>
        <w:t>th</w:t>
      </w:r>
      <w:r w:rsidR="00F13E43" w:rsidRPr="0053097D">
        <w:rPr>
          <w:rFonts w:eastAsia="Calibri" w:cs="Calibri"/>
          <w:color w:val="000000" w:themeColor="text1"/>
        </w:rPr>
        <w:t>e</w:t>
      </w:r>
      <w:r w:rsidR="009109BD" w:rsidRPr="009109BD">
        <w:t xml:space="preserve"> </w:t>
      </w:r>
      <w:r w:rsidR="009109BD">
        <w:t>Peer-to-Peer Youth Engagement and Education</w:t>
      </w:r>
      <w:r w:rsidR="00F13E43" w:rsidRPr="0053097D">
        <w:rPr>
          <w:rFonts w:eastAsia="Calibri" w:cs="Calibri"/>
          <w:color w:val="000000" w:themeColor="text1"/>
        </w:rPr>
        <w:t xml:space="preserve"> </w:t>
      </w:r>
      <w:r w:rsidR="00CE04C3">
        <w:rPr>
          <w:rFonts w:eastAsia="Calibri" w:cs="Calibri"/>
          <w:color w:val="000000" w:themeColor="text1"/>
        </w:rPr>
        <w:t xml:space="preserve">group </w:t>
      </w:r>
      <w:r w:rsidR="00F13E43" w:rsidRPr="0053097D">
        <w:rPr>
          <w:rFonts w:eastAsia="Calibri" w:cs="Calibri"/>
          <w:color w:val="000000" w:themeColor="text1"/>
        </w:rPr>
        <w:t>to raise awareness about, and improve confidence in, adolescent health issues and all vaccinations</w:t>
      </w:r>
      <w:r w:rsidR="006A39FA">
        <w:rPr>
          <w:rFonts w:eastAsia="Calibri" w:cs="Calibri"/>
          <w:color w:val="000000" w:themeColor="text1"/>
        </w:rPr>
        <w:t>.</w:t>
      </w:r>
    </w:p>
    <w:p w14:paraId="0D65920B" w14:textId="77777777" w:rsidR="00F13E43" w:rsidRDefault="00F13E43" w:rsidP="00F13E43">
      <w:pPr>
        <w:contextualSpacing/>
        <w:rPr>
          <w:rFonts w:eastAsia="Calibri" w:cs="Calibri"/>
          <w:color w:val="000000" w:themeColor="text1"/>
        </w:rPr>
      </w:pPr>
    </w:p>
    <w:p w14:paraId="045D95F7" w14:textId="720B7F5A" w:rsidR="7A3150B9" w:rsidRPr="009554B5" w:rsidRDefault="7A3150B9" w:rsidP="351B1C68">
      <w:pPr>
        <w:rPr>
          <w:rFonts w:eastAsia="Calibri" w:cs="Arial"/>
        </w:rPr>
      </w:pPr>
      <w:r w:rsidRPr="351B1C68">
        <w:rPr>
          <w:rFonts w:eastAsia="Calibri" w:cs="Calibri"/>
          <w:b/>
          <w:bCs/>
          <w:color w:val="000000" w:themeColor="text1"/>
        </w:rPr>
        <w:t xml:space="preserve">Approximate </w:t>
      </w:r>
      <w:r w:rsidR="00C755A8">
        <w:rPr>
          <w:rFonts w:eastAsia="Calibri" w:cs="Calibri"/>
          <w:b/>
          <w:bCs/>
          <w:color w:val="000000" w:themeColor="text1"/>
        </w:rPr>
        <w:t>Scope</w:t>
      </w:r>
      <w:r w:rsidRPr="351B1C68">
        <w:rPr>
          <w:rFonts w:eastAsia="Calibri" w:cs="Calibri"/>
          <w:b/>
          <w:bCs/>
          <w:color w:val="000000" w:themeColor="text1"/>
        </w:rPr>
        <w:t>:</w:t>
      </w:r>
      <w:r w:rsidR="00402FDC">
        <w:rPr>
          <w:rFonts w:eastAsia="Calibri" w:cs="Calibri"/>
          <w:b/>
          <w:bCs/>
          <w:color w:val="000000" w:themeColor="text1"/>
        </w:rPr>
        <w:t xml:space="preserve"> </w:t>
      </w:r>
      <w:r w:rsidR="00A82FAD" w:rsidRPr="00A82FAD">
        <w:rPr>
          <w:rFonts w:eastAsia="Calibri" w:cs="Arial"/>
          <w:i/>
          <w:iCs/>
        </w:rPr>
        <w:t>Best Starts</w:t>
      </w:r>
      <w:r w:rsidR="00402FDC" w:rsidRPr="009554B5">
        <w:rPr>
          <w:rFonts w:eastAsia="Calibri" w:cs="Arial"/>
        </w:rPr>
        <w:t xml:space="preserve"> anticipates serving several clinics</w:t>
      </w:r>
      <w:r w:rsidR="009554B5" w:rsidRPr="009554B5">
        <w:rPr>
          <w:rFonts w:eastAsia="Calibri" w:cs="Arial"/>
        </w:rPr>
        <w:t xml:space="preserve"> and reaching </w:t>
      </w:r>
      <w:r w:rsidR="00DF1367" w:rsidRPr="009554B5">
        <w:rPr>
          <w:rFonts w:eastAsia="Calibri" w:cs="Arial"/>
        </w:rPr>
        <w:t>approximately 20,000</w:t>
      </w:r>
      <w:r w:rsidR="009554B5" w:rsidRPr="009554B5">
        <w:rPr>
          <w:rFonts w:eastAsia="Calibri" w:cs="Arial"/>
        </w:rPr>
        <w:t xml:space="preserve"> </w:t>
      </w:r>
      <w:r w:rsidR="009554B5">
        <w:rPr>
          <w:rFonts w:eastAsia="Calibri" w:cs="Arial"/>
        </w:rPr>
        <w:t xml:space="preserve">youth </w:t>
      </w:r>
      <w:r w:rsidR="00402FDC" w:rsidRPr="009554B5">
        <w:rPr>
          <w:rFonts w:eastAsia="Calibri" w:cs="Arial"/>
        </w:rPr>
        <w:t>through quality improvement work</w:t>
      </w:r>
      <w:r w:rsidR="009554B5" w:rsidRPr="009554B5">
        <w:rPr>
          <w:rFonts w:eastAsia="Calibri" w:cs="Arial"/>
        </w:rPr>
        <w:t xml:space="preserve">. </w:t>
      </w:r>
    </w:p>
    <w:p w14:paraId="165894F0" w14:textId="77777777" w:rsidR="00C755A8" w:rsidRDefault="00C755A8" w:rsidP="351B1C68">
      <w:pPr>
        <w:rPr>
          <w:rFonts w:eastAsia="Calibri" w:cs="Calibri"/>
          <w:b/>
          <w:bCs/>
          <w:color w:val="000000" w:themeColor="text1"/>
        </w:rPr>
      </w:pPr>
    </w:p>
    <w:p w14:paraId="313442F4" w14:textId="1C790A4F" w:rsidR="7A3150B9" w:rsidRDefault="7A3150B9" w:rsidP="351B1C68">
      <w:pPr>
        <w:rPr>
          <w:rFonts w:eastAsia="Calibri" w:cs="Calibri"/>
          <w:b/>
          <w:color w:val="000000" w:themeColor="text1"/>
        </w:rPr>
      </w:pPr>
      <w:r w:rsidRPr="351B1C68">
        <w:rPr>
          <w:rFonts w:eastAsia="Calibri" w:cs="Calibri"/>
          <w:b/>
          <w:bCs/>
          <w:color w:val="000000" w:themeColor="text1"/>
        </w:rPr>
        <w:lastRenderedPageBreak/>
        <w:t>Anticipated Timeline:</w:t>
      </w:r>
      <w:r w:rsidR="009554B5">
        <w:rPr>
          <w:rFonts w:eastAsia="Calibri" w:cs="Calibri"/>
          <w:b/>
          <w:bCs/>
          <w:color w:val="000000" w:themeColor="text1"/>
        </w:rPr>
        <w:t xml:space="preserve"> </w:t>
      </w:r>
      <w:r w:rsidR="009554B5" w:rsidRPr="00523A66">
        <w:rPr>
          <w:rFonts w:eastAsia="Calibri" w:cs="Calibri"/>
          <w:color w:val="000000" w:themeColor="text1"/>
        </w:rPr>
        <w:t xml:space="preserve">Services </w:t>
      </w:r>
      <w:r w:rsidR="00A82FAD">
        <w:rPr>
          <w:rFonts w:eastAsia="Calibri" w:cs="Calibri"/>
          <w:color w:val="000000" w:themeColor="text1"/>
        </w:rPr>
        <w:t>will continue</w:t>
      </w:r>
      <w:r w:rsidR="004A120B">
        <w:rPr>
          <w:rFonts w:eastAsia="Calibri" w:cs="Calibri"/>
          <w:color w:val="000000" w:themeColor="text1"/>
        </w:rPr>
        <w:t xml:space="preserve"> without disruption</w:t>
      </w:r>
      <w:r w:rsidR="00523A66" w:rsidRPr="00523A66">
        <w:rPr>
          <w:rFonts w:eastAsia="Calibri" w:cs="Calibri"/>
          <w:color w:val="000000" w:themeColor="text1"/>
        </w:rPr>
        <w:t>.</w:t>
      </w:r>
      <w:r w:rsidR="00523A66">
        <w:rPr>
          <w:rFonts w:eastAsia="Calibri" w:cs="Calibri"/>
          <w:b/>
          <w:bCs/>
          <w:color w:val="000000" w:themeColor="text1"/>
        </w:rPr>
        <w:t xml:space="preserve"> </w:t>
      </w:r>
    </w:p>
    <w:p w14:paraId="6CCDAC64" w14:textId="77777777" w:rsidR="004E2797" w:rsidRDefault="004E2797" w:rsidP="351B1C68">
      <w:pPr>
        <w:rPr>
          <w:rFonts w:eastAsia="Calibri" w:cs="Arial"/>
          <w:b/>
          <w:bCs/>
          <w:color w:val="000000" w:themeColor="text1"/>
        </w:rPr>
      </w:pPr>
    </w:p>
    <w:p w14:paraId="01E3B5D0" w14:textId="73AC67CA" w:rsidR="00F13E43" w:rsidRDefault="00233128" w:rsidP="00025030">
      <w:pPr>
        <w:pStyle w:val="Heading2"/>
        <w:numPr>
          <w:ilvl w:val="0"/>
          <w:numId w:val="26"/>
        </w:numPr>
      </w:pPr>
      <w:bookmarkStart w:id="80" w:name="_Youth_and_Family"/>
      <w:bookmarkStart w:id="81" w:name="_Toc85188548"/>
      <w:bookmarkEnd w:id="80"/>
      <w:r>
        <w:t>Youth and Family Homelessness Prevention (YFHPI)</w:t>
      </w:r>
      <w:bookmarkEnd w:id="81"/>
    </w:p>
    <w:tbl>
      <w:tblPr>
        <w:tblStyle w:val="TableGrid"/>
        <w:tblpPr w:leftFromText="180" w:rightFromText="180" w:vertAnchor="text" w:horzAnchor="margin" w:tblpY="191"/>
        <w:tblW w:w="9420" w:type="dxa"/>
        <w:tblLook w:val="04A0" w:firstRow="1" w:lastRow="0" w:firstColumn="1" w:lastColumn="0" w:noHBand="0" w:noVBand="1"/>
      </w:tblPr>
      <w:tblGrid>
        <w:gridCol w:w="9420"/>
      </w:tblGrid>
      <w:tr w:rsidR="00A161A8" w:rsidRPr="00D03F1F" w14:paraId="2ADC51BD" w14:textId="77777777" w:rsidTr="007C7424">
        <w:trPr>
          <w:trHeight w:val="385"/>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571D3EE" w14:textId="2004CB3E" w:rsidR="00A161A8" w:rsidRPr="00D03F1F" w:rsidRDefault="00A161A8" w:rsidP="008C4122">
            <w:pPr>
              <w:contextualSpacing/>
              <w:rPr>
                <w:rFonts w:cs="Calibri"/>
              </w:rPr>
            </w:pPr>
            <w:r w:rsidRPr="00B635FA">
              <w:rPr>
                <w:rFonts w:eastAsia="Calibri" w:cs="Calibri"/>
                <w:b/>
                <w:color w:val="000000" w:themeColor="text1"/>
                <w:sz w:val="28"/>
                <w:szCs w:val="28"/>
              </w:rPr>
              <w:t>Youth and Family Homelessness Prevention Initiative</w:t>
            </w:r>
          </w:p>
        </w:tc>
      </w:tr>
    </w:tbl>
    <w:tbl>
      <w:tblPr>
        <w:tblW w:w="9450" w:type="dxa"/>
        <w:tblLook w:val="04A0" w:firstRow="1" w:lastRow="0" w:firstColumn="1" w:lastColumn="0" w:noHBand="0" w:noVBand="1"/>
      </w:tblPr>
      <w:tblGrid>
        <w:gridCol w:w="968"/>
        <w:gridCol w:w="1186"/>
        <w:gridCol w:w="1186"/>
        <w:gridCol w:w="1186"/>
        <w:gridCol w:w="1186"/>
        <w:gridCol w:w="1186"/>
        <w:gridCol w:w="1186"/>
        <w:gridCol w:w="1366"/>
      </w:tblGrid>
      <w:tr w:rsidR="00BB1A2A" w:rsidRPr="00BB1A2A" w14:paraId="4C2974F0" w14:textId="77777777" w:rsidTr="00B0327E">
        <w:trPr>
          <w:trHeight w:val="302"/>
        </w:trPr>
        <w:tc>
          <w:tcPr>
            <w:tcW w:w="9450" w:type="dxa"/>
            <w:gridSpan w:val="8"/>
            <w:tcBorders>
              <w:top w:val="nil"/>
              <w:left w:val="nil"/>
              <w:bottom w:val="single" w:sz="12" w:space="0" w:color="FFD966"/>
              <w:right w:val="nil"/>
            </w:tcBorders>
            <w:shd w:val="clear" w:color="auto" w:fill="auto"/>
            <w:noWrap/>
            <w:vAlign w:val="bottom"/>
            <w:hideMark/>
          </w:tcPr>
          <w:p w14:paraId="6CFB7198" w14:textId="77777777" w:rsidR="00B0327E" w:rsidRDefault="00B0327E" w:rsidP="00BB1A2A">
            <w:pPr>
              <w:spacing w:line="240" w:lineRule="auto"/>
              <w:rPr>
                <w:rFonts w:eastAsia="Times New Roman" w:cs="Calibri"/>
                <w:b/>
                <w:bCs/>
                <w:i/>
                <w:iCs/>
                <w:color w:val="000000"/>
              </w:rPr>
            </w:pPr>
          </w:p>
          <w:p w14:paraId="2D846BD4" w14:textId="01CBD1B9" w:rsidR="00BB1A2A" w:rsidRPr="00BB1A2A" w:rsidRDefault="00BB1A2A" w:rsidP="00BB1A2A">
            <w:pPr>
              <w:spacing w:line="240" w:lineRule="auto"/>
              <w:rPr>
                <w:rFonts w:eastAsia="Times New Roman" w:cs="Calibri"/>
                <w:b/>
                <w:bCs/>
                <w:i/>
                <w:iCs/>
                <w:color w:val="000000"/>
              </w:rPr>
            </w:pPr>
            <w:r w:rsidRPr="00BB1A2A">
              <w:rPr>
                <w:rFonts w:eastAsia="Times New Roman" w:cs="Calibri"/>
                <w:b/>
                <w:bCs/>
                <w:i/>
                <w:iCs/>
                <w:color w:val="000000"/>
              </w:rPr>
              <w:t>Funding Estimate:</w:t>
            </w:r>
          </w:p>
        </w:tc>
      </w:tr>
      <w:tr w:rsidR="00BB1A2A" w:rsidRPr="00BB1A2A" w14:paraId="5BC14458" w14:textId="77777777" w:rsidTr="00B0327E">
        <w:trPr>
          <w:trHeight w:val="402"/>
        </w:trPr>
        <w:tc>
          <w:tcPr>
            <w:tcW w:w="968" w:type="dxa"/>
            <w:tcBorders>
              <w:top w:val="nil"/>
              <w:left w:val="single" w:sz="12" w:space="0" w:color="FFD966"/>
              <w:bottom w:val="single" w:sz="8" w:space="0" w:color="FFD966"/>
              <w:right w:val="single" w:sz="8" w:space="0" w:color="FFD966"/>
            </w:tcBorders>
            <w:shd w:val="clear" w:color="000000" w:fill="D9E1F2"/>
            <w:noWrap/>
            <w:vAlign w:val="center"/>
            <w:hideMark/>
          </w:tcPr>
          <w:p w14:paraId="6D77FB9E" w14:textId="77777777" w:rsidR="00BB1A2A" w:rsidRPr="00BB1A2A" w:rsidRDefault="00BB1A2A" w:rsidP="00BB1A2A">
            <w:pPr>
              <w:spacing w:line="240" w:lineRule="auto"/>
              <w:rPr>
                <w:rFonts w:eastAsia="Times New Roman" w:cs="Calibri"/>
                <w:b/>
                <w:bCs/>
                <w:i/>
                <w:iCs/>
              </w:rPr>
            </w:pPr>
            <w:r w:rsidRPr="00BB1A2A">
              <w:rPr>
                <w:rFonts w:eastAsia="Times New Roman" w:cs="Calibri"/>
                <w:b/>
                <w:bCs/>
                <w:i/>
                <w:iCs/>
              </w:rPr>
              <w:t>Year</w:t>
            </w:r>
          </w:p>
        </w:tc>
        <w:tc>
          <w:tcPr>
            <w:tcW w:w="1186" w:type="dxa"/>
            <w:tcBorders>
              <w:top w:val="nil"/>
              <w:left w:val="nil"/>
              <w:bottom w:val="single" w:sz="8" w:space="0" w:color="FFD966"/>
              <w:right w:val="single" w:sz="8" w:space="0" w:color="FFD966"/>
            </w:tcBorders>
            <w:shd w:val="clear" w:color="000000" w:fill="D9E1F2"/>
            <w:noWrap/>
            <w:vAlign w:val="center"/>
            <w:hideMark/>
          </w:tcPr>
          <w:p w14:paraId="2EFCD3D6" w14:textId="77777777" w:rsidR="00BB1A2A" w:rsidRPr="00BB1A2A" w:rsidRDefault="00BB1A2A" w:rsidP="00BB1A2A">
            <w:pPr>
              <w:spacing w:line="240" w:lineRule="auto"/>
              <w:jc w:val="right"/>
              <w:rPr>
                <w:rFonts w:eastAsia="Times New Roman" w:cs="Calibri"/>
              </w:rPr>
            </w:pPr>
            <w:r w:rsidRPr="00BB1A2A">
              <w:rPr>
                <w:rFonts w:eastAsia="Times New Roman" w:cs="Calibri"/>
              </w:rPr>
              <w:t>2022</w:t>
            </w:r>
          </w:p>
        </w:tc>
        <w:tc>
          <w:tcPr>
            <w:tcW w:w="1186" w:type="dxa"/>
            <w:tcBorders>
              <w:top w:val="nil"/>
              <w:left w:val="nil"/>
              <w:bottom w:val="single" w:sz="8" w:space="0" w:color="FFD966"/>
              <w:right w:val="single" w:sz="8" w:space="0" w:color="FFD966"/>
            </w:tcBorders>
            <w:shd w:val="clear" w:color="000000" w:fill="D9E1F2"/>
            <w:noWrap/>
            <w:vAlign w:val="center"/>
            <w:hideMark/>
          </w:tcPr>
          <w:p w14:paraId="345780E6" w14:textId="77777777" w:rsidR="00BB1A2A" w:rsidRPr="00BB1A2A" w:rsidRDefault="00BB1A2A" w:rsidP="00BB1A2A">
            <w:pPr>
              <w:spacing w:line="240" w:lineRule="auto"/>
              <w:jc w:val="right"/>
              <w:rPr>
                <w:rFonts w:eastAsia="Times New Roman" w:cs="Calibri"/>
              </w:rPr>
            </w:pPr>
            <w:r w:rsidRPr="00BB1A2A">
              <w:rPr>
                <w:rFonts w:eastAsia="Times New Roman" w:cs="Calibri"/>
              </w:rPr>
              <w:t>2023</w:t>
            </w:r>
          </w:p>
        </w:tc>
        <w:tc>
          <w:tcPr>
            <w:tcW w:w="1186" w:type="dxa"/>
            <w:tcBorders>
              <w:top w:val="nil"/>
              <w:left w:val="nil"/>
              <w:bottom w:val="single" w:sz="8" w:space="0" w:color="FFD966"/>
              <w:right w:val="single" w:sz="8" w:space="0" w:color="FFD966"/>
            </w:tcBorders>
            <w:shd w:val="clear" w:color="000000" w:fill="D9E1F2"/>
            <w:noWrap/>
            <w:vAlign w:val="center"/>
            <w:hideMark/>
          </w:tcPr>
          <w:p w14:paraId="1BF8CE53" w14:textId="77777777" w:rsidR="00BB1A2A" w:rsidRPr="00BB1A2A" w:rsidRDefault="00BB1A2A" w:rsidP="00BB1A2A">
            <w:pPr>
              <w:spacing w:line="240" w:lineRule="auto"/>
              <w:jc w:val="right"/>
              <w:rPr>
                <w:rFonts w:eastAsia="Times New Roman" w:cs="Calibri"/>
              </w:rPr>
            </w:pPr>
            <w:r w:rsidRPr="00BB1A2A">
              <w:rPr>
                <w:rFonts w:eastAsia="Times New Roman" w:cs="Calibri"/>
              </w:rPr>
              <w:t>2024</w:t>
            </w:r>
          </w:p>
        </w:tc>
        <w:tc>
          <w:tcPr>
            <w:tcW w:w="1186" w:type="dxa"/>
            <w:tcBorders>
              <w:top w:val="nil"/>
              <w:left w:val="nil"/>
              <w:bottom w:val="single" w:sz="8" w:space="0" w:color="FFD966"/>
              <w:right w:val="single" w:sz="8" w:space="0" w:color="FFD966"/>
            </w:tcBorders>
            <w:shd w:val="clear" w:color="000000" w:fill="D9E1F2"/>
            <w:noWrap/>
            <w:vAlign w:val="center"/>
            <w:hideMark/>
          </w:tcPr>
          <w:p w14:paraId="331006AB" w14:textId="77777777" w:rsidR="00BB1A2A" w:rsidRPr="00BB1A2A" w:rsidRDefault="00BB1A2A" w:rsidP="00BB1A2A">
            <w:pPr>
              <w:spacing w:line="240" w:lineRule="auto"/>
              <w:jc w:val="right"/>
              <w:rPr>
                <w:rFonts w:eastAsia="Times New Roman" w:cs="Calibri"/>
              </w:rPr>
            </w:pPr>
            <w:r w:rsidRPr="00BB1A2A">
              <w:rPr>
                <w:rFonts w:eastAsia="Times New Roman" w:cs="Calibri"/>
              </w:rPr>
              <w:t>2025</w:t>
            </w:r>
          </w:p>
        </w:tc>
        <w:tc>
          <w:tcPr>
            <w:tcW w:w="1186" w:type="dxa"/>
            <w:tcBorders>
              <w:top w:val="nil"/>
              <w:left w:val="nil"/>
              <w:bottom w:val="single" w:sz="8" w:space="0" w:color="FFD966"/>
              <w:right w:val="single" w:sz="8" w:space="0" w:color="FFD966"/>
            </w:tcBorders>
            <w:shd w:val="clear" w:color="000000" w:fill="D9E1F2"/>
            <w:noWrap/>
            <w:vAlign w:val="center"/>
            <w:hideMark/>
          </w:tcPr>
          <w:p w14:paraId="08DC90A9" w14:textId="77777777" w:rsidR="00BB1A2A" w:rsidRPr="00BB1A2A" w:rsidRDefault="00BB1A2A" w:rsidP="00BB1A2A">
            <w:pPr>
              <w:spacing w:line="240" w:lineRule="auto"/>
              <w:jc w:val="right"/>
              <w:rPr>
                <w:rFonts w:eastAsia="Times New Roman" w:cs="Calibri"/>
              </w:rPr>
            </w:pPr>
            <w:r w:rsidRPr="00BB1A2A">
              <w:rPr>
                <w:rFonts w:eastAsia="Times New Roman" w:cs="Calibri"/>
              </w:rPr>
              <w:t>2026</w:t>
            </w:r>
          </w:p>
        </w:tc>
        <w:tc>
          <w:tcPr>
            <w:tcW w:w="1186" w:type="dxa"/>
            <w:tcBorders>
              <w:top w:val="nil"/>
              <w:left w:val="nil"/>
              <w:bottom w:val="single" w:sz="8" w:space="0" w:color="FFD966"/>
              <w:right w:val="single" w:sz="8" w:space="0" w:color="FFD966"/>
            </w:tcBorders>
            <w:shd w:val="clear" w:color="000000" w:fill="D9E1F2"/>
            <w:noWrap/>
            <w:vAlign w:val="center"/>
            <w:hideMark/>
          </w:tcPr>
          <w:p w14:paraId="10A66243" w14:textId="77777777" w:rsidR="00BB1A2A" w:rsidRPr="00BB1A2A" w:rsidRDefault="00BB1A2A" w:rsidP="00BB1A2A">
            <w:pPr>
              <w:spacing w:line="240" w:lineRule="auto"/>
              <w:jc w:val="right"/>
              <w:rPr>
                <w:rFonts w:eastAsia="Times New Roman" w:cs="Calibri"/>
              </w:rPr>
            </w:pPr>
            <w:r w:rsidRPr="00BB1A2A">
              <w:rPr>
                <w:rFonts w:eastAsia="Times New Roman" w:cs="Calibri"/>
              </w:rPr>
              <w:t>2027</w:t>
            </w:r>
          </w:p>
        </w:tc>
        <w:tc>
          <w:tcPr>
            <w:tcW w:w="1366" w:type="dxa"/>
            <w:tcBorders>
              <w:top w:val="nil"/>
              <w:left w:val="nil"/>
              <w:bottom w:val="single" w:sz="8" w:space="0" w:color="FFD966"/>
              <w:right w:val="single" w:sz="12" w:space="0" w:color="FFD966"/>
            </w:tcBorders>
            <w:shd w:val="clear" w:color="000000" w:fill="D9E1F2"/>
            <w:noWrap/>
            <w:vAlign w:val="center"/>
            <w:hideMark/>
          </w:tcPr>
          <w:p w14:paraId="5A146706" w14:textId="77777777" w:rsidR="00BB1A2A" w:rsidRPr="00BB1A2A" w:rsidRDefault="00BB1A2A" w:rsidP="00BB1A2A">
            <w:pPr>
              <w:spacing w:line="240" w:lineRule="auto"/>
              <w:jc w:val="right"/>
              <w:rPr>
                <w:rFonts w:eastAsia="Times New Roman" w:cs="Calibri"/>
                <w:b/>
                <w:bCs/>
                <w:i/>
                <w:iCs/>
              </w:rPr>
            </w:pPr>
            <w:r w:rsidRPr="00BB1A2A">
              <w:rPr>
                <w:rFonts w:eastAsia="Times New Roman" w:cs="Calibri"/>
                <w:b/>
                <w:bCs/>
                <w:i/>
                <w:iCs/>
              </w:rPr>
              <w:t>Total</w:t>
            </w:r>
          </w:p>
        </w:tc>
      </w:tr>
      <w:tr w:rsidR="00BB1A2A" w:rsidRPr="00BB1A2A" w14:paraId="3F2C068C" w14:textId="77777777" w:rsidTr="00B0327E">
        <w:trPr>
          <w:trHeight w:val="402"/>
        </w:trPr>
        <w:tc>
          <w:tcPr>
            <w:tcW w:w="968" w:type="dxa"/>
            <w:tcBorders>
              <w:top w:val="nil"/>
              <w:left w:val="single" w:sz="12" w:space="0" w:color="FFD966"/>
              <w:bottom w:val="single" w:sz="12" w:space="0" w:color="FFD966"/>
              <w:right w:val="single" w:sz="8" w:space="0" w:color="FFD966"/>
            </w:tcBorders>
            <w:shd w:val="clear" w:color="auto" w:fill="auto"/>
            <w:noWrap/>
            <w:vAlign w:val="center"/>
            <w:hideMark/>
          </w:tcPr>
          <w:p w14:paraId="2067C4C7" w14:textId="77777777" w:rsidR="00BB1A2A" w:rsidRPr="00BB1A2A" w:rsidRDefault="00BB1A2A" w:rsidP="00BB1A2A">
            <w:pPr>
              <w:spacing w:line="240" w:lineRule="auto"/>
              <w:rPr>
                <w:rFonts w:eastAsia="Times New Roman" w:cs="Calibri"/>
                <w:b/>
                <w:bCs/>
                <w:i/>
                <w:iCs/>
                <w:color w:val="000000"/>
              </w:rPr>
            </w:pPr>
            <w:r w:rsidRPr="00BB1A2A">
              <w:rPr>
                <w:rFonts w:eastAsia="Times New Roman" w:cs="Calibri"/>
                <w:b/>
                <w:bCs/>
                <w:i/>
                <w:iCs/>
                <w:color w:val="000000"/>
              </w:rPr>
              <w:t>Amount</w:t>
            </w:r>
          </w:p>
        </w:tc>
        <w:tc>
          <w:tcPr>
            <w:tcW w:w="1186" w:type="dxa"/>
            <w:tcBorders>
              <w:top w:val="nil"/>
              <w:left w:val="nil"/>
              <w:bottom w:val="single" w:sz="12" w:space="0" w:color="FFD966"/>
              <w:right w:val="single" w:sz="8" w:space="0" w:color="FFD966"/>
            </w:tcBorders>
            <w:shd w:val="clear" w:color="auto" w:fill="auto"/>
            <w:noWrap/>
            <w:vAlign w:val="center"/>
            <w:hideMark/>
          </w:tcPr>
          <w:p w14:paraId="47F4D3D8"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$4,564,000 </w:t>
            </w:r>
          </w:p>
        </w:tc>
        <w:tc>
          <w:tcPr>
            <w:tcW w:w="1186" w:type="dxa"/>
            <w:tcBorders>
              <w:top w:val="nil"/>
              <w:left w:val="nil"/>
              <w:bottom w:val="single" w:sz="12" w:space="0" w:color="FFD966"/>
              <w:right w:val="single" w:sz="8" w:space="0" w:color="FFD966"/>
            </w:tcBorders>
            <w:shd w:val="clear" w:color="auto" w:fill="auto"/>
            <w:noWrap/>
            <w:vAlign w:val="center"/>
            <w:hideMark/>
          </w:tcPr>
          <w:p w14:paraId="166FDF3C"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$4,834,000 </w:t>
            </w:r>
          </w:p>
        </w:tc>
        <w:tc>
          <w:tcPr>
            <w:tcW w:w="1186" w:type="dxa"/>
            <w:tcBorders>
              <w:top w:val="nil"/>
              <w:left w:val="nil"/>
              <w:bottom w:val="single" w:sz="12" w:space="0" w:color="FFD966"/>
              <w:right w:val="single" w:sz="8" w:space="0" w:color="FFD966"/>
            </w:tcBorders>
            <w:shd w:val="clear" w:color="auto" w:fill="auto"/>
            <w:noWrap/>
            <w:vAlign w:val="center"/>
            <w:hideMark/>
          </w:tcPr>
          <w:p w14:paraId="5CD3CB80"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$4,944,000 </w:t>
            </w:r>
          </w:p>
        </w:tc>
        <w:tc>
          <w:tcPr>
            <w:tcW w:w="1186" w:type="dxa"/>
            <w:tcBorders>
              <w:top w:val="nil"/>
              <w:left w:val="nil"/>
              <w:bottom w:val="single" w:sz="12" w:space="0" w:color="FFD966"/>
              <w:right w:val="single" w:sz="8" w:space="0" w:color="FFD966"/>
            </w:tcBorders>
            <w:shd w:val="clear" w:color="auto" w:fill="auto"/>
            <w:noWrap/>
            <w:vAlign w:val="center"/>
            <w:hideMark/>
          </w:tcPr>
          <w:p w14:paraId="4432CB03"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$4,959,000 </w:t>
            </w:r>
          </w:p>
        </w:tc>
        <w:tc>
          <w:tcPr>
            <w:tcW w:w="1186" w:type="dxa"/>
            <w:tcBorders>
              <w:top w:val="nil"/>
              <w:left w:val="nil"/>
              <w:bottom w:val="single" w:sz="12" w:space="0" w:color="FFD966"/>
              <w:right w:val="single" w:sz="8" w:space="0" w:color="FFD966"/>
            </w:tcBorders>
            <w:shd w:val="clear" w:color="auto" w:fill="auto"/>
            <w:noWrap/>
            <w:vAlign w:val="center"/>
            <w:hideMark/>
          </w:tcPr>
          <w:p w14:paraId="6BA2FFF0"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$4,964,000 </w:t>
            </w:r>
          </w:p>
        </w:tc>
        <w:tc>
          <w:tcPr>
            <w:tcW w:w="1186" w:type="dxa"/>
            <w:tcBorders>
              <w:top w:val="nil"/>
              <w:left w:val="nil"/>
              <w:bottom w:val="single" w:sz="12" w:space="0" w:color="FFD966"/>
              <w:right w:val="single" w:sz="8" w:space="0" w:color="FFD966"/>
            </w:tcBorders>
            <w:shd w:val="clear" w:color="auto" w:fill="auto"/>
            <w:noWrap/>
            <w:vAlign w:val="center"/>
            <w:hideMark/>
          </w:tcPr>
          <w:p w14:paraId="67418FD3"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$4,974,000 </w:t>
            </w:r>
          </w:p>
        </w:tc>
        <w:tc>
          <w:tcPr>
            <w:tcW w:w="1366" w:type="dxa"/>
            <w:tcBorders>
              <w:top w:val="nil"/>
              <w:left w:val="nil"/>
              <w:bottom w:val="single" w:sz="12" w:space="0" w:color="FFD966"/>
              <w:right w:val="single" w:sz="12" w:space="0" w:color="FFD966"/>
            </w:tcBorders>
            <w:shd w:val="clear" w:color="auto" w:fill="auto"/>
            <w:noWrap/>
            <w:vAlign w:val="center"/>
            <w:hideMark/>
          </w:tcPr>
          <w:p w14:paraId="59377262" w14:textId="77777777" w:rsidR="00BB1A2A" w:rsidRPr="00BB1A2A" w:rsidRDefault="00BB1A2A" w:rsidP="00BB1A2A">
            <w:pPr>
              <w:spacing w:line="240" w:lineRule="auto"/>
              <w:jc w:val="right"/>
              <w:rPr>
                <w:rFonts w:eastAsia="Times New Roman" w:cs="Calibri"/>
                <w:b/>
                <w:bCs/>
                <w:color w:val="000000"/>
              </w:rPr>
            </w:pPr>
            <w:r w:rsidRPr="00BB1A2A">
              <w:rPr>
                <w:rFonts w:eastAsia="Times New Roman" w:cs="Calibri"/>
                <w:b/>
                <w:bCs/>
                <w:color w:val="000000"/>
              </w:rPr>
              <w:t xml:space="preserve">$29,241,000 </w:t>
            </w:r>
          </w:p>
        </w:tc>
      </w:tr>
    </w:tbl>
    <w:p w14:paraId="09513C9E" w14:textId="77777777" w:rsidR="00215C1C" w:rsidRPr="00215C1C" w:rsidRDefault="00215C1C" w:rsidP="00215C1C">
      <w:pPr>
        <w:contextualSpacing/>
        <w:rPr>
          <w:rFonts w:eastAsia="Calibri" w:cs="Calibri"/>
          <w:b/>
          <w:bCs/>
          <w:color w:val="000000" w:themeColor="text1"/>
        </w:rPr>
      </w:pPr>
    </w:p>
    <w:p w14:paraId="53901A5A" w14:textId="7E26EC2A" w:rsidR="00DF0B3D" w:rsidRPr="00D03F1F" w:rsidRDefault="00DF0B3D" w:rsidP="00DF0B3D">
      <w:pPr>
        <w:contextualSpacing/>
        <w:rPr>
          <w:rFonts w:eastAsia="Calibri" w:cs="Calibri"/>
          <w:color w:val="000000" w:themeColor="text1"/>
        </w:rPr>
      </w:pPr>
      <w:r w:rsidRPr="00D03F1F">
        <w:rPr>
          <w:rFonts w:eastAsia="Calibri" w:cs="Calibri"/>
          <w:b/>
          <w:color w:val="000000" w:themeColor="text1"/>
        </w:rPr>
        <w:t>Description</w:t>
      </w:r>
      <w:r w:rsidR="007B4892">
        <w:rPr>
          <w:rFonts w:eastAsia="Calibri" w:cs="Calibri"/>
          <w:b/>
          <w:color w:val="000000" w:themeColor="text1"/>
        </w:rPr>
        <w:t>:</w:t>
      </w:r>
    </w:p>
    <w:p w14:paraId="4D94F496" w14:textId="4A0D44AD" w:rsidR="00A70E23" w:rsidRDefault="006720E7" w:rsidP="00DF0B3D">
      <w:pPr>
        <w:contextualSpacing/>
        <w:rPr>
          <w:rFonts w:eastAsia="Calibri" w:cs="Calibri"/>
          <w:color w:val="000000" w:themeColor="text1"/>
        </w:rPr>
      </w:pPr>
      <w:r w:rsidRPr="006720E7">
        <w:rPr>
          <w:rFonts w:eastAsia="Calibri" w:cs="Calibri"/>
          <w:color w:val="000000" w:themeColor="text1"/>
        </w:rPr>
        <w:t>For low-income parents in King County, the</w:t>
      </w:r>
      <w:r w:rsidR="00C61C50">
        <w:rPr>
          <w:rFonts w:eastAsia="Calibri" w:cs="Calibri"/>
          <w:color w:val="000000" w:themeColor="text1"/>
        </w:rPr>
        <w:t>re are many</w:t>
      </w:r>
      <w:r w:rsidRPr="006720E7">
        <w:rPr>
          <w:rFonts w:eastAsia="Calibri" w:cs="Calibri"/>
          <w:color w:val="000000" w:themeColor="text1"/>
        </w:rPr>
        <w:t xml:space="preserve"> challenges </w:t>
      </w:r>
      <w:r w:rsidR="00C61C50">
        <w:rPr>
          <w:rFonts w:eastAsia="Calibri" w:cs="Calibri"/>
          <w:color w:val="000000" w:themeColor="text1"/>
        </w:rPr>
        <w:t>to</w:t>
      </w:r>
      <w:r w:rsidRPr="006720E7">
        <w:rPr>
          <w:rFonts w:eastAsia="Calibri" w:cs="Calibri"/>
          <w:color w:val="000000" w:themeColor="text1"/>
        </w:rPr>
        <w:t xml:space="preserve"> maintaining a home and providing the basic necessities for growing ki</w:t>
      </w:r>
      <w:r>
        <w:rPr>
          <w:rFonts w:eastAsia="Calibri" w:cs="Calibri"/>
          <w:color w:val="000000" w:themeColor="text1"/>
        </w:rPr>
        <w:t>ds</w:t>
      </w:r>
      <w:r w:rsidRPr="006720E7">
        <w:rPr>
          <w:rFonts w:eastAsia="Calibri" w:cs="Calibri"/>
          <w:color w:val="000000" w:themeColor="text1"/>
        </w:rPr>
        <w:t>. King County is the most expensive county in Washington Stat</w:t>
      </w:r>
      <w:r>
        <w:rPr>
          <w:rFonts w:eastAsia="Calibri" w:cs="Calibri"/>
          <w:color w:val="000000" w:themeColor="text1"/>
        </w:rPr>
        <w:t xml:space="preserve">e </w:t>
      </w:r>
      <w:r w:rsidR="00071D2C">
        <w:rPr>
          <w:rFonts w:eastAsia="Calibri" w:cs="Calibri"/>
          <w:color w:val="000000" w:themeColor="text1"/>
        </w:rPr>
        <w:t>with</w:t>
      </w:r>
      <w:r>
        <w:rPr>
          <w:rFonts w:eastAsia="Calibri" w:cs="Calibri"/>
          <w:color w:val="000000" w:themeColor="text1"/>
        </w:rPr>
        <w:t xml:space="preserve"> t</w:t>
      </w:r>
      <w:r w:rsidRPr="006720E7">
        <w:rPr>
          <w:rFonts w:eastAsia="Calibri" w:cs="Calibri"/>
          <w:color w:val="000000" w:themeColor="text1"/>
        </w:rPr>
        <w:t xml:space="preserve">he median rental price for a home </w:t>
      </w:r>
      <w:r w:rsidR="00071D2C">
        <w:rPr>
          <w:rFonts w:eastAsia="Calibri" w:cs="Calibri"/>
          <w:color w:val="000000" w:themeColor="text1"/>
        </w:rPr>
        <w:t>at</w:t>
      </w:r>
      <w:r w:rsidRPr="006720E7">
        <w:rPr>
          <w:rFonts w:eastAsia="Calibri" w:cs="Calibri"/>
          <w:color w:val="000000" w:themeColor="text1"/>
        </w:rPr>
        <w:t xml:space="preserve"> $2,500 per month. </w:t>
      </w:r>
      <w:r w:rsidR="00780D4C">
        <w:rPr>
          <w:rFonts w:eastAsia="Calibri" w:cs="Calibri"/>
          <w:color w:val="000000" w:themeColor="text1"/>
        </w:rPr>
        <w:t>With the added</w:t>
      </w:r>
      <w:r w:rsidRPr="006720E7">
        <w:rPr>
          <w:rFonts w:eastAsia="Calibri" w:cs="Calibri"/>
          <w:color w:val="000000" w:themeColor="text1"/>
        </w:rPr>
        <w:t xml:space="preserve"> costs of food, utilities, childcare, transportation, and schooling, the bills of low-income families quickly become </w:t>
      </w:r>
      <w:r w:rsidR="00CF15E9">
        <w:rPr>
          <w:rFonts w:eastAsia="Calibri" w:cs="Calibri"/>
          <w:color w:val="000000" w:themeColor="text1"/>
        </w:rPr>
        <w:t>overwhelming</w:t>
      </w:r>
      <w:r w:rsidRPr="006720E7">
        <w:rPr>
          <w:rFonts w:eastAsia="Calibri" w:cs="Calibri"/>
          <w:color w:val="000000" w:themeColor="text1"/>
        </w:rPr>
        <w:t>.</w:t>
      </w:r>
      <w:r w:rsidR="000E394F">
        <w:rPr>
          <w:rStyle w:val="FootnoteReference"/>
          <w:rFonts w:eastAsia="Calibri" w:cs="Calibri"/>
          <w:color w:val="000000" w:themeColor="text1"/>
        </w:rPr>
        <w:footnoteReference w:id="196"/>
      </w:r>
    </w:p>
    <w:p w14:paraId="71788C06" w14:textId="16AAB3B8" w:rsidR="00461145" w:rsidRDefault="00461145" w:rsidP="00DF0B3D">
      <w:pPr>
        <w:contextualSpacing/>
        <w:rPr>
          <w:rFonts w:eastAsia="Calibri" w:cs="Calibri"/>
          <w:color w:val="000000" w:themeColor="text1"/>
        </w:rPr>
      </w:pPr>
    </w:p>
    <w:p w14:paraId="5A4FD07A" w14:textId="754AF419" w:rsidR="00DF0B3D" w:rsidRPr="00D03F1F" w:rsidRDefault="00071D2C" w:rsidP="00DF0B3D">
      <w:pPr>
        <w:contextualSpacing/>
        <w:rPr>
          <w:rFonts w:eastAsia="Calibri" w:cs="Calibri"/>
          <w:color w:val="000000" w:themeColor="text1"/>
        </w:rPr>
      </w:pPr>
      <w:r>
        <w:rPr>
          <w:rFonts w:eastAsia="Calibri" w:cs="Calibri"/>
          <w:color w:val="000000" w:themeColor="text1"/>
        </w:rPr>
        <w:t xml:space="preserve">The </w:t>
      </w:r>
      <w:r w:rsidR="00DF0B3D" w:rsidRPr="00D03F1F">
        <w:rPr>
          <w:rFonts w:eastAsia="Calibri" w:cs="Calibri"/>
          <w:color w:val="000000" w:themeColor="text1"/>
        </w:rPr>
        <w:t xml:space="preserve">Youth and Family Homelessness Prevention Initiative (YFHPI) prevents youth and families </w:t>
      </w:r>
      <w:r w:rsidR="00157C7D">
        <w:rPr>
          <w:rFonts w:eastAsia="Calibri" w:cs="Calibri"/>
          <w:color w:val="000000" w:themeColor="text1"/>
        </w:rPr>
        <w:t>with children</w:t>
      </w:r>
      <w:r w:rsidR="00DF0B3D" w:rsidRPr="00D03F1F">
        <w:rPr>
          <w:rFonts w:eastAsia="Calibri" w:cs="Calibri"/>
          <w:color w:val="000000" w:themeColor="text1"/>
        </w:rPr>
        <w:t xml:space="preserve"> from becoming homeless by intervening quickly with landlords and housing providers to </w:t>
      </w:r>
      <w:r w:rsidR="009D465F">
        <w:rPr>
          <w:rFonts w:eastAsia="Calibri" w:cs="Calibri"/>
          <w:color w:val="000000" w:themeColor="text1"/>
        </w:rPr>
        <w:t xml:space="preserve">help families </w:t>
      </w:r>
      <w:r w:rsidR="00DF0B3D" w:rsidRPr="00D03F1F">
        <w:rPr>
          <w:rFonts w:eastAsia="Calibri" w:cs="Calibri"/>
          <w:color w:val="000000" w:themeColor="text1"/>
        </w:rPr>
        <w:t xml:space="preserve">maintain permanent housing. </w:t>
      </w:r>
      <w:r w:rsidR="00DF0B3D">
        <w:rPr>
          <w:rFonts w:eastAsia="Calibri" w:cs="Calibri"/>
          <w:color w:val="000000" w:themeColor="text1"/>
        </w:rPr>
        <w:t>YFHPI is i</w:t>
      </w:r>
      <w:r w:rsidR="00DF0B3D" w:rsidRPr="00D03F1F">
        <w:rPr>
          <w:rFonts w:eastAsia="Calibri" w:cs="Calibri"/>
          <w:color w:val="000000" w:themeColor="text1"/>
        </w:rPr>
        <w:t>mplemented through diverse community partners</w:t>
      </w:r>
      <w:r w:rsidR="00DF0B3D">
        <w:rPr>
          <w:rFonts w:eastAsia="Calibri" w:cs="Calibri"/>
          <w:color w:val="000000" w:themeColor="text1"/>
        </w:rPr>
        <w:t xml:space="preserve"> and uses a progressive engagement model</w:t>
      </w:r>
      <w:r w:rsidR="0048068C">
        <w:rPr>
          <w:rFonts w:eastAsia="Calibri" w:cs="Calibri"/>
          <w:color w:val="000000" w:themeColor="text1"/>
        </w:rPr>
        <w:t>. In this model,</w:t>
      </w:r>
      <w:r w:rsidR="00DF0B3D">
        <w:rPr>
          <w:rFonts w:eastAsia="Calibri" w:cs="Calibri"/>
          <w:color w:val="000000" w:themeColor="text1"/>
        </w:rPr>
        <w:t xml:space="preserve"> families are offered increasing levels of assistance while simultaneously encourag</w:t>
      </w:r>
      <w:r w:rsidR="008068B0">
        <w:rPr>
          <w:rFonts w:eastAsia="Calibri" w:cs="Calibri"/>
          <w:color w:val="000000" w:themeColor="text1"/>
        </w:rPr>
        <w:t>ing</w:t>
      </w:r>
      <w:r w:rsidR="00DF0B3D">
        <w:rPr>
          <w:rFonts w:eastAsia="Calibri" w:cs="Calibri"/>
          <w:color w:val="000000" w:themeColor="text1"/>
        </w:rPr>
        <w:t xml:space="preserve"> and support</w:t>
      </w:r>
      <w:r w:rsidR="008068B0">
        <w:rPr>
          <w:rFonts w:eastAsia="Calibri" w:cs="Calibri"/>
          <w:color w:val="000000" w:themeColor="text1"/>
        </w:rPr>
        <w:t>ing them</w:t>
      </w:r>
      <w:r w:rsidR="00DF0B3D">
        <w:rPr>
          <w:rFonts w:eastAsia="Calibri" w:cs="Calibri"/>
          <w:color w:val="000000" w:themeColor="text1"/>
        </w:rPr>
        <w:t xml:space="preserve"> to address their own housing challenges</w:t>
      </w:r>
      <w:r w:rsidR="006A39FA">
        <w:rPr>
          <w:rFonts w:eastAsia="Calibri" w:cs="Calibri"/>
          <w:color w:val="000000" w:themeColor="text1"/>
        </w:rPr>
        <w:t>.</w:t>
      </w:r>
      <w:r w:rsidR="00791013">
        <w:rPr>
          <w:rFonts w:eastAsia="Calibri" w:cs="Calibri"/>
          <w:color w:val="000000" w:themeColor="text1"/>
        </w:rPr>
        <w:t xml:space="preserve"> </w:t>
      </w:r>
      <w:r w:rsidR="00DF0B3D">
        <w:rPr>
          <w:rFonts w:eastAsia="Calibri" w:cs="Calibri"/>
          <w:color w:val="000000" w:themeColor="text1"/>
        </w:rPr>
        <w:t xml:space="preserve">To </w:t>
      </w:r>
      <w:r w:rsidR="008068B0" w:rsidRPr="00D03F1F">
        <w:rPr>
          <w:rFonts w:eastAsia="Calibri" w:cs="Calibri"/>
          <w:color w:val="000000" w:themeColor="text1"/>
        </w:rPr>
        <w:t xml:space="preserve">help families </w:t>
      </w:r>
      <w:r w:rsidR="008068B0">
        <w:rPr>
          <w:rFonts w:eastAsia="Calibri" w:cs="Calibri"/>
          <w:color w:val="000000" w:themeColor="text1"/>
        </w:rPr>
        <w:t>maintain</w:t>
      </w:r>
      <w:r w:rsidR="008068B0" w:rsidRPr="00D03F1F">
        <w:rPr>
          <w:rFonts w:eastAsia="Calibri" w:cs="Calibri"/>
          <w:color w:val="000000" w:themeColor="text1"/>
        </w:rPr>
        <w:t xml:space="preserve"> long-term housing stability</w:t>
      </w:r>
      <w:r w:rsidR="00DF0B3D">
        <w:rPr>
          <w:rFonts w:eastAsia="Calibri" w:cs="Calibri"/>
          <w:color w:val="000000" w:themeColor="text1"/>
        </w:rPr>
        <w:t xml:space="preserve">, </w:t>
      </w:r>
      <w:r w:rsidR="00DF0B3D" w:rsidRPr="00D03F1F">
        <w:rPr>
          <w:rFonts w:eastAsia="Calibri" w:cs="Calibri"/>
          <w:color w:val="000000" w:themeColor="text1"/>
        </w:rPr>
        <w:t xml:space="preserve">YFHPI provides case management combined </w:t>
      </w:r>
      <w:r w:rsidR="00DF0B3D">
        <w:rPr>
          <w:rFonts w:eastAsia="Calibri" w:cs="Calibri"/>
          <w:color w:val="000000" w:themeColor="text1"/>
        </w:rPr>
        <w:t>with financial assistance where necessary</w:t>
      </w:r>
      <w:r w:rsidR="00DF0B3D" w:rsidRPr="00D03F1F">
        <w:rPr>
          <w:rFonts w:eastAsia="Calibri" w:cs="Calibri"/>
          <w:color w:val="000000" w:themeColor="text1"/>
        </w:rPr>
        <w:t>.</w:t>
      </w:r>
    </w:p>
    <w:p w14:paraId="71104DF6" w14:textId="77777777" w:rsidR="00DF0B3D" w:rsidRDefault="00DF0B3D" w:rsidP="00DF0B3D">
      <w:pPr>
        <w:pStyle w:val="paragraph"/>
        <w:spacing w:beforeAutospacing="0" w:after="0" w:afterAutospacing="0"/>
        <w:rPr>
          <w:rFonts w:eastAsia="Calibri"/>
          <w:color w:val="000000"/>
        </w:rPr>
      </w:pPr>
    </w:p>
    <w:p w14:paraId="20F2EBEC" w14:textId="754B8CD9" w:rsidR="00DF0B3D" w:rsidRDefault="00B23D7B" w:rsidP="00DF0B3D">
      <w:pPr>
        <w:pStyle w:val="paragraph"/>
        <w:spacing w:beforeAutospacing="0" w:after="0" w:afterAutospacing="0"/>
        <w:rPr>
          <w:rFonts w:eastAsia="Calibri"/>
          <w:color w:val="000000"/>
        </w:rPr>
      </w:pPr>
      <w:r w:rsidRPr="5B901A6A">
        <w:rPr>
          <w:color w:val="000000"/>
        </w:rPr>
        <w:t>From 2017</w:t>
      </w:r>
      <w:r w:rsidR="008068B0" w:rsidRPr="261F37E9">
        <w:rPr>
          <w:color w:val="000000" w:themeColor="text1"/>
        </w:rPr>
        <w:t xml:space="preserve"> through </w:t>
      </w:r>
      <w:r w:rsidRPr="5B901A6A">
        <w:rPr>
          <w:color w:val="000000"/>
        </w:rPr>
        <w:t>2020</w:t>
      </w:r>
      <w:r w:rsidR="008068B0" w:rsidRPr="261F37E9">
        <w:rPr>
          <w:color w:val="000000" w:themeColor="text1"/>
        </w:rPr>
        <w:t>,</w:t>
      </w:r>
      <w:r w:rsidRPr="5B901A6A">
        <w:rPr>
          <w:color w:val="000000"/>
        </w:rPr>
        <w:t xml:space="preserve"> YFHPI served 10,235 people comprised of 2,852 families and 699 unaccompanied youth.</w:t>
      </w:r>
      <w:r w:rsidRPr="5B901A6A">
        <w:rPr>
          <w:rStyle w:val="FootnoteReference"/>
          <w:color w:val="000000"/>
        </w:rPr>
        <w:footnoteReference w:id="197"/>
      </w:r>
      <w:r w:rsidRPr="5B901A6A">
        <w:rPr>
          <w:color w:val="000000"/>
        </w:rPr>
        <w:t xml:space="preserve"> Of the households that exited the program six</w:t>
      </w:r>
      <w:r w:rsidRPr="71D2A87E">
        <w:rPr>
          <w:color w:val="000000" w:themeColor="text1"/>
        </w:rPr>
        <w:t xml:space="preserve"> </w:t>
      </w:r>
      <w:r w:rsidRPr="5B901A6A">
        <w:rPr>
          <w:color w:val="000000"/>
        </w:rPr>
        <w:t>months after the exit date, 96</w:t>
      </w:r>
      <w:r w:rsidR="00AE2CE9" w:rsidRPr="261F37E9">
        <w:rPr>
          <w:color w:val="000000" w:themeColor="text1"/>
        </w:rPr>
        <w:t xml:space="preserve"> percent</w:t>
      </w:r>
      <w:r w:rsidRPr="5B901A6A">
        <w:rPr>
          <w:color w:val="000000"/>
        </w:rPr>
        <w:t xml:space="preserve"> remained housed without need for homeless services.</w:t>
      </w:r>
      <w:r w:rsidRPr="5B901A6A">
        <w:rPr>
          <w:rStyle w:val="FootnoteReference"/>
          <w:color w:val="000000"/>
        </w:rPr>
        <w:footnoteReference w:id="198"/>
      </w:r>
    </w:p>
    <w:p w14:paraId="3F697E92" w14:textId="77777777" w:rsidR="005366A6" w:rsidRPr="00321800" w:rsidRDefault="005366A6" w:rsidP="00DF0B3D">
      <w:pPr>
        <w:pStyle w:val="paragraph"/>
        <w:spacing w:beforeAutospacing="0" w:after="0" w:afterAutospacing="0"/>
        <w:rPr>
          <w:rFonts w:eastAsia="Calibri"/>
        </w:rPr>
      </w:pPr>
    </w:p>
    <w:p w14:paraId="22518977" w14:textId="63E5D5F5" w:rsidR="00DF0B3D" w:rsidRPr="00D03F1F" w:rsidRDefault="00DF0B3D" w:rsidP="00DF0B3D">
      <w:pPr>
        <w:contextualSpacing/>
        <w:rPr>
          <w:rFonts w:eastAsia="Calibri" w:cs="Calibri"/>
          <w:color w:val="000000" w:themeColor="text1"/>
        </w:rPr>
      </w:pPr>
      <w:r w:rsidRPr="00D03F1F">
        <w:rPr>
          <w:rFonts w:eastAsia="Calibri" w:cs="Calibri"/>
          <w:b/>
          <w:color w:val="000000" w:themeColor="text1"/>
        </w:rPr>
        <w:t>Rationale</w:t>
      </w:r>
      <w:r w:rsidR="002916CF">
        <w:rPr>
          <w:rFonts w:eastAsia="Calibri" w:cs="Calibri"/>
          <w:b/>
          <w:color w:val="000000" w:themeColor="text1"/>
        </w:rPr>
        <w:t xml:space="preserve"> for increased investment</w:t>
      </w:r>
    </w:p>
    <w:p w14:paraId="18817A3D" w14:textId="77A76415" w:rsidR="00C84781" w:rsidRPr="00443793" w:rsidRDefault="00BB18D6" w:rsidP="00C84781">
      <w:pPr>
        <w:contextualSpacing/>
        <w:rPr>
          <w:rFonts w:cstheme="minorHAnsi"/>
          <w:b/>
          <w:bCs/>
          <w:color w:val="000000"/>
        </w:rPr>
      </w:pPr>
      <w:r>
        <w:rPr>
          <w:rFonts w:eastAsia="Calibri" w:cs="Calibri"/>
          <w:color w:val="000000" w:themeColor="text1"/>
        </w:rPr>
        <w:t>During</w:t>
      </w:r>
      <w:r w:rsidR="006251CD">
        <w:rPr>
          <w:rFonts w:eastAsia="Calibri" w:cs="Calibri"/>
          <w:color w:val="000000" w:themeColor="text1"/>
        </w:rPr>
        <w:t xml:space="preserve"> </w:t>
      </w:r>
      <w:r w:rsidR="006251CD" w:rsidRPr="006A39FA">
        <w:rPr>
          <w:rFonts w:eastAsia="Calibri" w:cs="Calibri"/>
          <w:i/>
          <w:color w:val="000000" w:themeColor="text1"/>
        </w:rPr>
        <w:t xml:space="preserve">Best </w:t>
      </w:r>
      <w:r w:rsidR="006251CD" w:rsidRPr="006A39FA">
        <w:rPr>
          <w:rFonts w:eastAsia="Calibri" w:cs="Calibri"/>
          <w:i/>
          <w:iCs/>
          <w:color w:val="000000" w:themeColor="text1"/>
        </w:rPr>
        <w:t>Starts</w:t>
      </w:r>
      <w:r w:rsidRPr="006A39FA">
        <w:rPr>
          <w:rFonts w:eastAsia="Calibri" w:cs="Calibri"/>
          <w:i/>
          <w:iCs/>
          <w:color w:val="000000" w:themeColor="text1"/>
        </w:rPr>
        <w:t>’</w:t>
      </w:r>
      <w:r w:rsidR="006251CD">
        <w:rPr>
          <w:rFonts w:eastAsia="Calibri" w:cs="Calibri"/>
          <w:color w:val="000000" w:themeColor="text1"/>
        </w:rPr>
        <w:t xml:space="preserve"> </w:t>
      </w:r>
      <w:r w:rsidR="0036056C">
        <w:rPr>
          <w:rFonts w:eastAsia="Calibri" w:cs="Calibri"/>
          <w:color w:val="000000" w:themeColor="text1"/>
        </w:rPr>
        <w:t>2022-</w:t>
      </w:r>
      <w:r>
        <w:rPr>
          <w:rFonts w:eastAsia="Calibri" w:cs="Calibri"/>
          <w:color w:val="000000" w:themeColor="text1"/>
        </w:rPr>
        <w:t xml:space="preserve">2027 levy, </w:t>
      </w:r>
      <w:r w:rsidR="007303CE">
        <w:rPr>
          <w:rFonts w:eastAsia="Calibri" w:cs="Calibri"/>
          <w:color w:val="000000" w:themeColor="text1"/>
        </w:rPr>
        <w:t xml:space="preserve">YFHPI </w:t>
      </w:r>
      <w:r>
        <w:rPr>
          <w:rFonts w:eastAsia="Calibri" w:cs="Calibri"/>
          <w:color w:val="000000" w:themeColor="text1"/>
        </w:rPr>
        <w:t>plans to</w:t>
      </w:r>
      <w:r w:rsidR="007303CE" w:rsidRPr="00D03F1F">
        <w:rPr>
          <w:rFonts w:eastAsia="Calibri" w:cs="Calibri"/>
          <w:color w:val="000000" w:themeColor="text1"/>
        </w:rPr>
        <w:t xml:space="preserve"> </w:t>
      </w:r>
      <w:r w:rsidR="007303CE">
        <w:rPr>
          <w:rFonts w:eastAsia="Calibri" w:cs="Calibri"/>
          <w:color w:val="000000" w:themeColor="text1"/>
        </w:rPr>
        <w:t>support</w:t>
      </w:r>
      <w:r w:rsidR="007303CE" w:rsidRPr="00D03F1F">
        <w:rPr>
          <w:rFonts w:eastAsia="Calibri" w:cs="Calibri"/>
          <w:color w:val="000000" w:themeColor="text1"/>
        </w:rPr>
        <w:t xml:space="preserve"> equitable pay for </w:t>
      </w:r>
      <w:r w:rsidR="007303CE">
        <w:rPr>
          <w:rFonts w:eastAsia="Calibri" w:cs="Calibri"/>
          <w:color w:val="000000" w:themeColor="text1"/>
        </w:rPr>
        <w:t>case managers</w:t>
      </w:r>
      <w:r w:rsidR="00BA6791">
        <w:rPr>
          <w:rFonts w:eastAsia="Calibri" w:cs="Calibri"/>
          <w:color w:val="000000" w:themeColor="text1"/>
        </w:rPr>
        <w:t xml:space="preserve">. </w:t>
      </w:r>
      <w:r w:rsidR="007303CE">
        <w:rPr>
          <w:rFonts w:eastAsia="Calibri" w:cs="Calibri"/>
          <w:color w:val="000000" w:themeColor="text1"/>
        </w:rPr>
        <w:t xml:space="preserve"> To achieve this goal</w:t>
      </w:r>
      <w:r w:rsidR="001607AF">
        <w:rPr>
          <w:rFonts w:eastAsia="Calibri" w:cs="Calibri"/>
          <w:color w:val="000000" w:themeColor="text1"/>
        </w:rPr>
        <w:t>,</w:t>
      </w:r>
      <w:r w:rsidR="007303CE">
        <w:rPr>
          <w:rFonts w:eastAsia="Calibri" w:cs="Calibri"/>
          <w:color w:val="000000" w:themeColor="text1"/>
        </w:rPr>
        <w:t xml:space="preserve"> </w:t>
      </w:r>
      <w:r w:rsidR="007303CE" w:rsidRPr="00156B43">
        <w:rPr>
          <w:rFonts w:eastAsia="Calibri" w:cs="Calibri"/>
          <w:i/>
          <w:iCs/>
          <w:color w:val="000000" w:themeColor="text1"/>
        </w:rPr>
        <w:t>Best Starts</w:t>
      </w:r>
      <w:r w:rsidR="007303CE">
        <w:rPr>
          <w:rFonts w:eastAsia="Calibri" w:cs="Calibri"/>
          <w:i/>
          <w:iCs/>
          <w:color w:val="000000" w:themeColor="text1"/>
        </w:rPr>
        <w:t xml:space="preserve"> </w:t>
      </w:r>
      <w:r w:rsidR="007303CE">
        <w:rPr>
          <w:rFonts w:eastAsia="Calibri" w:cs="Calibri"/>
          <w:color w:val="000000" w:themeColor="text1"/>
        </w:rPr>
        <w:t>will increase the investment from the original levy’s $21</w:t>
      </w:r>
      <w:r w:rsidR="001607AF">
        <w:rPr>
          <w:rFonts w:eastAsia="Calibri" w:cs="Calibri"/>
          <w:color w:val="000000" w:themeColor="text1"/>
        </w:rPr>
        <w:t xml:space="preserve"> million</w:t>
      </w:r>
      <w:r w:rsidR="00791013">
        <w:rPr>
          <w:rFonts w:eastAsia="Calibri" w:cs="Calibri"/>
          <w:color w:val="000000" w:themeColor="text1"/>
        </w:rPr>
        <w:t xml:space="preserve">. </w:t>
      </w:r>
      <w:r w:rsidR="00AA5796">
        <w:rPr>
          <w:rFonts w:eastAsia="Calibri" w:cs="Calibri"/>
          <w:color w:val="000000" w:themeColor="text1"/>
        </w:rPr>
        <w:t xml:space="preserve">By providing for </w:t>
      </w:r>
      <w:r w:rsidR="00C84781">
        <w:rPr>
          <w:rFonts w:eastAsia="Calibri" w:cs="Calibri"/>
          <w:color w:val="000000" w:themeColor="text1"/>
        </w:rPr>
        <w:t>equitable pay for case managers</w:t>
      </w:r>
      <w:r w:rsidR="00AA5796">
        <w:rPr>
          <w:rFonts w:eastAsia="Calibri" w:cs="Calibri"/>
          <w:color w:val="000000" w:themeColor="text1"/>
        </w:rPr>
        <w:t xml:space="preserve">, Best Starts </w:t>
      </w:r>
      <w:r w:rsidR="00614A26">
        <w:rPr>
          <w:rFonts w:eastAsia="Calibri" w:cs="Calibri"/>
          <w:color w:val="000000" w:themeColor="text1"/>
        </w:rPr>
        <w:t>expects to</w:t>
      </w:r>
      <w:r w:rsidR="00AA5796">
        <w:rPr>
          <w:rFonts w:eastAsia="Calibri" w:cs="Calibri"/>
          <w:color w:val="000000" w:themeColor="text1"/>
        </w:rPr>
        <w:t xml:space="preserve"> </w:t>
      </w:r>
      <w:r w:rsidR="00614A26">
        <w:rPr>
          <w:rFonts w:eastAsia="Calibri" w:cs="Calibri"/>
          <w:color w:val="000000" w:themeColor="text1"/>
        </w:rPr>
        <w:t>positively impact workforce turnover and improve service quality</w:t>
      </w:r>
      <w:r w:rsidR="00791013">
        <w:rPr>
          <w:rFonts w:eastAsia="Calibri" w:cs="Calibri"/>
          <w:color w:val="000000" w:themeColor="text1"/>
        </w:rPr>
        <w:t>.</w:t>
      </w:r>
      <w:r w:rsidR="007D34F1">
        <w:rPr>
          <w:rFonts w:eastAsia="Calibri" w:cs="Calibri"/>
          <w:color w:val="000000" w:themeColor="text1"/>
        </w:rPr>
        <w:t xml:space="preserve">  </w:t>
      </w:r>
    </w:p>
    <w:p w14:paraId="38611099" w14:textId="77777777" w:rsidR="00F50286" w:rsidRDefault="00F50286" w:rsidP="00DF0B3D">
      <w:pPr>
        <w:rPr>
          <w:color w:val="000000"/>
        </w:rPr>
      </w:pPr>
    </w:p>
    <w:p w14:paraId="54722822" w14:textId="78512A06" w:rsidR="00DF0B3D" w:rsidRDefault="00DF0B3D" w:rsidP="00DF0B3D">
      <w:pPr>
        <w:rPr>
          <w:rFonts w:eastAsia="Calibri" w:cs="Arial"/>
          <w:b/>
          <w:color w:val="000000" w:themeColor="text1"/>
        </w:rPr>
      </w:pPr>
      <w:r w:rsidRPr="351B1C68">
        <w:rPr>
          <w:rFonts w:eastAsia="Calibri" w:cs="Calibri"/>
          <w:b/>
          <w:bCs/>
          <w:color w:val="000000" w:themeColor="text1"/>
        </w:rPr>
        <w:t xml:space="preserve">Planned Refinements in </w:t>
      </w:r>
      <w:r w:rsidR="005B3FA5" w:rsidRPr="005F2DAC">
        <w:rPr>
          <w:rFonts w:eastAsia="Calibri" w:cs="Calibri"/>
          <w:b/>
          <w:i/>
          <w:color w:val="000000" w:themeColor="text1"/>
        </w:rPr>
        <w:t>Best Starts for Kids</w:t>
      </w:r>
      <w:r w:rsidR="005B3FA5" w:rsidRPr="005B3FA5">
        <w:rPr>
          <w:rFonts w:eastAsia="Calibri" w:cs="Calibri"/>
          <w:b/>
          <w:bCs/>
          <w:color w:val="000000" w:themeColor="text1"/>
        </w:rPr>
        <w:t xml:space="preserve"> 2022-2027:</w:t>
      </w:r>
    </w:p>
    <w:p w14:paraId="3A7A9278" w14:textId="046EE53F" w:rsidR="00DF0B3D" w:rsidRPr="00D644B4" w:rsidRDefault="00432D4A" w:rsidP="00D644B4">
      <w:pPr>
        <w:rPr>
          <w:color w:val="000000"/>
        </w:rPr>
      </w:pPr>
      <w:r w:rsidRPr="00D644B4">
        <w:rPr>
          <w:color w:val="000000"/>
        </w:rPr>
        <w:lastRenderedPageBreak/>
        <w:t xml:space="preserve">Support equitable </w:t>
      </w:r>
      <w:r w:rsidR="004237CA" w:rsidRPr="00D644B4">
        <w:rPr>
          <w:color w:val="000000"/>
        </w:rPr>
        <w:t>payment standards across all YFPHI contractors</w:t>
      </w:r>
      <w:r w:rsidR="00B23D7B" w:rsidRPr="00D644B4">
        <w:rPr>
          <w:color w:val="000000"/>
        </w:rPr>
        <w:t xml:space="preserve"> by </w:t>
      </w:r>
      <w:r w:rsidR="001F76EE" w:rsidRPr="00D644B4">
        <w:rPr>
          <w:color w:val="000000"/>
        </w:rPr>
        <w:t>providing for equitable pay</w:t>
      </w:r>
      <w:r w:rsidR="00B23D7B" w:rsidRPr="00D644B4">
        <w:rPr>
          <w:color w:val="000000"/>
        </w:rPr>
        <w:t xml:space="preserve"> for all case managers supporting </w:t>
      </w:r>
      <w:r w:rsidR="001F76EE" w:rsidRPr="00D644B4">
        <w:rPr>
          <w:color w:val="000000"/>
        </w:rPr>
        <w:t>YFHPI families</w:t>
      </w:r>
      <w:r w:rsidR="00B23D7B" w:rsidRPr="00D644B4">
        <w:rPr>
          <w:color w:val="000000"/>
        </w:rPr>
        <w:t>.</w:t>
      </w:r>
    </w:p>
    <w:p w14:paraId="55C9B31C" w14:textId="77777777" w:rsidR="00614A26" w:rsidRDefault="00614A26" w:rsidP="00DF0B3D">
      <w:pPr>
        <w:rPr>
          <w:b/>
          <w:bCs/>
        </w:rPr>
      </w:pPr>
    </w:p>
    <w:p w14:paraId="1191C1FF" w14:textId="30B25916" w:rsidR="009826E1" w:rsidRDefault="00276BBF" w:rsidP="00DF0B3D">
      <w:r>
        <w:rPr>
          <w:b/>
          <w:bCs/>
        </w:rPr>
        <w:t>Approximate</w:t>
      </w:r>
      <w:r w:rsidR="009826E1" w:rsidRPr="005A480B">
        <w:rPr>
          <w:b/>
          <w:bCs/>
        </w:rPr>
        <w:t xml:space="preserve"> Scope</w:t>
      </w:r>
      <w:r w:rsidR="009826E1">
        <w:rPr>
          <w:b/>
        </w:rPr>
        <w:t>:</w:t>
      </w:r>
      <w:r w:rsidR="001D2F43">
        <w:t xml:space="preserve"> </w:t>
      </w:r>
      <w:r w:rsidR="00C44B63">
        <w:t>YFHPI will reach a</w:t>
      </w:r>
      <w:r w:rsidR="001D2F43">
        <w:t xml:space="preserve">pproximately </w:t>
      </w:r>
      <w:r w:rsidR="005A480B">
        <w:t xml:space="preserve">2,000 families per year. </w:t>
      </w:r>
    </w:p>
    <w:p w14:paraId="706EDAA6" w14:textId="77777777" w:rsidR="009826E1" w:rsidRDefault="009826E1" w:rsidP="00DF0B3D"/>
    <w:p w14:paraId="2316ACA1" w14:textId="77777777" w:rsidR="0022658B" w:rsidRDefault="009826E1" w:rsidP="00DF0B3D">
      <w:r w:rsidRPr="005A480B">
        <w:rPr>
          <w:b/>
          <w:bCs/>
        </w:rPr>
        <w:t>Anticipated Timeline:</w:t>
      </w:r>
      <w:r w:rsidR="004F0522">
        <w:rPr>
          <w:b/>
          <w:bCs/>
        </w:rPr>
        <w:t xml:space="preserve"> </w:t>
      </w:r>
      <w:r w:rsidR="004F0522" w:rsidRPr="004F0522">
        <w:t xml:space="preserve">RFP to be released by </w:t>
      </w:r>
      <w:r w:rsidR="00E24924">
        <w:t>Q</w:t>
      </w:r>
      <w:r w:rsidR="004F0522" w:rsidRPr="004F0522">
        <w:t>4 2021.</w:t>
      </w:r>
    </w:p>
    <w:p w14:paraId="5B2396B7" w14:textId="16F6BA8C" w:rsidR="009826E1" w:rsidRPr="005A480B" w:rsidRDefault="004F0522" w:rsidP="00DF0B3D">
      <w:pPr>
        <w:rPr>
          <w:b/>
        </w:rPr>
      </w:pPr>
      <w:r>
        <w:rPr>
          <w:b/>
          <w:bCs/>
        </w:rPr>
        <w:t xml:space="preserve"> </w:t>
      </w:r>
    </w:p>
    <w:p w14:paraId="3C15A732" w14:textId="1F178206" w:rsidR="008271FE" w:rsidRDefault="008271FE" w:rsidP="00025030">
      <w:pPr>
        <w:pStyle w:val="Heading2"/>
        <w:numPr>
          <w:ilvl w:val="0"/>
          <w:numId w:val="26"/>
        </w:numPr>
        <w:tabs>
          <w:tab w:val="left" w:pos="360"/>
        </w:tabs>
      </w:pPr>
      <w:bookmarkStart w:id="82" w:name="_Communities_of_Opportunity"/>
      <w:bookmarkStart w:id="83" w:name="_Toc85188549"/>
      <w:bookmarkEnd w:id="82"/>
      <w:r>
        <w:t>Communities of Opportunity</w:t>
      </w:r>
      <w:bookmarkEnd w:id="83"/>
    </w:p>
    <w:p w14:paraId="153AB342" w14:textId="77777777" w:rsidR="000078CB" w:rsidRPr="000078CB" w:rsidRDefault="000078CB" w:rsidP="000078CB"/>
    <w:tbl>
      <w:tblPr>
        <w:tblStyle w:val="TableGrid"/>
        <w:tblpPr w:leftFromText="180" w:rightFromText="180" w:vertAnchor="text" w:horzAnchor="margin" w:tblpY="106"/>
        <w:tblW w:w="9780" w:type="dxa"/>
        <w:tblLook w:val="04A0" w:firstRow="1" w:lastRow="0" w:firstColumn="1" w:lastColumn="0" w:noHBand="0" w:noVBand="1"/>
      </w:tblPr>
      <w:tblGrid>
        <w:gridCol w:w="9780"/>
      </w:tblGrid>
      <w:tr w:rsidR="008271FE" w:rsidRPr="00D03F1F" w14:paraId="24ABB143" w14:textId="77777777" w:rsidTr="007C7424">
        <w:trPr>
          <w:trHeight w:val="413"/>
        </w:trPr>
        <w:tc>
          <w:tcPr>
            <w:tcW w:w="978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A7B3BA3" w14:textId="7F8E2C0F" w:rsidR="008271FE" w:rsidRPr="0030709B" w:rsidRDefault="008271FE" w:rsidP="008C4122">
            <w:pPr>
              <w:contextualSpacing/>
              <w:rPr>
                <w:rFonts w:cs="Calibri"/>
                <w:b/>
                <w:sz w:val="28"/>
                <w:szCs w:val="28"/>
              </w:rPr>
            </w:pPr>
            <w:r w:rsidRPr="00FE390F">
              <w:rPr>
                <w:b/>
                <w:sz w:val="28"/>
                <w:szCs w:val="28"/>
              </w:rPr>
              <w:t>Communities of Opportunity</w:t>
            </w:r>
          </w:p>
        </w:tc>
      </w:tr>
    </w:tbl>
    <w:tbl>
      <w:tblPr>
        <w:tblW w:w="9450" w:type="dxa"/>
        <w:tblLook w:val="04A0" w:firstRow="1" w:lastRow="0" w:firstColumn="1" w:lastColumn="0" w:noHBand="0" w:noVBand="1"/>
      </w:tblPr>
      <w:tblGrid>
        <w:gridCol w:w="1019"/>
        <w:gridCol w:w="1249"/>
        <w:gridCol w:w="1249"/>
        <w:gridCol w:w="1249"/>
        <w:gridCol w:w="1249"/>
        <w:gridCol w:w="1249"/>
        <w:gridCol w:w="1249"/>
        <w:gridCol w:w="1333"/>
      </w:tblGrid>
      <w:tr w:rsidR="009558B6" w:rsidRPr="009558B6" w14:paraId="3D88E13F" w14:textId="77777777" w:rsidTr="0063545A">
        <w:trPr>
          <w:trHeight w:val="320"/>
        </w:trPr>
        <w:tc>
          <w:tcPr>
            <w:tcW w:w="9450" w:type="dxa"/>
            <w:gridSpan w:val="8"/>
            <w:tcBorders>
              <w:top w:val="nil"/>
              <w:left w:val="nil"/>
              <w:bottom w:val="single" w:sz="12" w:space="0" w:color="FFD966"/>
              <w:right w:val="nil"/>
            </w:tcBorders>
            <w:shd w:val="clear" w:color="auto" w:fill="auto"/>
            <w:noWrap/>
            <w:vAlign w:val="bottom"/>
            <w:hideMark/>
          </w:tcPr>
          <w:p w14:paraId="05A246F5" w14:textId="77777777" w:rsidR="009558B6" w:rsidRPr="009558B6" w:rsidRDefault="009558B6" w:rsidP="009558B6">
            <w:pPr>
              <w:spacing w:line="240" w:lineRule="auto"/>
              <w:rPr>
                <w:rFonts w:eastAsia="Times New Roman" w:cs="Calibri"/>
                <w:b/>
                <w:bCs/>
                <w:i/>
                <w:iCs/>
                <w:color w:val="000000"/>
              </w:rPr>
            </w:pPr>
            <w:r w:rsidRPr="009558B6">
              <w:rPr>
                <w:rFonts w:eastAsia="Times New Roman" w:cs="Calibri"/>
                <w:b/>
                <w:bCs/>
                <w:i/>
                <w:iCs/>
                <w:color w:val="000000"/>
              </w:rPr>
              <w:t>Funding Estimate:</w:t>
            </w:r>
          </w:p>
        </w:tc>
      </w:tr>
      <w:tr w:rsidR="009558B6" w:rsidRPr="009558B6" w14:paraId="32DCC744" w14:textId="77777777" w:rsidTr="0063545A">
        <w:trPr>
          <w:trHeight w:val="426"/>
        </w:trPr>
        <w:tc>
          <w:tcPr>
            <w:tcW w:w="1019" w:type="dxa"/>
            <w:tcBorders>
              <w:top w:val="nil"/>
              <w:left w:val="single" w:sz="12" w:space="0" w:color="FFD966"/>
              <w:bottom w:val="single" w:sz="8" w:space="0" w:color="FFD966"/>
              <w:right w:val="single" w:sz="8" w:space="0" w:color="FFD966"/>
            </w:tcBorders>
            <w:shd w:val="clear" w:color="000000" w:fill="D9E1F2"/>
            <w:noWrap/>
            <w:vAlign w:val="center"/>
            <w:hideMark/>
          </w:tcPr>
          <w:p w14:paraId="47360939" w14:textId="77777777" w:rsidR="009558B6" w:rsidRPr="009558B6" w:rsidRDefault="009558B6" w:rsidP="009558B6">
            <w:pPr>
              <w:spacing w:line="240" w:lineRule="auto"/>
              <w:rPr>
                <w:rFonts w:eastAsia="Times New Roman" w:cs="Calibri"/>
                <w:b/>
                <w:bCs/>
                <w:i/>
                <w:iCs/>
              </w:rPr>
            </w:pPr>
            <w:r w:rsidRPr="009558B6">
              <w:rPr>
                <w:rFonts w:eastAsia="Times New Roman" w:cs="Calibri"/>
                <w:b/>
                <w:bCs/>
                <w:i/>
                <w:iCs/>
              </w:rPr>
              <w:t>Year</w:t>
            </w:r>
          </w:p>
        </w:tc>
        <w:tc>
          <w:tcPr>
            <w:tcW w:w="1249" w:type="dxa"/>
            <w:tcBorders>
              <w:top w:val="nil"/>
              <w:left w:val="nil"/>
              <w:bottom w:val="single" w:sz="8" w:space="0" w:color="FFD966"/>
              <w:right w:val="single" w:sz="8" w:space="0" w:color="FFD966"/>
            </w:tcBorders>
            <w:shd w:val="clear" w:color="000000" w:fill="D9E1F2"/>
            <w:noWrap/>
            <w:vAlign w:val="center"/>
            <w:hideMark/>
          </w:tcPr>
          <w:p w14:paraId="7F0CB9A7" w14:textId="77777777" w:rsidR="009558B6" w:rsidRPr="009558B6" w:rsidRDefault="009558B6" w:rsidP="009558B6">
            <w:pPr>
              <w:spacing w:line="240" w:lineRule="auto"/>
              <w:jc w:val="right"/>
              <w:rPr>
                <w:rFonts w:eastAsia="Times New Roman" w:cs="Calibri"/>
              </w:rPr>
            </w:pPr>
            <w:r w:rsidRPr="009558B6">
              <w:rPr>
                <w:rFonts w:eastAsia="Times New Roman" w:cs="Calibri"/>
              </w:rPr>
              <w:t>2022</w:t>
            </w:r>
          </w:p>
        </w:tc>
        <w:tc>
          <w:tcPr>
            <w:tcW w:w="1249" w:type="dxa"/>
            <w:tcBorders>
              <w:top w:val="nil"/>
              <w:left w:val="nil"/>
              <w:bottom w:val="single" w:sz="8" w:space="0" w:color="FFD966"/>
              <w:right w:val="single" w:sz="8" w:space="0" w:color="FFD966"/>
            </w:tcBorders>
            <w:shd w:val="clear" w:color="000000" w:fill="D9E1F2"/>
            <w:noWrap/>
            <w:vAlign w:val="center"/>
            <w:hideMark/>
          </w:tcPr>
          <w:p w14:paraId="263B35BA" w14:textId="77777777" w:rsidR="009558B6" w:rsidRPr="009558B6" w:rsidRDefault="009558B6" w:rsidP="009558B6">
            <w:pPr>
              <w:spacing w:line="240" w:lineRule="auto"/>
              <w:jc w:val="right"/>
              <w:rPr>
                <w:rFonts w:eastAsia="Times New Roman" w:cs="Calibri"/>
              </w:rPr>
            </w:pPr>
            <w:r w:rsidRPr="009558B6">
              <w:rPr>
                <w:rFonts w:eastAsia="Times New Roman" w:cs="Calibri"/>
              </w:rPr>
              <w:t>2023</w:t>
            </w:r>
          </w:p>
        </w:tc>
        <w:tc>
          <w:tcPr>
            <w:tcW w:w="1249" w:type="dxa"/>
            <w:tcBorders>
              <w:top w:val="nil"/>
              <w:left w:val="nil"/>
              <w:bottom w:val="single" w:sz="8" w:space="0" w:color="FFD966"/>
              <w:right w:val="single" w:sz="8" w:space="0" w:color="FFD966"/>
            </w:tcBorders>
            <w:shd w:val="clear" w:color="000000" w:fill="D9E1F2"/>
            <w:noWrap/>
            <w:vAlign w:val="center"/>
            <w:hideMark/>
          </w:tcPr>
          <w:p w14:paraId="4888F65D" w14:textId="77777777" w:rsidR="009558B6" w:rsidRPr="009558B6" w:rsidRDefault="009558B6" w:rsidP="009558B6">
            <w:pPr>
              <w:spacing w:line="240" w:lineRule="auto"/>
              <w:jc w:val="right"/>
              <w:rPr>
                <w:rFonts w:eastAsia="Times New Roman" w:cs="Calibri"/>
              </w:rPr>
            </w:pPr>
            <w:r w:rsidRPr="009558B6">
              <w:rPr>
                <w:rFonts w:eastAsia="Times New Roman" w:cs="Calibri"/>
              </w:rPr>
              <w:t>2024</w:t>
            </w:r>
          </w:p>
        </w:tc>
        <w:tc>
          <w:tcPr>
            <w:tcW w:w="1249" w:type="dxa"/>
            <w:tcBorders>
              <w:top w:val="nil"/>
              <w:left w:val="nil"/>
              <w:bottom w:val="single" w:sz="8" w:space="0" w:color="FFD966"/>
              <w:right w:val="single" w:sz="8" w:space="0" w:color="FFD966"/>
            </w:tcBorders>
            <w:shd w:val="clear" w:color="000000" w:fill="D9E1F2"/>
            <w:noWrap/>
            <w:vAlign w:val="center"/>
            <w:hideMark/>
          </w:tcPr>
          <w:p w14:paraId="496026CD" w14:textId="77777777" w:rsidR="009558B6" w:rsidRPr="009558B6" w:rsidRDefault="009558B6" w:rsidP="009558B6">
            <w:pPr>
              <w:spacing w:line="240" w:lineRule="auto"/>
              <w:jc w:val="right"/>
              <w:rPr>
                <w:rFonts w:eastAsia="Times New Roman" w:cs="Calibri"/>
              </w:rPr>
            </w:pPr>
            <w:r w:rsidRPr="009558B6">
              <w:rPr>
                <w:rFonts w:eastAsia="Times New Roman" w:cs="Calibri"/>
              </w:rPr>
              <w:t>2025</w:t>
            </w:r>
          </w:p>
        </w:tc>
        <w:tc>
          <w:tcPr>
            <w:tcW w:w="1249" w:type="dxa"/>
            <w:tcBorders>
              <w:top w:val="nil"/>
              <w:left w:val="nil"/>
              <w:bottom w:val="single" w:sz="8" w:space="0" w:color="FFD966"/>
              <w:right w:val="single" w:sz="8" w:space="0" w:color="FFD966"/>
            </w:tcBorders>
            <w:shd w:val="clear" w:color="000000" w:fill="D9E1F2"/>
            <w:noWrap/>
            <w:vAlign w:val="center"/>
            <w:hideMark/>
          </w:tcPr>
          <w:p w14:paraId="08BD5839" w14:textId="77777777" w:rsidR="009558B6" w:rsidRPr="009558B6" w:rsidRDefault="009558B6" w:rsidP="009558B6">
            <w:pPr>
              <w:spacing w:line="240" w:lineRule="auto"/>
              <w:jc w:val="right"/>
              <w:rPr>
                <w:rFonts w:eastAsia="Times New Roman" w:cs="Calibri"/>
              </w:rPr>
            </w:pPr>
            <w:r w:rsidRPr="009558B6">
              <w:rPr>
                <w:rFonts w:eastAsia="Times New Roman" w:cs="Calibri"/>
              </w:rPr>
              <w:t>2026</w:t>
            </w:r>
          </w:p>
        </w:tc>
        <w:tc>
          <w:tcPr>
            <w:tcW w:w="1249" w:type="dxa"/>
            <w:tcBorders>
              <w:top w:val="nil"/>
              <w:left w:val="nil"/>
              <w:bottom w:val="single" w:sz="8" w:space="0" w:color="FFD966"/>
              <w:right w:val="single" w:sz="8" w:space="0" w:color="FFD966"/>
            </w:tcBorders>
            <w:shd w:val="clear" w:color="000000" w:fill="D9E1F2"/>
            <w:noWrap/>
            <w:vAlign w:val="center"/>
            <w:hideMark/>
          </w:tcPr>
          <w:p w14:paraId="62EE3CB3" w14:textId="77777777" w:rsidR="009558B6" w:rsidRPr="009558B6" w:rsidRDefault="009558B6" w:rsidP="009558B6">
            <w:pPr>
              <w:spacing w:line="240" w:lineRule="auto"/>
              <w:jc w:val="right"/>
              <w:rPr>
                <w:rFonts w:eastAsia="Times New Roman" w:cs="Calibri"/>
              </w:rPr>
            </w:pPr>
            <w:r w:rsidRPr="009558B6">
              <w:rPr>
                <w:rFonts w:eastAsia="Times New Roman" w:cs="Calibri"/>
              </w:rPr>
              <w:t>2027</w:t>
            </w:r>
          </w:p>
        </w:tc>
        <w:tc>
          <w:tcPr>
            <w:tcW w:w="937" w:type="dxa"/>
            <w:tcBorders>
              <w:top w:val="nil"/>
              <w:left w:val="nil"/>
              <w:bottom w:val="single" w:sz="8" w:space="0" w:color="FFD966"/>
              <w:right w:val="single" w:sz="12" w:space="0" w:color="FFD966"/>
            </w:tcBorders>
            <w:shd w:val="clear" w:color="000000" w:fill="D9E1F2"/>
            <w:noWrap/>
            <w:vAlign w:val="center"/>
            <w:hideMark/>
          </w:tcPr>
          <w:p w14:paraId="689B8F7E" w14:textId="77777777" w:rsidR="009558B6" w:rsidRPr="009558B6" w:rsidRDefault="009558B6" w:rsidP="009558B6">
            <w:pPr>
              <w:spacing w:line="240" w:lineRule="auto"/>
              <w:jc w:val="right"/>
              <w:rPr>
                <w:rFonts w:eastAsia="Times New Roman" w:cs="Calibri"/>
                <w:b/>
                <w:bCs/>
                <w:i/>
                <w:iCs/>
              </w:rPr>
            </w:pPr>
            <w:r w:rsidRPr="009558B6">
              <w:rPr>
                <w:rFonts w:eastAsia="Times New Roman" w:cs="Calibri"/>
                <w:b/>
                <w:bCs/>
                <w:i/>
                <w:iCs/>
              </w:rPr>
              <w:t>Total</w:t>
            </w:r>
          </w:p>
        </w:tc>
      </w:tr>
      <w:tr w:rsidR="009558B6" w:rsidRPr="009558B6" w14:paraId="0C88779F" w14:textId="77777777" w:rsidTr="0063545A">
        <w:trPr>
          <w:trHeight w:val="426"/>
        </w:trPr>
        <w:tc>
          <w:tcPr>
            <w:tcW w:w="1019" w:type="dxa"/>
            <w:tcBorders>
              <w:top w:val="nil"/>
              <w:left w:val="single" w:sz="12" w:space="0" w:color="FFD966"/>
              <w:bottom w:val="single" w:sz="12" w:space="0" w:color="FFD966"/>
              <w:right w:val="single" w:sz="8" w:space="0" w:color="FFD966"/>
            </w:tcBorders>
            <w:shd w:val="clear" w:color="auto" w:fill="auto"/>
            <w:noWrap/>
            <w:vAlign w:val="center"/>
            <w:hideMark/>
          </w:tcPr>
          <w:p w14:paraId="5AD54428" w14:textId="77777777" w:rsidR="009558B6" w:rsidRPr="009558B6" w:rsidRDefault="009558B6" w:rsidP="009558B6">
            <w:pPr>
              <w:spacing w:line="240" w:lineRule="auto"/>
              <w:rPr>
                <w:rFonts w:eastAsia="Times New Roman" w:cs="Calibri"/>
                <w:b/>
                <w:bCs/>
                <w:i/>
                <w:iCs/>
                <w:color w:val="000000"/>
              </w:rPr>
            </w:pPr>
            <w:r w:rsidRPr="009558B6">
              <w:rPr>
                <w:rFonts w:eastAsia="Times New Roman" w:cs="Calibri"/>
                <w:b/>
                <w:bCs/>
                <w:i/>
                <w:iCs/>
                <w:color w:val="000000"/>
              </w:rPr>
              <w:t>Amount</w:t>
            </w:r>
          </w:p>
        </w:tc>
        <w:tc>
          <w:tcPr>
            <w:tcW w:w="1249" w:type="dxa"/>
            <w:tcBorders>
              <w:top w:val="nil"/>
              <w:left w:val="nil"/>
              <w:bottom w:val="single" w:sz="12" w:space="0" w:color="FFD966"/>
              <w:right w:val="single" w:sz="8" w:space="0" w:color="FFD966"/>
            </w:tcBorders>
            <w:shd w:val="clear" w:color="auto" w:fill="auto"/>
            <w:noWrap/>
            <w:vAlign w:val="center"/>
            <w:hideMark/>
          </w:tcPr>
          <w:p w14:paraId="42A4A52C"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$7,340,000 </w:t>
            </w:r>
          </w:p>
        </w:tc>
        <w:tc>
          <w:tcPr>
            <w:tcW w:w="1249" w:type="dxa"/>
            <w:tcBorders>
              <w:top w:val="nil"/>
              <w:left w:val="nil"/>
              <w:bottom w:val="single" w:sz="12" w:space="0" w:color="FFD966"/>
              <w:right w:val="single" w:sz="8" w:space="0" w:color="FFD966"/>
            </w:tcBorders>
            <w:shd w:val="clear" w:color="auto" w:fill="auto"/>
            <w:noWrap/>
            <w:vAlign w:val="center"/>
            <w:hideMark/>
          </w:tcPr>
          <w:p w14:paraId="41615F60"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$7,501,000 </w:t>
            </w:r>
          </w:p>
        </w:tc>
        <w:tc>
          <w:tcPr>
            <w:tcW w:w="1249" w:type="dxa"/>
            <w:tcBorders>
              <w:top w:val="nil"/>
              <w:left w:val="nil"/>
              <w:bottom w:val="single" w:sz="12" w:space="0" w:color="FFD966"/>
              <w:right w:val="single" w:sz="8" w:space="0" w:color="FFD966"/>
            </w:tcBorders>
            <w:shd w:val="clear" w:color="auto" w:fill="auto"/>
            <w:noWrap/>
            <w:vAlign w:val="center"/>
            <w:hideMark/>
          </w:tcPr>
          <w:p w14:paraId="4F94D046"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$7,667,000 </w:t>
            </w:r>
          </w:p>
        </w:tc>
        <w:tc>
          <w:tcPr>
            <w:tcW w:w="1249" w:type="dxa"/>
            <w:tcBorders>
              <w:top w:val="nil"/>
              <w:left w:val="nil"/>
              <w:bottom w:val="single" w:sz="12" w:space="0" w:color="FFD966"/>
              <w:right w:val="single" w:sz="8" w:space="0" w:color="FFD966"/>
            </w:tcBorders>
            <w:shd w:val="clear" w:color="auto" w:fill="auto"/>
            <w:noWrap/>
            <w:vAlign w:val="center"/>
            <w:hideMark/>
          </w:tcPr>
          <w:p w14:paraId="1B06E493"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$7,835,000 </w:t>
            </w:r>
          </w:p>
        </w:tc>
        <w:tc>
          <w:tcPr>
            <w:tcW w:w="1249" w:type="dxa"/>
            <w:tcBorders>
              <w:top w:val="nil"/>
              <w:left w:val="nil"/>
              <w:bottom w:val="single" w:sz="12" w:space="0" w:color="FFD966"/>
              <w:right w:val="single" w:sz="8" w:space="0" w:color="FFD966"/>
            </w:tcBorders>
            <w:shd w:val="clear" w:color="auto" w:fill="auto"/>
            <w:noWrap/>
            <w:vAlign w:val="center"/>
            <w:hideMark/>
          </w:tcPr>
          <w:p w14:paraId="727B9864"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$8,008,000 </w:t>
            </w:r>
          </w:p>
        </w:tc>
        <w:tc>
          <w:tcPr>
            <w:tcW w:w="1249" w:type="dxa"/>
            <w:tcBorders>
              <w:top w:val="nil"/>
              <w:left w:val="nil"/>
              <w:bottom w:val="single" w:sz="12" w:space="0" w:color="FFD966"/>
              <w:right w:val="single" w:sz="8" w:space="0" w:color="FFD966"/>
            </w:tcBorders>
            <w:shd w:val="clear" w:color="auto" w:fill="auto"/>
            <w:noWrap/>
            <w:vAlign w:val="center"/>
            <w:hideMark/>
          </w:tcPr>
          <w:p w14:paraId="0A922EFD"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$8,184,000 </w:t>
            </w:r>
          </w:p>
        </w:tc>
        <w:tc>
          <w:tcPr>
            <w:tcW w:w="937" w:type="dxa"/>
            <w:tcBorders>
              <w:top w:val="nil"/>
              <w:left w:val="nil"/>
              <w:bottom w:val="single" w:sz="12" w:space="0" w:color="FFD966"/>
              <w:right w:val="single" w:sz="12" w:space="0" w:color="FFD966"/>
            </w:tcBorders>
            <w:shd w:val="clear" w:color="auto" w:fill="auto"/>
            <w:noWrap/>
            <w:vAlign w:val="center"/>
            <w:hideMark/>
          </w:tcPr>
          <w:p w14:paraId="252160BA" w14:textId="77777777" w:rsidR="009558B6" w:rsidRPr="009558B6" w:rsidRDefault="009558B6" w:rsidP="009558B6">
            <w:pPr>
              <w:spacing w:line="240" w:lineRule="auto"/>
              <w:jc w:val="right"/>
              <w:rPr>
                <w:rFonts w:eastAsia="Times New Roman" w:cs="Calibri"/>
                <w:b/>
                <w:bCs/>
                <w:color w:val="000000"/>
              </w:rPr>
            </w:pPr>
            <w:r w:rsidRPr="009558B6">
              <w:rPr>
                <w:rFonts w:eastAsia="Times New Roman" w:cs="Calibri"/>
                <w:b/>
                <w:bCs/>
                <w:color w:val="000000"/>
              </w:rPr>
              <w:t xml:space="preserve">$46,534,000 </w:t>
            </w:r>
          </w:p>
        </w:tc>
      </w:tr>
    </w:tbl>
    <w:p w14:paraId="089472AD" w14:textId="77777777" w:rsidR="002058D8" w:rsidRDefault="002058D8" w:rsidP="00C10B4B">
      <w:pPr>
        <w:spacing w:line="257" w:lineRule="auto"/>
        <w:contextualSpacing/>
        <w:rPr>
          <w:rFonts w:eastAsia="Calibri" w:cs="Calibri"/>
          <w:b/>
        </w:rPr>
      </w:pPr>
    </w:p>
    <w:p w14:paraId="182D82C6" w14:textId="420016C3" w:rsidR="00C10B4B" w:rsidRPr="009015D2" w:rsidRDefault="00C10B4B" w:rsidP="003420B4">
      <w:pPr>
        <w:contextualSpacing/>
      </w:pPr>
      <w:r>
        <w:rPr>
          <w:rFonts w:eastAsia="Calibri" w:cs="Calibri"/>
          <w:b/>
        </w:rPr>
        <w:t>Strategy</w:t>
      </w:r>
      <w:r w:rsidRPr="00D03F1F">
        <w:rPr>
          <w:rFonts w:eastAsia="Calibri" w:cs="Calibri"/>
          <w:b/>
        </w:rPr>
        <w:t xml:space="preserve"> Description</w:t>
      </w:r>
      <w:r>
        <w:rPr>
          <w:rFonts w:eastAsia="Calibri" w:cs="Calibri"/>
          <w:b/>
        </w:rPr>
        <w:t>:</w:t>
      </w:r>
    </w:p>
    <w:p w14:paraId="24FEAACA" w14:textId="299B70A0" w:rsidR="00C10B4B" w:rsidRPr="00D03F1F" w:rsidRDefault="00C10B4B" w:rsidP="003420B4">
      <w:pPr>
        <w:pStyle w:val="NoSpacing"/>
        <w:spacing w:line="259" w:lineRule="auto"/>
        <w:contextualSpacing/>
        <w:rPr>
          <w:rFonts w:eastAsia="Calibri" w:cs="Calibri"/>
          <w:color w:val="000000" w:themeColor="text1"/>
        </w:rPr>
      </w:pPr>
      <w:r w:rsidRPr="2D017921">
        <w:rPr>
          <w:rFonts w:eastAsia="Calibri" w:cs="Calibri"/>
          <w:color w:val="000000" w:themeColor="text1"/>
        </w:rPr>
        <w:t xml:space="preserve">King County and Seattle Foundation </w:t>
      </w:r>
      <w:r w:rsidR="00B32B7A">
        <w:rPr>
          <w:rFonts w:eastAsia="Calibri" w:cs="Calibri"/>
          <w:color w:val="000000" w:themeColor="text1"/>
        </w:rPr>
        <w:t>partnered to create Communities of Opportunity in 2014</w:t>
      </w:r>
      <w:r w:rsidRPr="2D017921">
        <w:rPr>
          <w:rFonts w:eastAsia="Calibri" w:cs="Calibri"/>
          <w:color w:val="000000" w:themeColor="text1"/>
        </w:rPr>
        <w:t xml:space="preserve"> to improve health, social, economic, and racial outcomes by focusing on places, policies, and system changes. COO has become a network of residents, communities, decision-makers, and funders who believe every community can be a healthy, thriving community and that equity and racial justice are both necessary and achievable. </w:t>
      </w:r>
      <w:r w:rsidRPr="00354EFE">
        <w:rPr>
          <w:rFonts w:eastAsia="Calibri" w:cs="Calibri"/>
          <w:i/>
          <w:color w:val="000000" w:themeColor="text1"/>
        </w:rPr>
        <w:t>Best Starts</w:t>
      </w:r>
      <w:r w:rsidRPr="2D017921">
        <w:rPr>
          <w:rFonts w:eastAsia="Calibri" w:cs="Calibri"/>
          <w:color w:val="000000" w:themeColor="text1"/>
        </w:rPr>
        <w:t xml:space="preserve"> understands that the conditions in communities play an important role in contributing to healthy, thriving children and families.</w:t>
      </w:r>
    </w:p>
    <w:p w14:paraId="58EADE73" w14:textId="77777777" w:rsidR="00C10B4B" w:rsidRPr="00237937" w:rsidRDefault="00C10B4B" w:rsidP="00C10B4B">
      <w:pPr>
        <w:pStyle w:val="paragraph"/>
        <w:spacing w:beforeAutospacing="0" w:after="0" w:afterAutospacing="0"/>
        <w:rPr>
          <w:rFonts w:eastAsia="Calibri"/>
        </w:rPr>
      </w:pPr>
    </w:p>
    <w:p w14:paraId="4564BE2A" w14:textId="7739994C" w:rsidR="00C10B4B" w:rsidRDefault="00C10B4B" w:rsidP="00C10B4B">
      <w:pPr>
        <w:contextualSpacing/>
        <w:rPr>
          <w:rFonts w:eastAsia="Calibri" w:cs="Calibri"/>
          <w:color w:val="000000" w:themeColor="text1"/>
        </w:rPr>
      </w:pPr>
      <w:r w:rsidRPr="00D03F1F">
        <w:rPr>
          <w:rFonts w:eastAsia="Calibri" w:cs="Calibri"/>
          <w:color w:val="000000" w:themeColor="text1"/>
        </w:rPr>
        <w:t xml:space="preserve">COO strengthens and builds capacity of stakeholders who are working at </w:t>
      </w:r>
      <w:r w:rsidR="00566190">
        <w:rPr>
          <w:rFonts w:eastAsia="Calibri" w:cs="Calibri"/>
          <w:color w:val="000000" w:themeColor="text1"/>
        </w:rPr>
        <w:t>the</w:t>
      </w:r>
      <w:r w:rsidRPr="00D03F1F">
        <w:rPr>
          <w:rFonts w:eastAsia="Calibri" w:cs="Calibri"/>
          <w:color w:val="000000" w:themeColor="text1"/>
        </w:rPr>
        <w:t xml:space="preserve"> intersection of health, housing, economic resiliency, and community connections. </w:t>
      </w:r>
      <w:r>
        <w:rPr>
          <w:rFonts w:eastAsia="Calibri" w:cs="Calibri"/>
          <w:color w:val="000000" w:themeColor="text1"/>
        </w:rPr>
        <w:t xml:space="preserve">The theory of change is based on science and community input and reflects the COO approach. </w:t>
      </w:r>
      <w:r w:rsidRPr="00D03F1F">
        <w:rPr>
          <w:rFonts w:eastAsia="Calibri" w:cs="Calibri"/>
          <w:color w:val="000000" w:themeColor="text1"/>
        </w:rPr>
        <w:t xml:space="preserve">At the heart of </w:t>
      </w:r>
      <w:r w:rsidR="14F433E6" w:rsidRPr="630AB37F">
        <w:rPr>
          <w:rFonts w:eastAsia="Calibri" w:cs="Calibri"/>
          <w:color w:val="000000" w:themeColor="text1"/>
        </w:rPr>
        <w:t>COO</w:t>
      </w:r>
      <w:r w:rsidR="2E07A9B8" w:rsidRPr="630AB37F">
        <w:rPr>
          <w:rFonts w:eastAsia="Calibri" w:cs="Calibri"/>
          <w:color w:val="000000" w:themeColor="text1"/>
        </w:rPr>
        <w:t xml:space="preserve"> </w:t>
      </w:r>
      <w:r w:rsidRPr="00D03F1F">
        <w:rPr>
          <w:rFonts w:eastAsia="Calibri" w:cs="Calibri"/>
          <w:color w:val="000000" w:themeColor="text1"/>
        </w:rPr>
        <w:t>are three, mutually reinforcing strategie</w:t>
      </w:r>
      <w:r>
        <w:rPr>
          <w:rFonts w:eastAsia="Calibri" w:cs="Calibri"/>
          <w:color w:val="000000" w:themeColor="text1"/>
        </w:rPr>
        <w:t xml:space="preserve">s: </w:t>
      </w:r>
    </w:p>
    <w:p w14:paraId="66AB9236" w14:textId="77777777" w:rsidR="00C10B4B" w:rsidRDefault="00C10B4B" w:rsidP="00025030">
      <w:pPr>
        <w:pStyle w:val="ListParagraph"/>
        <w:numPr>
          <w:ilvl w:val="0"/>
          <w:numId w:val="74"/>
        </w:numPr>
        <w:tabs>
          <w:tab w:val="left" w:pos="720"/>
        </w:tabs>
        <w:ind w:left="720"/>
        <w:rPr>
          <w:color w:val="000000" w:themeColor="text1"/>
        </w:rPr>
      </w:pPr>
      <w:r>
        <w:rPr>
          <w:rFonts w:eastAsia="Calibri" w:cs="Calibri"/>
          <w:b/>
          <w:color w:val="000000" w:themeColor="text1"/>
        </w:rPr>
        <w:t>P</w:t>
      </w:r>
      <w:r w:rsidRPr="00D03F1F">
        <w:rPr>
          <w:rFonts w:eastAsia="Calibri" w:cs="Calibri"/>
          <w:b/>
          <w:color w:val="000000" w:themeColor="text1"/>
        </w:rPr>
        <w:t>artnerships in place-based and cultural communities</w:t>
      </w:r>
      <w:r>
        <w:rPr>
          <w:rFonts w:eastAsia="Calibri" w:cs="Calibri"/>
          <w:color w:val="000000" w:themeColor="text1"/>
        </w:rPr>
        <w:t xml:space="preserve">: </w:t>
      </w:r>
      <w:r w:rsidRPr="00D03F1F">
        <w:rPr>
          <w:rFonts w:eastAsia="Calibri" w:cs="Calibri"/>
          <w:color w:val="000000" w:themeColor="text1"/>
        </w:rPr>
        <w:t xml:space="preserve">Supporting local solutions </w:t>
      </w:r>
      <w:r>
        <w:rPr>
          <w:rFonts w:eastAsia="Calibri" w:cs="Calibri"/>
          <w:color w:val="000000" w:themeColor="text1"/>
        </w:rPr>
        <w:t xml:space="preserve">in community. </w:t>
      </w:r>
    </w:p>
    <w:p w14:paraId="5F14FC94" w14:textId="77777777" w:rsidR="00C10B4B" w:rsidRDefault="00C10B4B" w:rsidP="00025030">
      <w:pPr>
        <w:pStyle w:val="ListParagraph"/>
        <w:numPr>
          <w:ilvl w:val="0"/>
          <w:numId w:val="74"/>
        </w:numPr>
        <w:tabs>
          <w:tab w:val="left" w:pos="720"/>
        </w:tabs>
        <w:ind w:left="720"/>
        <w:rPr>
          <w:color w:val="000000" w:themeColor="text1"/>
        </w:rPr>
      </w:pPr>
      <w:r>
        <w:rPr>
          <w:rFonts w:eastAsia="Calibri" w:cs="Calibri"/>
          <w:b/>
          <w:color w:val="000000" w:themeColor="text1"/>
        </w:rPr>
        <w:t>P</w:t>
      </w:r>
      <w:r w:rsidRPr="00D03F1F">
        <w:rPr>
          <w:rFonts w:eastAsia="Calibri" w:cs="Calibri"/>
          <w:b/>
          <w:color w:val="000000" w:themeColor="text1"/>
        </w:rPr>
        <w:t>olicies and systems change</w:t>
      </w:r>
      <w:r>
        <w:rPr>
          <w:rFonts w:eastAsia="Calibri" w:cs="Calibri"/>
          <w:b/>
          <w:color w:val="000000" w:themeColor="text1"/>
        </w:rPr>
        <w:t>:</w:t>
      </w:r>
      <w:r w:rsidRPr="00D03F1F">
        <w:rPr>
          <w:rFonts w:eastAsia="Calibri" w:cs="Calibri"/>
          <w:color w:val="000000" w:themeColor="text1"/>
        </w:rPr>
        <w:t xml:space="preserve"> </w:t>
      </w:r>
      <w:r>
        <w:rPr>
          <w:rFonts w:eastAsia="Calibri" w:cs="Calibri"/>
          <w:color w:val="000000" w:themeColor="text1"/>
        </w:rPr>
        <w:t>C</w:t>
      </w:r>
      <w:r w:rsidRPr="00D03F1F">
        <w:rPr>
          <w:rFonts w:eastAsia="Calibri" w:cs="Calibri"/>
          <w:color w:val="000000" w:themeColor="text1"/>
        </w:rPr>
        <w:t>reat</w:t>
      </w:r>
      <w:r>
        <w:rPr>
          <w:rFonts w:eastAsia="Calibri" w:cs="Calibri"/>
          <w:color w:val="000000" w:themeColor="text1"/>
        </w:rPr>
        <w:t>ing</w:t>
      </w:r>
      <w:r w:rsidRPr="00D03F1F">
        <w:rPr>
          <w:rFonts w:eastAsia="Calibri" w:cs="Calibri"/>
          <w:color w:val="000000" w:themeColor="text1"/>
        </w:rPr>
        <w:t xml:space="preserve"> and sustain</w:t>
      </w:r>
      <w:r>
        <w:rPr>
          <w:rFonts w:eastAsia="Calibri" w:cs="Calibri"/>
          <w:color w:val="000000" w:themeColor="text1"/>
        </w:rPr>
        <w:t>ing</w:t>
      </w:r>
      <w:r w:rsidRPr="00D03F1F">
        <w:rPr>
          <w:rFonts w:eastAsia="Calibri" w:cs="Calibri"/>
          <w:color w:val="000000" w:themeColor="text1"/>
        </w:rPr>
        <w:t xml:space="preserve"> equity </w:t>
      </w:r>
      <w:r>
        <w:rPr>
          <w:rFonts w:eastAsia="Calibri" w:cs="Calibri"/>
          <w:color w:val="000000" w:themeColor="text1"/>
        </w:rPr>
        <w:t>through e</w:t>
      </w:r>
      <w:r w:rsidRPr="00D03F1F">
        <w:rPr>
          <w:rFonts w:eastAsia="Calibri" w:cs="Calibri"/>
          <w:color w:val="000000" w:themeColor="text1"/>
        </w:rPr>
        <w:t xml:space="preserve">ducating and advocating </w:t>
      </w:r>
      <w:r>
        <w:rPr>
          <w:rFonts w:eastAsia="Calibri" w:cs="Calibri"/>
          <w:color w:val="000000" w:themeColor="text1"/>
        </w:rPr>
        <w:t xml:space="preserve">change. </w:t>
      </w:r>
    </w:p>
    <w:p w14:paraId="432AA73C" w14:textId="77777777" w:rsidR="00C10B4B" w:rsidRPr="0035069F" w:rsidRDefault="00C10B4B" w:rsidP="00025030">
      <w:pPr>
        <w:pStyle w:val="ListParagraph"/>
        <w:numPr>
          <w:ilvl w:val="0"/>
          <w:numId w:val="74"/>
        </w:numPr>
        <w:tabs>
          <w:tab w:val="left" w:pos="720"/>
        </w:tabs>
        <w:ind w:left="720"/>
        <w:rPr>
          <w:color w:val="000000" w:themeColor="text1"/>
        </w:rPr>
      </w:pPr>
      <w:r w:rsidRPr="003A058D">
        <w:rPr>
          <w:rFonts w:eastAsia="Calibri" w:cs="Calibri"/>
          <w:b/>
          <w:bCs/>
          <w:color w:val="000000" w:themeColor="text1"/>
        </w:rPr>
        <w:t>Capacity building in community-based groups</w:t>
      </w:r>
      <w:r>
        <w:rPr>
          <w:rFonts w:eastAsia="Calibri" w:cs="Calibri"/>
          <w:b/>
          <w:bCs/>
          <w:color w:val="000000" w:themeColor="text1"/>
        </w:rPr>
        <w:t>:</w:t>
      </w:r>
      <w:r w:rsidRPr="00D03F1F">
        <w:rPr>
          <w:rFonts w:eastAsia="Calibri" w:cs="Calibri"/>
          <w:color w:val="000000" w:themeColor="text1"/>
        </w:rPr>
        <w:t xml:space="preserve"> </w:t>
      </w:r>
      <w:r>
        <w:rPr>
          <w:rFonts w:eastAsia="Calibri" w:cs="Calibri"/>
          <w:color w:val="000000" w:themeColor="text1"/>
        </w:rPr>
        <w:t>T</w:t>
      </w:r>
      <w:r w:rsidRPr="00D03F1F">
        <w:rPr>
          <w:rFonts w:eastAsia="Calibri" w:cs="Calibri"/>
          <w:color w:val="000000" w:themeColor="text1"/>
        </w:rPr>
        <w:t xml:space="preserve">esting innovative models in a learning community, </w:t>
      </w:r>
      <w:r>
        <w:rPr>
          <w:rFonts w:eastAsia="Calibri" w:cs="Calibri"/>
          <w:color w:val="000000" w:themeColor="text1"/>
        </w:rPr>
        <w:t xml:space="preserve">while </w:t>
      </w:r>
      <w:r w:rsidRPr="00D03F1F">
        <w:rPr>
          <w:rFonts w:eastAsia="Calibri" w:cs="Calibri"/>
          <w:color w:val="000000" w:themeColor="text1"/>
        </w:rPr>
        <w:t>leverag</w:t>
      </w:r>
      <w:r>
        <w:rPr>
          <w:rFonts w:eastAsia="Calibri" w:cs="Calibri"/>
          <w:color w:val="000000" w:themeColor="text1"/>
        </w:rPr>
        <w:t>ing</w:t>
      </w:r>
      <w:r w:rsidRPr="00D03F1F">
        <w:rPr>
          <w:rFonts w:eastAsia="Calibri" w:cs="Calibri"/>
          <w:color w:val="000000" w:themeColor="text1"/>
        </w:rPr>
        <w:t xml:space="preserve"> the power of collective knowledge to accelerate change.</w:t>
      </w:r>
    </w:p>
    <w:p w14:paraId="0F951A12" w14:textId="77777777" w:rsidR="00FA2FE6" w:rsidRPr="0035069F" w:rsidRDefault="00FA2FE6" w:rsidP="00A63D01">
      <w:pPr>
        <w:pStyle w:val="ListParagraph"/>
        <w:ind w:left="1080"/>
        <w:rPr>
          <w:color w:val="000000" w:themeColor="text1"/>
        </w:rPr>
      </w:pPr>
    </w:p>
    <w:p w14:paraId="565E9119" w14:textId="4B3C859D" w:rsidR="00C10B4B" w:rsidRPr="00A63D01" w:rsidRDefault="00C10B4B" w:rsidP="00C10B4B">
      <w:pPr>
        <w:rPr>
          <w:rFonts w:eastAsia="Calibri" w:cs="Calibri"/>
          <w:color w:val="000000" w:themeColor="text1"/>
        </w:rPr>
      </w:pPr>
      <w:r w:rsidRPr="00A63D01">
        <w:rPr>
          <w:rFonts w:eastAsia="Calibri" w:cs="Calibri"/>
          <w:color w:val="000000" w:themeColor="text1"/>
        </w:rPr>
        <w:t>COO works to secure additional funding sources to its program strategies; thus, it is important to retain flexibility in allocating amounts to the program areas. In addition, COO works in an adaptive model to develop community-centered innovations. Such adaptive work need</w:t>
      </w:r>
      <w:r w:rsidR="002D4A0F">
        <w:rPr>
          <w:rFonts w:eastAsia="Calibri" w:cs="Calibri"/>
          <w:color w:val="000000" w:themeColor="text1"/>
        </w:rPr>
        <w:t>s</w:t>
      </w:r>
      <w:r w:rsidRPr="00A63D01">
        <w:rPr>
          <w:rFonts w:eastAsia="Calibri" w:cs="Calibri"/>
          <w:color w:val="000000" w:themeColor="text1"/>
        </w:rPr>
        <w:t xml:space="preserve"> flexibility in investment areas as learning progresses, and as needs for specific types of investment may vary in a given year</w:t>
      </w:r>
      <w:r w:rsidR="00762B32">
        <w:rPr>
          <w:rFonts w:eastAsia="Calibri" w:cs="Calibri"/>
          <w:color w:val="000000" w:themeColor="text1"/>
        </w:rPr>
        <w:t>.</w:t>
      </w:r>
      <w:r w:rsidR="00791013">
        <w:rPr>
          <w:rFonts w:eastAsia="Calibri" w:cs="Calibri"/>
          <w:color w:val="000000" w:themeColor="text1"/>
        </w:rPr>
        <w:t xml:space="preserve"> </w:t>
      </w:r>
      <w:r w:rsidRPr="00A63D01">
        <w:rPr>
          <w:rFonts w:eastAsia="Calibri" w:cs="Calibri"/>
          <w:color w:val="000000" w:themeColor="text1"/>
        </w:rPr>
        <w:t xml:space="preserve">Each program strategy below includes an estimated funding range, expressed as a percentage of the total </w:t>
      </w:r>
      <w:r w:rsidRPr="00A63D01">
        <w:rPr>
          <w:rFonts w:eastAsia="Calibri" w:cs="Calibri"/>
          <w:color w:val="000000" w:themeColor="text1"/>
        </w:rPr>
        <w:lastRenderedPageBreak/>
        <w:t>COO funding. COO Governance Group</w:t>
      </w:r>
      <w:r w:rsidR="0071487D">
        <w:rPr>
          <w:rStyle w:val="FootnoteReference"/>
          <w:rFonts w:eastAsia="Calibri" w:cs="Calibri"/>
          <w:color w:val="000000" w:themeColor="text1"/>
        </w:rPr>
        <w:footnoteReference w:id="199"/>
      </w:r>
      <w:r w:rsidRPr="00A63D01">
        <w:rPr>
          <w:rFonts w:eastAsia="Calibri" w:cs="Calibri"/>
          <w:color w:val="000000" w:themeColor="text1"/>
        </w:rPr>
        <w:t xml:space="preserve"> will determine funding levels for these strategy areas over the life of the levy and ensure that the sum of percentages allocated to the three strategies equals 100</w:t>
      </w:r>
      <w:r w:rsidR="00B7244A">
        <w:rPr>
          <w:rFonts w:eastAsia="Calibri" w:cs="Calibri"/>
          <w:color w:val="000000" w:themeColor="text1"/>
        </w:rPr>
        <w:t xml:space="preserve"> percent</w:t>
      </w:r>
      <w:r w:rsidRPr="00A63D01">
        <w:rPr>
          <w:rFonts w:eastAsia="Calibri" w:cs="Calibri"/>
          <w:color w:val="000000" w:themeColor="text1"/>
        </w:rPr>
        <w:t xml:space="preserve"> of contract funding.</w:t>
      </w:r>
    </w:p>
    <w:p w14:paraId="04F13FEE" w14:textId="77777777" w:rsidR="00C10B4B" w:rsidRDefault="00C10B4B" w:rsidP="00C10B4B"/>
    <w:tbl>
      <w:tblPr>
        <w:tblStyle w:val="TableGrid"/>
        <w:tblW w:w="9360" w:type="dxa"/>
        <w:tblInd w:w="-30" w:type="dxa"/>
        <w:tblLook w:val="04A0" w:firstRow="1" w:lastRow="0" w:firstColumn="1" w:lastColumn="0" w:noHBand="0" w:noVBand="1"/>
      </w:tblPr>
      <w:tblGrid>
        <w:gridCol w:w="9360"/>
      </w:tblGrid>
      <w:tr w:rsidR="00F369DB" w:rsidRPr="001E43C1" w14:paraId="28F697EB" w14:textId="77777777" w:rsidTr="00C015A4">
        <w:tc>
          <w:tcPr>
            <w:tcW w:w="936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62E4AC1" w14:textId="77777777" w:rsidR="00C10B4B" w:rsidRPr="001E43C1" w:rsidRDefault="00C10B4B" w:rsidP="00C015A4">
            <w:pPr>
              <w:contextualSpacing/>
              <w:rPr>
                <w:rFonts w:cs="Calibri"/>
              </w:rPr>
            </w:pPr>
            <w:r>
              <w:rPr>
                <w:rFonts w:eastAsiaTheme="majorEastAsia" w:cs="Calibri"/>
                <w:b/>
              </w:rPr>
              <w:t>Place-based and Cultural Community Partnerships</w:t>
            </w:r>
          </w:p>
        </w:tc>
      </w:tr>
    </w:tbl>
    <w:p w14:paraId="172EE8FE" w14:textId="18C6D5EF" w:rsidR="00C10B4B" w:rsidRDefault="00C10B4B" w:rsidP="00C10B4B">
      <w:pPr>
        <w:spacing w:line="257" w:lineRule="auto"/>
        <w:contextualSpacing/>
        <w:rPr>
          <w:rFonts w:eastAsia="Calibri" w:cs="Calibri"/>
        </w:rPr>
      </w:pPr>
      <w:r>
        <w:rPr>
          <w:rFonts w:eastAsia="Calibri" w:cs="Calibri"/>
          <w:b/>
        </w:rPr>
        <w:t xml:space="preserve">Estimated Funding:  </w:t>
      </w:r>
      <w:r w:rsidRPr="00A756F8">
        <w:rPr>
          <w:rFonts w:eastAsia="Calibri" w:cs="Calibri"/>
        </w:rPr>
        <w:t>45</w:t>
      </w:r>
      <w:r w:rsidR="00B7244A">
        <w:rPr>
          <w:rFonts w:eastAsia="Calibri" w:cs="Calibri"/>
        </w:rPr>
        <w:t xml:space="preserve"> percent</w:t>
      </w:r>
      <w:r w:rsidRPr="00A756F8">
        <w:rPr>
          <w:rFonts w:eastAsia="Calibri" w:cs="Calibri"/>
        </w:rPr>
        <w:t xml:space="preserve"> to 50</w:t>
      </w:r>
      <w:r w:rsidR="00B7244A">
        <w:rPr>
          <w:rFonts w:eastAsia="Calibri" w:cs="Calibri"/>
        </w:rPr>
        <w:t xml:space="preserve"> percent</w:t>
      </w:r>
      <w:r>
        <w:rPr>
          <w:rFonts w:eastAsia="Calibri" w:cs="Calibri"/>
          <w:b/>
        </w:rPr>
        <w:t xml:space="preserve"> </w:t>
      </w:r>
      <w:r w:rsidR="002D4A0F">
        <w:rPr>
          <w:rFonts w:eastAsia="Calibri" w:cs="Calibri"/>
          <w:bCs/>
        </w:rPr>
        <w:t xml:space="preserve">of </w:t>
      </w:r>
      <w:r w:rsidR="00CC201C">
        <w:rPr>
          <w:rFonts w:eastAsia="Calibri" w:cs="Calibri"/>
          <w:bCs/>
        </w:rPr>
        <w:t xml:space="preserve">total </w:t>
      </w:r>
      <w:r w:rsidR="00EA3A7C">
        <w:rPr>
          <w:rFonts w:eastAsia="Calibri" w:cs="Calibri"/>
          <w:bCs/>
        </w:rPr>
        <w:t>COO</w:t>
      </w:r>
      <w:r w:rsidR="00CC201C">
        <w:rPr>
          <w:rFonts w:eastAsia="Calibri" w:cs="Calibri"/>
          <w:bCs/>
        </w:rPr>
        <w:t xml:space="preserve"> funding</w:t>
      </w:r>
      <w:r w:rsidR="00BA7672">
        <w:rPr>
          <w:rFonts w:eastAsia="Calibri" w:cs="Calibri"/>
          <w:bCs/>
        </w:rPr>
        <w:t>.</w:t>
      </w:r>
    </w:p>
    <w:p w14:paraId="3234EE66" w14:textId="77777777" w:rsidR="00BB0F2D" w:rsidRDefault="00BB0F2D" w:rsidP="00C10B4B">
      <w:pPr>
        <w:spacing w:line="257" w:lineRule="auto"/>
        <w:contextualSpacing/>
        <w:rPr>
          <w:rFonts w:eastAsia="Calibri" w:cs="Calibri"/>
          <w:b/>
          <w:bCs/>
        </w:rPr>
      </w:pPr>
    </w:p>
    <w:p w14:paraId="7DAD0AD9" w14:textId="053DAE82" w:rsidR="00C10B4B" w:rsidRPr="0035069F" w:rsidRDefault="00C10B4B" w:rsidP="003420B4">
      <w:pPr>
        <w:contextualSpacing/>
        <w:rPr>
          <w:color w:val="000000" w:themeColor="text1"/>
        </w:rPr>
      </w:pPr>
      <w:r w:rsidRPr="00D03F1F">
        <w:rPr>
          <w:rFonts w:eastAsia="Calibri" w:cs="Calibri"/>
          <w:b/>
        </w:rPr>
        <w:t>Program Description</w:t>
      </w:r>
      <w:r>
        <w:rPr>
          <w:rFonts w:eastAsia="Calibri" w:cs="Calibri"/>
          <w:b/>
        </w:rPr>
        <w:t>:</w:t>
      </w:r>
      <w:r>
        <w:rPr>
          <w:rFonts w:eastAsia="Calibri" w:cs="Calibri"/>
          <w:color w:val="000000" w:themeColor="text1"/>
        </w:rPr>
        <w:t xml:space="preserve"> </w:t>
      </w:r>
      <w:r w:rsidRPr="0035069F">
        <w:rPr>
          <w:rFonts w:eastAsia="Calibri" w:cs="Calibri"/>
          <w:color w:val="000000" w:themeColor="text1"/>
        </w:rPr>
        <w:t xml:space="preserve"> </w:t>
      </w:r>
      <w:r w:rsidRPr="00354EFE">
        <w:rPr>
          <w:rFonts w:eastAsia="Calibri" w:cs="Calibri"/>
          <w:i/>
          <w:color w:val="000000" w:themeColor="text1"/>
        </w:rPr>
        <w:t>Best Starts</w:t>
      </w:r>
      <w:r w:rsidR="00FC0350">
        <w:rPr>
          <w:rFonts w:eastAsia="Calibri" w:cs="Calibri"/>
          <w:i/>
          <w:color w:val="000000" w:themeColor="text1"/>
        </w:rPr>
        <w:t xml:space="preserve">’ </w:t>
      </w:r>
      <w:r w:rsidR="00FC0350">
        <w:rPr>
          <w:rFonts w:eastAsia="Calibri" w:cs="Calibri"/>
          <w:iCs/>
          <w:color w:val="000000" w:themeColor="text1"/>
        </w:rPr>
        <w:t>COO</w:t>
      </w:r>
      <w:r w:rsidRPr="0035069F">
        <w:rPr>
          <w:rFonts w:eastAsia="Calibri" w:cs="Calibri"/>
          <w:color w:val="000000" w:themeColor="text1"/>
        </w:rPr>
        <w:t xml:space="preserve"> funding will support coalitions and collaborative partnerships led by and for the communities they are representing. These partnerships </w:t>
      </w:r>
      <w:r>
        <w:rPr>
          <w:rFonts w:eastAsia="Calibri" w:cs="Calibri"/>
          <w:color w:val="000000" w:themeColor="text1"/>
        </w:rPr>
        <w:t>will have</w:t>
      </w:r>
      <w:r w:rsidRPr="0035069F">
        <w:rPr>
          <w:rFonts w:eastAsia="Calibri" w:cs="Calibri"/>
          <w:color w:val="000000" w:themeColor="text1"/>
        </w:rPr>
        <w:t xml:space="preserve"> a shared vision and implement projects that </w:t>
      </w:r>
      <w:r>
        <w:rPr>
          <w:rFonts w:eastAsia="Calibri" w:cs="Calibri"/>
          <w:color w:val="000000" w:themeColor="text1"/>
        </w:rPr>
        <w:t>focus on the</w:t>
      </w:r>
      <w:r w:rsidRPr="0035069F">
        <w:rPr>
          <w:rFonts w:eastAsia="Calibri" w:cs="Calibri"/>
          <w:color w:val="000000" w:themeColor="text1"/>
        </w:rPr>
        <w:t xml:space="preserve"> intersection of health, housing, economic opportunity, and community connections</w:t>
      </w:r>
      <w:r w:rsidR="00EA0E47">
        <w:rPr>
          <w:rFonts w:eastAsia="Calibri" w:cs="Calibri"/>
          <w:color w:val="000000" w:themeColor="text1"/>
        </w:rPr>
        <w:t>.</w:t>
      </w:r>
      <w:r w:rsidR="00791013">
        <w:rPr>
          <w:rFonts w:eastAsia="Calibri" w:cs="Calibri"/>
          <w:color w:val="000000" w:themeColor="text1"/>
        </w:rPr>
        <w:t xml:space="preserve"> </w:t>
      </w:r>
      <w:r>
        <w:rPr>
          <w:rFonts w:eastAsia="Calibri" w:cs="Calibri"/>
          <w:color w:val="000000" w:themeColor="text1"/>
        </w:rPr>
        <w:t>Ultimately, the aim is to close gaps by race and by place.</w:t>
      </w:r>
      <w:r w:rsidRPr="00432350">
        <w:rPr>
          <w:rFonts w:eastAsia="Calibri" w:cs="Calibri"/>
          <w:color w:val="000000" w:themeColor="text1"/>
        </w:rPr>
        <w:t xml:space="preserve"> </w:t>
      </w:r>
      <w:r>
        <w:rPr>
          <w:rFonts w:eastAsia="Calibri" w:cs="Calibri"/>
          <w:color w:val="000000" w:themeColor="text1"/>
        </w:rPr>
        <w:t>COO partnership work align</w:t>
      </w:r>
      <w:r w:rsidR="00325954">
        <w:rPr>
          <w:rFonts w:eastAsia="Calibri" w:cs="Calibri"/>
          <w:color w:val="000000" w:themeColor="text1"/>
        </w:rPr>
        <w:t>s</w:t>
      </w:r>
      <w:r>
        <w:rPr>
          <w:rFonts w:eastAsia="Calibri" w:cs="Calibri"/>
          <w:color w:val="000000" w:themeColor="text1"/>
        </w:rPr>
        <w:t xml:space="preserve"> with and complement</w:t>
      </w:r>
      <w:r w:rsidR="00325954">
        <w:rPr>
          <w:rFonts w:eastAsia="Calibri" w:cs="Calibri"/>
          <w:color w:val="000000" w:themeColor="text1"/>
        </w:rPr>
        <w:t>s</w:t>
      </w:r>
      <w:r>
        <w:rPr>
          <w:rFonts w:eastAsia="Calibri" w:cs="Calibri"/>
          <w:color w:val="000000" w:themeColor="text1"/>
        </w:rPr>
        <w:t xml:space="preserve"> COO</w:t>
      </w:r>
      <w:r w:rsidR="00DE0A25">
        <w:rPr>
          <w:rFonts w:eastAsia="Calibri" w:cs="Calibri"/>
          <w:color w:val="000000" w:themeColor="text1"/>
        </w:rPr>
        <w:t>’s separately funded</w:t>
      </w:r>
      <w:r>
        <w:rPr>
          <w:rFonts w:eastAsia="Calibri" w:cs="Calibri"/>
          <w:color w:val="000000" w:themeColor="text1"/>
        </w:rPr>
        <w:t xml:space="preserve"> systems and policy change projects. </w:t>
      </w:r>
    </w:p>
    <w:p w14:paraId="728617F9" w14:textId="77777777" w:rsidR="00C10B4B" w:rsidRDefault="00C10B4B" w:rsidP="00C10B4B">
      <w:pPr>
        <w:contextualSpacing/>
        <w:rPr>
          <w:rFonts w:eastAsia="Calibri" w:cs="Calibri"/>
          <w:color w:val="000000" w:themeColor="text1"/>
        </w:rPr>
      </w:pPr>
    </w:p>
    <w:p w14:paraId="1D529017" w14:textId="3719ED58" w:rsidR="00C10B4B" w:rsidRDefault="00C10B4B" w:rsidP="00C10B4B">
      <w:pPr>
        <w:contextualSpacing/>
        <w:rPr>
          <w:rFonts w:eastAsia="Calibri" w:cs="Calibri"/>
          <w:color w:val="000000" w:themeColor="text1"/>
        </w:rPr>
      </w:pPr>
      <w:r w:rsidRPr="00D22128">
        <w:rPr>
          <w:rFonts w:eastAsia="Calibri" w:cs="Calibri"/>
          <w:color w:val="000000" w:themeColor="text1"/>
        </w:rPr>
        <w:t xml:space="preserve">COO </w:t>
      </w:r>
      <w:r>
        <w:rPr>
          <w:rFonts w:eastAsia="Calibri" w:cs="Calibri"/>
          <w:color w:val="000000" w:themeColor="text1"/>
        </w:rPr>
        <w:t>will make</w:t>
      </w:r>
      <w:r w:rsidRPr="45178707">
        <w:rPr>
          <w:rFonts w:eastAsia="Calibri" w:cs="Calibri"/>
          <w:color w:val="000000" w:themeColor="text1"/>
        </w:rPr>
        <w:t xml:space="preserve"> multi-year funding commitments for partnerships that </w:t>
      </w:r>
      <w:r w:rsidR="00271D74">
        <w:rPr>
          <w:rFonts w:eastAsia="Calibri" w:cs="Calibri"/>
          <w:color w:val="000000" w:themeColor="text1"/>
        </w:rPr>
        <w:t>represent</w:t>
      </w:r>
      <w:r w:rsidRPr="45178707">
        <w:rPr>
          <w:rFonts w:eastAsia="Calibri" w:cs="Calibri"/>
          <w:color w:val="000000" w:themeColor="text1"/>
        </w:rPr>
        <w:t>:</w:t>
      </w:r>
    </w:p>
    <w:p w14:paraId="036E73BD" w14:textId="4F808562" w:rsidR="00C10B4B" w:rsidRPr="0035069F" w:rsidRDefault="00C10B4B" w:rsidP="00025030">
      <w:pPr>
        <w:pStyle w:val="ListParagraph"/>
        <w:numPr>
          <w:ilvl w:val="0"/>
          <w:numId w:val="39"/>
        </w:numPr>
        <w:contextualSpacing w:val="0"/>
        <w:rPr>
          <w:rFonts w:asciiTheme="minorHAnsi" w:eastAsiaTheme="minorEastAsia" w:hAnsiTheme="minorHAnsi"/>
          <w:color w:val="000000" w:themeColor="text1"/>
        </w:rPr>
      </w:pPr>
      <w:r w:rsidRPr="0035069F">
        <w:rPr>
          <w:rFonts w:eastAsia="Calibri" w:cs="Calibri"/>
          <w:b/>
          <w:bCs/>
          <w:color w:val="000000" w:themeColor="text1"/>
        </w:rPr>
        <w:t xml:space="preserve">Cultural and identity-based communities </w:t>
      </w:r>
      <w:r w:rsidRPr="0035069F">
        <w:rPr>
          <w:rFonts w:eastAsia="Calibri" w:cs="Calibri"/>
          <w:color w:val="000000" w:themeColor="text1"/>
        </w:rPr>
        <w:t xml:space="preserve">who are most adversely impacted by health, social, economic, and racial inequities. COO seeks to support solutions that positively impact conditions, particularly in Black, Indigenous, and other communities of color, and among people with low-incomes, immigrant and refugee communities, people living with disabilities, </w:t>
      </w:r>
      <w:r w:rsidR="005F19D3">
        <w:rPr>
          <w:rFonts w:eastAsia="Calibri" w:cs="Calibri"/>
          <w:color w:val="000000" w:themeColor="text1"/>
        </w:rPr>
        <w:t xml:space="preserve">and </w:t>
      </w:r>
      <w:r w:rsidRPr="0035069F">
        <w:rPr>
          <w:rFonts w:eastAsia="Calibri" w:cs="Calibri"/>
          <w:color w:val="000000" w:themeColor="text1"/>
        </w:rPr>
        <w:t xml:space="preserve">nongender conforming communities. </w:t>
      </w:r>
    </w:p>
    <w:p w14:paraId="3F5AC1AC" w14:textId="06140344" w:rsidR="00C10B4B" w:rsidRPr="0035069F" w:rsidRDefault="00C10B4B" w:rsidP="00025030">
      <w:pPr>
        <w:pStyle w:val="ListParagraph"/>
        <w:numPr>
          <w:ilvl w:val="0"/>
          <w:numId w:val="39"/>
        </w:numPr>
        <w:contextualSpacing w:val="0"/>
        <w:rPr>
          <w:rFonts w:eastAsia="Calibri" w:cs="Calibri"/>
          <w:color w:val="000000" w:themeColor="text1"/>
        </w:rPr>
      </w:pPr>
      <w:bookmarkStart w:id="84" w:name="_Hlk73018102"/>
      <w:r w:rsidRPr="0035069F">
        <w:rPr>
          <w:rFonts w:eastAsia="Calibri" w:cs="Calibri"/>
          <w:b/>
          <w:bCs/>
          <w:color w:val="000000" w:themeColor="text1"/>
        </w:rPr>
        <w:t xml:space="preserve">Place-based communities </w:t>
      </w:r>
      <w:r w:rsidRPr="0035069F">
        <w:rPr>
          <w:rFonts w:eastAsia="Calibri" w:cs="Calibri"/>
          <w:color w:val="000000" w:themeColor="text1"/>
        </w:rPr>
        <w:t xml:space="preserve">where there </w:t>
      </w:r>
      <w:r w:rsidR="004035EE">
        <w:rPr>
          <w:rFonts w:eastAsia="Calibri" w:cs="Calibri"/>
          <w:color w:val="000000" w:themeColor="text1"/>
        </w:rPr>
        <w:t>is</w:t>
      </w:r>
      <w:r w:rsidRPr="0035069F">
        <w:rPr>
          <w:rFonts w:eastAsia="Calibri" w:cs="Calibri"/>
          <w:color w:val="000000" w:themeColor="text1"/>
        </w:rPr>
        <w:t xml:space="preserve"> a confluence of indicators pointing to the most disparate health and well-being outcomes in King County. Priority </w:t>
      </w:r>
      <w:r w:rsidR="0090461D">
        <w:rPr>
          <w:rFonts w:eastAsia="Calibri" w:cs="Calibri"/>
          <w:color w:val="000000" w:themeColor="text1"/>
        </w:rPr>
        <w:t>is given to</w:t>
      </w:r>
      <w:r w:rsidRPr="0035069F">
        <w:rPr>
          <w:rFonts w:eastAsia="Calibri" w:cs="Calibri"/>
          <w:color w:val="000000" w:themeColor="text1"/>
        </w:rPr>
        <w:t xml:space="preserve"> communities ranking in the lowest</w:t>
      </w:r>
      <w:r w:rsidRPr="0035069F">
        <w:rPr>
          <w:rFonts w:eastAsia="Calibri" w:cs="Calibri"/>
          <w:i/>
          <w:iCs/>
          <w:color w:val="000000" w:themeColor="text1"/>
        </w:rPr>
        <w:t xml:space="preserve"> quintile for health and well-being.</w:t>
      </w:r>
      <w:r w:rsidRPr="0035069F">
        <w:rPr>
          <w:rFonts w:eastAsia="Calibri" w:cs="Calibri"/>
          <w:color w:val="000000" w:themeColor="text1"/>
        </w:rPr>
        <w:t xml:space="preserve"> These areas </w:t>
      </w:r>
      <w:r w:rsidR="0090461D">
        <w:rPr>
          <w:rFonts w:eastAsia="Calibri" w:cs="Calibri"/>
          <w:color w:val="000000" w:themeColor="text1"/>
        </w:rPr>
        <w:t>have</w:t>
      </w:r>
      <w:r w:rsidRPr="0035069F">
        <w:rPr>
          <w:rFonts w:eastAsia="Calibri" w:cs="Calibri"/>
          <w:color w:val="000000" w:themeColor="text1"/>
        </w:rPr>
        <w:t xml:space="preserve"> the greatest opportunity to close the gaps that exist –based on COO composite index of health and well-being indicators.</w:t>
      </w:r>
      <w:r w:rsidRPr="1A2C1129">
        <w:rPr>
          <w:rStyle w:val="FootnoteReference"/>
          <w:rFonts w:eastAsia="Calibri" w:cs="Calibri"/>
          <w:color w:val="000000" w:themeColor="text1"/>
        </w:rPr>
        <w:footnoteReference w:id="200"/>
      </w:r>
      <w:r w:rsidRPr="002117B1">
        <w:rPr>
          <w:rStyle w:val="FootnoteReference"/>
          <w:rFonts w:eastAsia="Calibri" w:cs="Calibri"/>
          <w:color w:val="000000" w:themeColor="text1"/>
        </w:rPr>
        <w:t xml:space="preserve"> </w:t>
      </w:r>
      <w:r w:rsidRPr="0035069F">
        <w:rPr>
          <w:rFonts w:eastAsia="Calibri" w:cs="Calibri"/>
          <w:color w:val="000000" w:themeColor="text1"/>
        </w:rPr>
        <w:t>This includes, isolated rural communities with significant disparities compared to areas in which they are located.</w:t>
      </w:r>
    </w:p>
    <w:bookmarkEnd w:id="84"/>
    <w:p w14:paraId="17C4BD2D" w14:textId="77777777" w:rsidR="00C10B4B" w:rsidRPr="009015D2" w:rsidRDefault="00C10B4B" w:rsidP="00C10B4B">
      <w:pPr>
        <w:pStyle w:val="ListParagraph"/>
        <w:rPr>
          <w:rStyle w:val="FootnoteReference"/>
          <w:color w:val="000000" w:themeColor="text1"/>
        </w:rPr>
      </w:pPr>
    </w:p>
    <w:p w14:paraId="719A2B15" w14:textId="14F02F7C" w:rsidR="00C10B4B" w:rsidRPr="00636253" w:rsidRDefault="006C0BAD" w:rsidP="00C10B4B">
      <w:pPr>
        <w:contextualSpacing/>
        <w:rPr>
          <w:bCs/>
        </w:rPr>
      </w:pPr>
      <w:r>
        <w:rPr>
          <w:rFonts w:eastAsia="Calibri" w:cs="Calibri"/>
          <w:b/>
          <w:bCs/>
        </w:rPr>
        <w:t>A</w:t>
      </w:r>
      <w:r w:rsidR="00276BBF">
        <w:rPr>
          <w:rFonts w:eastAsia="Calibri" w:cs="Calibri"/>
          <w:b/>
          <w:bCs/>
        </w:rPr>
        <w:t>pproximate</w:t>
      </w:r>
      <w:r>
        <w:rPr>
          <w:rFonts w:eastAsia="Calibri" w:cs="Calibri"/>
          <w:b/>
          <w:bCs/>
        </w:rPr>
        <w:t xml:space="preserve"> Scope</w:t>
      </w:r>
      <w:r w:rsidR="00C10B4B" w:rsidRPr="00D03F1F">
        <w:rPr>
          <w:rFonts w:eastAsia="Calibri" w:cs="Calibri"/>
          <w:b/>
        </w:rPr>
        <w:t xml:space="preserve">: </w:t>
      </w:r>
      <w:r w:rsidR="00A81CBE" w:rsidRPr="00A81CBE">
        <w:rPr>
          <w:rFonts w:eastAsia="Calibri" w:cs="Calibri"/>
          <w:bCs/>
          <w:i/>
          <w:iCs/>
        </w:rPr>
        <w:t>Best Starts</w:t>
      </w:r>
      <w:r w:rsidR="00A81CBE">
        <w:rPr>
          <w:rFonts w:eastAsia="Calibri" w:cs="Calibri"/>
          <w:bCs/>
        </w:rPr>
        <w:t xml:space="preserve"> anticipates at</w:t>
      </w:r>
      <w:r w:rsidR="00C10B4B" w:rsidRPr="00636253">
        <w:rPr>
          <w:rFonts w:eastAsia="Calibri" w:cs="Calibri"/>
          <w:bCs/>
        </w:rPr>
        <w:t xml:space="preserve"> least </w:t>
      </w:r>
      <w:r w:rsidR="00C10B4B">
        <w:rPr>
          <w:rFonts w:eastAsia="Calibri" w:cs="Calibri"/>
          <w:bCs/>
        </w:rPr>
        <w:t>nine place-based and/or cultural-based community partnerships across King County will be supported over a five</w:t>
      </w:r>
      <w:r w:rsidR="00BF4AB3">
        <w:rPr>
          <w:rFonts w:eastAsia="Calibri" w:cs="Calibri"/>
          <w:bCs/>
        </w:rPr>
        <w:t>-</w:t>
      </w:r>
      <w:r w:rsidR="00C10B4B">
        <w:rPr>
          <w:rFonts w:eastAsia="Calibri" w:cs="Calibri"/>
          <w:bCs/>
        </w:rPr>
        <w:t>year period, with multiple organizational partners within each partnership receiving support under this strategy.</w:t>
      </w:r>
    </w:p>
    <w:p w14:paraId="4273A643" w14:textId="77777777" w:rsidR="00C10B4B" w:rsidRPr="00F701AD" w:rsidRDefault="00C10B4B" w:rsidP="00C10B4B">
      <w:pPr>
        <w:contextualSpacing/>
      </w:pPr>
      <w:r w:rsidRPr="00D03F1F">
        <w:rPr>
          <w:rFonts w:eastAsia="Calibri" w:cs="Calibri"/>
          <w:b/>
        </w:rPr>
        <w:t xml:space="preserve"> </w:t>
      </w:r>
    </w:p>
    <w:p w14:paraId="4EEC4E78" w14:textId="3347D6D7" w:rsidR="00AE020E" w:rsidRPr="00E55D53" w:rsidRDefault="00AE020E" w:rsidP="00AE020E">
      <w:pPr>
        <w:rPr>
          <w:rFonts w:eastAsia="Calibri" w:cs="Calibri"/>
          <w:b/>
          <w:color w:val="000000" w:themeColor="text1"/>
        </w:rPr>
      </w:pPr>
      <w:r w:rsidRPr="351B1C68">
        <w:rPr>
          <w:rFonts w:eastAsia="Calibri" w:cs="Calibri"/>
          <w:b/>
          <w:bCs/>
          <w:color w:val="000000" w:themeColor="text1"/>
        </w:rPr>
        <w:t xml:space="preserve">Planned Refinements in </w:t>
      </w:r>
      <w:r w:rsidR="005B3FA5" w:rsidRPr="00E75198">
        <w:rPr>
          <w:rFonts w:eastAsia="Calibri" w:cs="Calibri"/>
          <w:b/>
          <w:i/>
          <w:color w:val="000000" w:themeColor="text1"/>
        </w:rPr>
        <w:t>Best Starts for Kids</w:t>
      </w:r>
      <w:r w:rsidR="005B3FA5" w:rsidRPr="005B3FA5">
        <w:rPr>
          <w:rFonts w:eastAsia="Calibri" w:cs="Calibri"/>
          <w:b/>
          <w:bCs/>
          <w:color w:val="000000" w:themeColor="text1"/>
        </w:rPr>
        <w:t xml:space="preserve"> 2022-2027:</w:t>
      </w:r>
    </w:p>
    <w:p w14:paraId="3EC07598" w14:textId="1D2F0F20" w:rsidR="00C10B4B" w:rsidRPr="0035069F" w:rsidRDefault="00AF209C" w:rsidP="00025030">
      <w:pPr>
        <w:pStyle w:val="ListParagraph"/>
        <w:numPr>
          <w:ilvl w:val="0"/>
          <w:numId w:val="43"/>
        </w:numPr>
        <w:rPr>
          <w:color w:val="000000" w:themeColor="text1"/>
        </w:rPr>
      </w:pPr>
      <w:r w:rsidRPr="0008713D">
        <w:rPr>
          <w:rFonts w:eastAsia="Calibri" w:cs="Calibri"/>
          <w:bCs/>
        </w:rPr>
        <w:t>COO will focus</w:t>
      </w:r>
      <w:r w:rsidR="00C10B4B" w:rsidRPr="0008713D">
        <w:rPr>
          <w:rFonts w:eastAsia="Calibri" w:cs="Calibri"/>
          <w:bCs/>
        </w:rPr>
        <w:t xml:space="preserve"> resources on </w:t>
      </w:r>
      <w:r w:rsidR="00C10B4B">
        <w:rPr>
          <w:rFonts w:eastAsia="Calibri" w:cs="Calibri"/>
          <w:color w:val="000000" w:themeColor="text1"/>
        </w:rPr>
        <w:t xml:space="preserve">partnerships in communities with </w:t>
      </w:r>
      <w:r w:rsidR="00C10B4B" w:rsidRPr="00E75198">
        <w:rPr>
          <w:rFonts w:eastAsia="Calibri" w:cs="Calibri"/>
          <w:color w:val="000000" w:themeColor="text1"/>
        </w:rPr>
        <w:t>the lowest 20</w:t>
      </w:r>
      <w:r w:rsidR="00C10B4B" w:rsidRPr="00E75198">
        <w:rPr>
          <w:rFonts w:eastAsia="Calibri" w:cs="Calibri"/>
          <w:color w:val="000000" w:themeColor="text1"/>
          <w:vertAlign w:val="superscript"/>
        </w:rPr>
        <w:t>th</w:t>
      </w:r>
      <w:r w:rsidR="00C10B4B" w:rsidRPr="00E75198">
        <w:rPr>
          <w:rFonts w:eastAsia="Calibri" w:cs="Calibri"/>
          <w:color w:val="000000" w:themeColor="text1"/>
        </w:rPr>
        <w:t xml:space="preserve"> percentile of composite index</w:t>
      </w:r>
      <w:r w:rsidR="00C10B4B" w:rsidRPr="0035069F">
        <w:rPr>
          <w:rFonts w:eastAsia="Calibri" w:cs="Calibri"/>
          <w:color w:val="000000" w:themeColor="text1"/>
        </w:rPr>
        <w:t xml:space="preserve"> for health and well-being indicators for places; and for cultural and identity-based communities most adversely affected by inequities, using composite index scores as a guide. </w:t>
      </w:r>
      <w:r w:rsidR="003252DA">
        <w:rPr>
          <w:rStyle w:val="FootnoteReference"/>
          <w:rFonts w:eastAsia="Calibri" w:cs="Calibri"/>
          <w:b/>
          <w:color w:val="000000" w:themeColor="text1"/>
        </w:rPr>
        <w:footnoteReference w:id="201"/>
      </w:r>
    </w:p>
    <w:p w14:paraId="786C12EB" w14:textId="0D3C2533" w:rsidR="00C10B4B" w:rsidRPr="005D2F74" w:rsidRDefault="00C10B4B" w:rsidP="00C10B4B">
      <w:pPr>
        <w:contextualSpacing/>
        <w:rPr>
          <w:rFonts w:eastAsia="Calibri" w:cs="Calibri"/>
          <w:b/>
        </w:rPr>
      </w:pPr>
      <w:r>
        <w:lastRenderedPageBreak/>
        <w:br/>
      </w:r>
      <w:r>
        <w:rPr>
          <w:rFonts w:eastAsia="Calibri" w:cs="Calibri"/>
          <w:b/>
          <w:bCs/>
        </w:rPr>
        <w:t xml:space="preserve">Anticipated </w:t>
      </w:r>
      <w:r w:rsidRPr="00D03F1F">
        <w:rPr>
          <w:rFonts w:eastAsia="Calibri" w:cs="Calibri"/>
          <w:b/>
        </w:rPr>
        <w:t>Timeline:</w:t>
      </w:r>
      <w:r w:rsidRPr="00D03F1F">
        <w:rPr>
          <w:rFonts w:eastAsia="Calibri" w:cs="Calibri"/>
        </w:rPr>
        <w:t xml:space="preserve"> </w:t>
      </w:r>
      <w:r>
        <w:rPr>
          <w:rFonts w:eastAsia="Calibri" w:cs="Calibri"/>
        </w:rPr>
        <w:t xml:space="preserve"> C</w:t>
      </w:r>
      <w:r w:rsidR="007E421F">
        <w:rPr>
          <w:rFonts w:eastAsia="Calibri" w:cs="Calibri"/>
        </w:rPr>
        <w:t>OO will</w:t>
      </w:r>
      <w:r>
        <w:rPr>
          <w:rFonts w:eastAsia="Calibri" w:cs="Calibri"/>
        </w:rPr>
        <w:t xml:space="preserve"> </w:t>
      </w:r>
      <w:r w:rsidR="00AB2893">
        <w:rPr>
          <w:rFonts w:eastAsia="Calibri" w:cs="Calibri"/>
        </w:rPr>
        <w:t>release</w:t>
      </w:r>
      <w:r>
        <w:rPr>
          <w:rFonts w:eastAsia="Calibri" w:cs="Calibri"/>
        </w:rPr>
        <w:t xml:space="preserve"> </w:t>
      </w:r>
      <w:r w:rsidR="00371B30">
        <w:rPr>
          <w:rFonts w:eastAsia="Calibri" w:cs="Calibri"/>
        </w:rPr>
        <w:t>RFP</w:t>
      </w:r>
      <w:r>
        <w:rPr>
          <w:rFonts w:eastAsia="Calibri" w:cs="Calibri"/>
        </w:rPr>
        <w:t xml:space="preserve"> to select partnerships for funding </w:t>
      </w:r>
      <w:r w:rsidR="00371B30">
        <w:rPr>
          <w:rFonts w:eastAsia="Calibri" w:cs="Calibri"/>
        </w:rPr>
        <w:t xml:space="preserve">from </w:t>
      </w:r>
      <w:r>
        <w:rPr>
          <w:rFonts w:eastAsia="Calibri" w:cs="Calibri"/>
        </w:rPr>
        <w:t>2023 through 2027</w:t>
      </w:r>
      <w:r w:rsidR="00A141A0">
        <w:rPr>
          <w:rFonts w:eastAsia="Calibri" w:cs="Calibri"/>
        </w:rPr>
        <w:t xml:space="preserve"> in Q3 2022</w:t>
      </w:r>
      <w:r>
        <w:rPr>
          <w:rFonts w:eastAsia="Calibri" w:cs="Calibri"/>
        </w:rPr>
        <w:t>.</w:t>
      </w:r>
    </w:p>
    <w:p w14:paraId="651EC53E" w14:textId="77777777" w:rsidR="00C10B4B" w:rsidRPr="00F701AD" w:rsidRDefault="00C10B4B" w:rsidP="00C10B4B">
      <w:pPr>
        <w:contextualSpacing/>
      </w:pPr>
    </w:p>
    <w:tbl>
      <w:tblPr>
        <w:tblStyle w:val="TableGrid"/>
        <w:tblW w:w="9360" w:type="dxa"/>
        <w:tblInd w:w="-30" w:type="dxa"/>
        <w:tblLook w:val="04A0" w:firstRow="1" w:lastRow="0" w:firstColumn="1" w:lastColumn="0" w:noHBand="0" w:noVBand="1"/>
      </w:tblPr>
      <w:tblGrid>
        <w:gridCol w:w="9360"/>
      </w:tblGrid>
      <w:tr w:rsidR="00F369DB" w:rsidRPr="001E43C1" w14:paraId="570B54EF" w14:textId="77777777" w:rsidTr="00C015A4">
        <w:tc>
          <w:tcPr>
            <w:tcW w:w="936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881CFBC" w14:textId="77777777" w:rsidR="00C10B4B" w:rsidRPr="001E43C1" w:rsidRDefault="00C10B4B" w:rsidP="00C015A4">
            <w:pPr>
              <w:contextualSpacing/>
              <w:rPr>
                <w:rFonts w:cs="Calibri"/>
              </w:rPr>
            </w:pPr>
            <w:r>
              <w:rPr>
                <w:rFonts w:eastAsiaTheme="majorEastAsia" w:cs="Calibri"/>
                <w:b/>
              </w:rPr>
              <w:t>Systems and Policy Change</w:t>
            </w:r>
          </w:p>
        </w:tc>
      </w:tr>
    </w:tbl>
    <w:p w14:paraId="68C63568" w14:textId="4D282957" w:rsidR="00C10B4B" w:rsidRDefault="00C10B4B" w:rsidP="00C10B4B">
      <w:pPr>
        <w:spacing w:line="257" w:lineRule="auto"/>
        <w:contextualSpacing/>
      </w:pPr>
      <w:r>
        <w:rPr>
          <w:rFonts w:eastAsia="Calibri" w:cs="Calibri"/>
          <w:b/>
        </w:rPr>
        <w:t xml:space="preserve">Estimated Funding: </w:t>
      </w:r>
      <w:r w:rsidRPr="003711E9">
        <w:rPr>
          <w:rFonts w:eastAsia="Calibri" w:cs="Calibri"/>
        </w:rPr>
        <w:t>40</w:t>
      </w:r>
      <w:r w:rsidR="00B7244A">
        <w:rPr>
          <w:rFonts w:eastAsia="Calibri" w:cs="Calibri"/>
        </w:rPr>
        <w:t xml:space="preserve"> percent</w:t>
      </w:r>
      <w:r w:rsidRPr="003711E9">
        <w:rPr>
          <w:rFonts w:eastAsia="Calibri" w:cs="Calibri"/>
        </w:rPr>
        <w:t xml:space="preserve"> to 45</w:t>
      </w:r>
      <w:r w:rsidR="00B7244A">
        <w:rPr>
          <w:rFonts w:eastAsia="Calibri" w:cs="Calibri"/>
        </w:rPr>
        <w:t xml:space="preserve"> percent</w:t>
      </w:r>
      <w:r w:rsidR="00C0785F" w:rsidRPr="003711E9">
        <w:rPr>
          <w:rFonts w:eastAsia="Calibri" w:cs="Calibri"/>
          <w:bCs/>
        </w:rPr>
        <w:t xml:space="preserve"> of total </w:t>
      </w:r>
      <w:r w:rsidR="00EA3A7C">
        <w:rPr>
          <w:rFonts w:eastAsia="Calibri" w:cs="Calibri"/>
          <w:bCs/>
        </w:rPr>
        <w:t>COO</w:t>
      </w:r>
      <w:r w:rsidR="00C0785F" w:rsidRPr="003711E9">
        <w:rPr>
          <w:rFonts w:eastAsia="Calibri" w:cs="Calibri"/>
          <w:bCs/>
        </w:rPr>
        <w:t xml:space="preserve"> funding</w:t>
      </w:r>
      <w:r w:rsidR="00BA7672">
        <w:rPr>
          <w:rFonts w:eastAsia="Calibri" w:cs="Calibri"/>
          <w:bCs/>
        </w:rPr>
        <w:t>.</w:t>
      </w:r>
    </w:p>
    <w:p w14:paraId="16FBB5CB" w14:textId="77777777" w:rsidR="00C10B4B" w:rsidRDefault="00C10B4B" w:rsidP="00C10B4B">
      <w:pPr>
        <w:contextualSpacing/>
      </w:pPr>
    </w:p>
    <w:p w14:paraId="5179EC82" w14:textId="00BF5533" w:rsidR="00C10B4B" w:rsidRPr="00D66021" w:rsidRDefault="00C10B4B" w:rsidP="00C10B4B">
      <w:pPr>
        <w:contextualSpacing/>
        <w:rPr>
          <w:rFonts w:eastAsia="Calibri" w:cs="Calibri"/>
          <w:color w:val="000000" w:themeColor="text1"/>
        </w:rPr>
      </w:pPr>
      <w:r w:rsidRPr="00D03F1F">
        <w:rPr>
          <w:rFonts w:eastAsia="Calibri" w:cs="Calibri"/>
          <w:b/>
        </w:rPr>
        <w:t>P</w:t>
      </w:r>
      <w:r>
        <w:rPr>
          <w:rFonts w:eastAsia="Calibri" w:cs="Calibri"/>
          <w:b/>
        </w:rPr>
        <w:t>rogram</w:t>
      </w:r>
      <w:r w:rsidRPr="00DA2481">
        <w:rPr>
          <w:rFonts w:eastAsia="Calibri" w:cs="Calibri"/>
          <w:b/>
          <w:bCs/>
          <w:color w:val="000000" w:themeColor="text1"/>
        </w:rPr>
        <w:t xml:space="preserve"> </w:t>
      </w:r>
      <w:r w:rsidRPr="78339C14">
        <w:rPr>
          <w:rFonts w:eastAsia="Calibri" w:cs="Calibri"/>
          <w:b/>
          <w:bCs/>
          <w:color w:val="000000" w:themeColor="text1"/>
        </w:rPr>
        <w:t>Description</w:t>
      </w:r>
      <w:r>
        <w:rPr>
          <w:rFonts w:eastAsia="Calibri" w:cs="Calibri"/>
          <w:b/>
          <w:bCs/>
          <w:color w:val="000000" w:themeColor="text1"/>
        </w:rPr>
        <w:t>:</w:t>
      </w:r>
      <w:r>
        <w:rPr>
          <w:rFonts w:eastAsia="Calibri" w:cs="Calibri"/>
          <w:color w:val="000000" w:themeColor="text1"/>
        </w:rPr>
        <w:t xml:space="preserve"> </w:t>
      </w:r>
      <w:r w:rsidRPr="40186E90">
        <w:rPr>
          <w:rFonts w:eastAsia="Calibri" w:cs="Calibri"/>
          <w:color w:val="000000" w:themeColor="text1"/>
        </w:rPr>
        <w:t xml:space="preserve">COO </w:t>
      </w:r>
      <w:r>
        <w:rPr>
          <w:rFonts w:eastAsia="Calibri" w:cs="Calibri"/>
          <w:color w:val="000000" w:themeColor="text1"/>
        </w:rPr>
        <w:t xml:space="preserve">will </w:t>
      </w:r>
      <w:r w:rsidRPr="40186E90">
        <w:rPr>
          <w:rFonts w:eastAsia="Calibri" w:cs="Calibri"/>
          <w:color w:val="000000" w:themeColor="text1"/>
        </w:rPr>
        <w:t xml:space="preserve">support community-led </w:t>
      </w:r>
      <w:r>
        <w:rPr>
          <w:rFonts w:eastAsia="Calibri" w:cs="Calibri"/>
          <w:color w:val="000000" w:themeColor="text1"/>
        </w:rPr>
        <w:t xml:space="preserve">projects </w:t>
      </w:r>
      <w:r w:rsidR="00D54D73">
        <w:rPr>
          <w:rFonts w:eastAsia="Calibri" w:cs="Calibri"/>
          <w:color w:val="000000" w:themeColor="text1"/>
        </w:rPr>
        <w:t>and</w:t>
      </w:r>
      <w:r>
        <w:rPr>
          <w:rFonts w:eastAsia="Calibri" w:cs="Calibri"/>
          <w:color w:val="000000" w:themeColor="text1"/>
        </w:rPr>
        <w:t xml:space="preserve"> campaigns</w:t>
      </w:r>
      <w:r w:rsidRPr="40186E90">
        <w:rPr>
          <w:rFonts w:eastAsia="Calibri" w:cs="Calibri"/>
          <w:color w:val="000000" w:themeColor="text1"/>
        </w:rPr>
        <w:t xml:space="preserve"> to transform systems and policies </w:t>
      </w:r>
      <w:r w:rsidR="00A67E56">
        <w:rPr>
          <w:rFonts w:eastAsia="Calibri" w:cs="Calibri"/>
          <w:color w:val="000000" w:themeColor="text1"/>
        </w:rPr>
        <w:t>to</w:t>
      </w:r>
      <w:r w:rsidRPr="40186E90">
        <w:rPr>
          <w:rFonts w:eastAsia="Calibri" w:cs="Calibri"/>
          <w:color w:val="000000" w:themeColor="text1"/>
        </w:rPr>
        <w:t xml:space="preserve"> decrease and prevent continued inequity in low-income communities and communities of color in King County.</w:t>
      </w:r>
      <w:r>
        <w:rPr>
          <w:rFonts w:eastAsia="Calibri" w:cs="Calibri"/>
          <w:color w:val="000000" w:themeColor="text1"/>
        </w:rPr>
        <w:t xml:space="preserve"> </w:t>
      </w:r>
      <w:r w:rsidR="008E47E9">
        <w:rPr>
          <w:rFonts w:eastAsia="Calibri" w:cs="Calibri"/>
          <w:color w:val="000000" w:themeColor="text1"/>
        </w:rPr>
        <w:t xml:space="preserve">This includes </w:t>
      </w:r>
      <w:r w:rsidR="009067FE">
        <w:rPr>
          <w:rFonts w:eastAsia="Calibri" w:cs="Calibri"/>
          <w:color w:val="000000" w:themeColor="text1"/>
        </w:rPr>
        <w:t>activities that lead to</w:t>
      </w:r>
      <w:r w:rsidRPr="40186E90">
        <w:rPr>
          <w:rFonts w:eastAsia="Calibri" w:cs="Calibri"/>
          <w:color w:val="000000" w:themeColor="text1"/>
        </w:rPr>
        <w:t xml:space="preserve"> stronger community connections, economic opportunity, better health, and</w:t>
      </w:r>
      <w:r w:rsidR="00226ECF">
        <w:rPr>
          <w:rFonts w:eastAsia="Calibri" w:cs="Calibri"/>
          <w:color w:val="000000" w:themeColor="text1"/>
        </w:rPr>
        <w:t xml:space="preserve"> </w:t>
      </w:r>
      <w:r w:rsidR="000B5DED">
        <w:rPr>
          <w:rFonts w:eastAsia="Calibri" w:cs="Calibri"/>
          <w:color w:val="000000" w:themeColor="text1"/>
        </w:rPr>
        <w:t xml:space="preserve">access to </w:t>
      </w:r>
      <w:r w:rsidRPr="40186E90">
        <w:rPr>
          <w:rFonts w:eastAsia="Calibri" w:cs="Calibri"/>
          <w:color w:val="000000" w:themeColor="text1"/>
        </w:rPr>
        <w:t>housing</w:t>
      </w:r>
      <w:r w:rsidR="006455C7">
        <w:rPr>
          <w:rFonts w:eastAsia="Calibri" w:cs="Calibri"/>
          <w:color w:val="000000" w:themeColor="text1"/>
        </w:rPr>
        <w:t xml:space="preserve">. </w:t>
      </w:r>
      <w:r>
        <w:rPr>
          <w:rFonts w:eastAsia="Calibri" w:cs="Calibri"/>
          <w:color w:val="000000" w:themeColor="text1"/>
        </w:rPr>
        <w:t xml:space="preserve">COO funded systems and policy change projects should align with and complement COO place-based and cultural community partnership work. </w:t>
      </w:r>
      <w:r w:rsidR="006455C7">
        <w:rPr>
          <w:rFonts w:eastAsia="Calibri" w:cs="Calibri"/>
          <w:color w:val="000000" w:themeColor="text1"/>
        </w:rPr>
        <w:t xml:space="preserve">COO </w:t>
      </w:r>
      <w:r w:rsidR="00BC75A1">
        <w:rPr>
          <w:rFonts w:eastAsia="Calibri Light" w:cs="Calibri"/>
        </w:rPr>
        <w:t>c</w:t>
      </w:r>
      <w:r w:rsidRPr="539EA9F9">
        <w:rPr>
          <w:rFonts w:eastAsia="Calibri Light" w:cs="Calibri"/>
        </w:rPr>
        <w:t>enter</w:t>
      </w:r>
      <w:r w:rsidR="00BC75A1">
        <w:rPr>
          <w:rFonts w:eastAsia="Calibri Light" w:cs="Calibri"/>
        </w:rPr>
        <w:t>s</w:t>
      </w:r>
      <w:r w:rsidRPr="539EA9F9">
        <w:rPr>
          <w:rFonts w:eastAsia="Calibri Light" w:cs="Calibri"/>
        </w:rPr>
        <w:t xml:space="preserve"> the voices of Black, African American, Indigenous, other People of Color</w:t>
      </w:r>
      <w:r>
        <w:rPr>
          <w:rFonts w:eastAsia="Calibri Light" w:cs="Calibri"/>
        </w:rPr>
        <w:t>, and other historically marginalized communities (e.g. LGBTQ</w:t>
      </w:r>
      <w:r w:rsidR="00653077">
        <w:rPr>
          <w:rFonts w:eastAsia="Calibri Light" w:cs="Calibri"/>
        </w:rPr>
        <w:t>IA</w:t>
      </w:r>
      <w:r>
        <w:rPr>
          <w:rFonts w:eastAsia="Calibri Light" w:cs="Calibri"/>
        </w:rPr>
        <w:t xml:space="preserve"> populations, people living with disabilities)</w:t>
      </w:r>
      <w:r w:rsidRPr="539EA9F9">
        <w:rPr>
          <w:rFonts w:eastAsia="Calibri Light" w:cs="Calibri"/>
        </w:rPr>
        <w:t xml:space="preserve"> in investments and program decisions</w:t>
      </w:r>
      <w:r w:rsidR="00D91708">
        <w:rPr>
          <w:rFonts w:eastAsia="Calibri Light" w:cs="Calibri"/>
        </w:rPr>
        <w:t>,</w:t>
      </w:r>
      <w:r w:rsidRPr="539EA9F9">
        <w:rPr>
          <w:rFonts w:eastAsia="Calibri Light" w:cs="Calibri"/>
        </w:rPr>
        <w:t xml:space="preserve"> </w:t>
      </w:r>
      <w:r w:rsidR="00ED664A">
        <w:rPr>
          <w:rFonts w:eastAsia="Calibri Light" w:cs="Calibri"/>
        </w:rPr>
        <w:t>and supports efforts</w:t>
      </w:r>
      <w:r>
        <w:rPr>
          <w:rFonts w:eastAsia="Calibri Light" w:cs="Calibri"/>
        </w:rPr>
        <w:t xml:space="preserve"> </w:t>
      </w:r>
      <w:r w:rsidRPr="539EA9F9">
        <w:rPr>
          <w:rFonts w:eastAsia="Calibri Light" w:cs="Calibri"/>
        </w:rPr>
        <w:t xml:space="preserve">to </w:t>
      </w:r>
      <w:r>
        <w:rPr>
          <w:rFonts w:eastAsia="Calibri Light" w:cs="Calibri"/>
        </w:rPr>
        <w:t xml:space="preserve">enact </w:t>
      </w:r>
      <w:r w:rsidRPr="539EA9F9">
        <w:rPr>
          <w:rFonts w:eastAsia="Calibri Light" w:cs="Calibri"/>
        </w:rPr>
        <w:t xml:space="preserve">anti-racist, pro-equity public policies and practices that promote comprehensive well-being for the entire community. </w:t>
      </w:r>
    </w:p>
    <w:p w14:paraId="4D73272B" w14:textId="77777777" w:rsidR="00C10B4B" w:rsidRDefault="00C10B4B" w:rsidP="003420B4">
      <w:pPr>
        <w:contextualSpacing/>
        <w:rPr>
          <w:rFonts w:eastAsia="Calibri" w:cs="Calibri"/>
        </w:rPr>
      </w:pPr>
    </w:p>
    <w:p w14:paraId="55B284B2" w14:textId="44C31158" w:rsidR="00C10B4B" w:rsidRPr="00636253" w:rsidRDefault="00254D4C" w:rsidP="00C10B4B">
      <w:pPr>
        <w:contextualSpacing/>
        <w:rPr>
          <w:bCs/>
        </w:rPr>
      </w:pPr>
      <w:r>
        <w:rPr>
          <w:rFonts w:eastAsia="Calibri" w:cs="Calibri"/>
          <w:b/>
          <w:bCs/>
        </w:rPr>
        <w:t>Approximate</w:t>
      </w:r>
      <w:r w:rsidR="006C0BAD">
        <w:rPr>
          <w:rFonts w:eastAsia="Calibri" w:cs="Calibri"/>
          <w:b/>
          <w:bCs/>
        </w:rPr>
        <w:t xml:space="preserve"> Scope</w:t>
      </w:r>
      <w:r w:rsidR="00C10B4B" w:rsidRPr="00D03F1F">
        <w:rPr>
          <w:rFonts w:eastAsia="Calibri" w:cs="Calibri"/>
          <w:b/>
        </w:rPr>
        <w:t xml:space="preserve">: </w:t>
      </w:r>
      <w:r w:rsidR="007514CE">
        <w:rPr>
          <w:rFonts w:eastAsia="Calibri" w:cs="Calibri"/>
          <w:bCs/>
        </w:rPr>
        <w:t xml:space="preserve">COO </w:t>
      </w:r>
      <w:r w:rsidR="00202210">
        <w:rPr>
          <w:rFonts w:eastAsia="Calibri" w:cs="Calibri"/>
          <w:bCs/>
        </w:rPr>
        <w:t>anticipates funding at</w:t>
      </w:r>
      <w:r w:rsidR="00C10B4B" w:rsidRPr="00636253">
        <w:rPr>
          <w:rFonts w:eastAsia="Calibri" w:cs="Calibri"/>
          <w:bCs/>
        </w:rPr>
        <w:t xml:space="preserve"> </w:t>
      </w:r>
      <w:r w:rsidR="00C10B4B" w:rsidRPr="0035069F">
        <w:rPr>
          <w:rFonts w:eastAsia="Calibri" w:cs="Calibri"/>
          <w:bCs/>
        </w:rPr>
        <w:t xml:space="preserve">least </w:t>
      </w:r>
      <w:r w:rsidR="00C10B4B">
        <w:rPr>
          <w:rFonts w:eastAsia="Calibri" w:cs="Calibri"/>
          <w:bCs/>
        </w:rPr>
        <w:t xml:space="preserve">15 organizations </w:t>
      </w:r>
      <w:r w:rsidR="00AA7AB0">
        <w:rPr>
          <w:rFonts w:eastAsia="Calibri" w:cs="Calibri"/>
          <w:bCs/>
        </w:rPr>
        <w:t>each</w:t>
      </w:r>
      <w:r w:rsidR="006125A0">
        <w:rPr>
          <w:rFonts w:eastAsia="Calibri" w:cs="Calibri"/>
          <w:bCs/>
        </w:rPr>
        <w:t xml:space="preserve"> funding cycle </w:t>
      </w:r>
      <w:r w:rsidR="00AA7AB0">
        <w:rPr>
          <w:rFonts w:eastAsia="Calibri" w:cs="Calibri"/>
          <w:bCs/>
        </w:rPr>
        <w:t xml:space="preserve">(after 3 years). </w:t>
      </w:r>
    </w:p>
    <w:p w14:paraId="3C9985F8" w14:textId="77777777" w:rsidR="00C10B4B" w:rsidRPr="00F701AD" w:rsidRDefault="00C10B4B" w:rsidP="00C10B4B">
      <w:pPr>
        <w:contextualSpacing/>
      </w:pPr>
      <w:r w:rsidRPr="00D03F1F">
        <w:rPr>
          <w:rFonts w:eastAsia="Calibri" w:cs="Calibri"/>
          <w:b/>
        </w:rPr>
        <w:t xml:space="preserve"> </w:t>
      </w:r>
    </w:p>
    <w:p w14:paraId="0BE88A1B" w14:textId="2EA5DCFD" w:rsidR="0094797F" w:rsidRDefault="00C10B4B" w:rsidP="00C10B4B">
      <w:pPr>
        <w:contextualSpacing/>
        <w:rPr>
          <w:rFonts w:eastAsia="Calibri" w:cs="Calibri"/>
          <w:b/>
        </w:rPr>
      </w:pPr>
      <w:r>
        <w:rPr>
          <w:rFonts w:eastAsia="Calibri" w:cs="Calibri"/>
          <w:b/>
          <w:bCs/>
        </w:rPr>
        <w:t xml:space="preserve">Planned </w:t>
      </w:r>
      <w:r w:rsidRPr="00D03F1F">
        <w:rPr>
          <w:rFonts w:eastAsia="Calibri" w:cs="Calibri"/>
          <w:b/>
        </w:rPr>
        <w:t>Refinements</w:t>
      </w:r>
      <w:r>
        <w:rPr>
          <w:rFonts w:eastAsia="Calibri" w:cs="Calibri"/>
          <w:b/>
        </w:rPr>
        <w:t xml:space="preserve"> in </w:t>
      </w:r>
      <w:r w:rsidR="005B3FA5" w:rsidRPr="008D23C3">
        <w:rPr>
          <w:rFonts w:eastAsia="Times New Roman" w:cs="Calibri"/>
          <w:b/>
          <w:i/>
          <w:color w:val="000000" w:themeColor="text1"/>
        </w:rPr>
        <w:t xml:space="preserve">Best Starts for Kids </w:t>
      </w:r>
      <w:r w:rsidR="005B3FA5" w:rsidRPr="005B3FA5">
        <w:rPr>
          <w:rFonts w:eastAsia="Times New Roman" w:cs="Calibri"/>
          <w:b/>
          <w:color w:val="000000" w:themeColor="text1"/>
        </w:rPr>
        <w:t>2022-2027</w:t>
      </w:r>
      <w:r w:rsidR="005B3FA5">
        <w:rPr>
          <w:rFonts w:eastAsia="Times New Roman" w:cs="Calibri"/>
          <w:b/>
          <w:color w:val="000000" w:themeColor="text1"/>
        </w:rPr>
        <w:t>:</w:t>
      </w:r>
    </w:p>
    <w:p w14:paraId="68B544BF" w14:textId="7A78468E" w:rsidR="00C10B4B" w:rsidRPr="00D66021" w:rsidRDefault="00C10B4B" w:rsidP="00C10B4B">
      <w:pPr>
        <w:contextualSpacing/>
        <w:rPr>
          <w:bCs/>
        </w:rPr>
      </w:pPr>
      <w:r w:rsidRPr="00D66021">
        <w:rPr>
          <w:rFonts w:eastAsia="Calibri" w:cs="Calibri"/>
          <w:bCs/>
        </w:rPr>
        <w:t>COO will</w:t>
      </w:r>
      <w:r w:rsidRPr="00D66021">
        <w:rPr>
          <w:rFonts w:eastAsia="Calibri" w:cs="Calibri"/>
          <w:b/>
        </w:rPr>
        <w:t xml:space="preserve"> </w:t>
      </w:r>
      <w:r w:rsidRPr="00D66021">
        <w:rPr>
          <w:rFonts w:eastAsia="Calibri" w:cs="Calibri"/>
          <w:bCs/>
        </w:rPr>
        <w:t xml:space="preserve">increase alignment with other </w:t>
      </w:r>
      <w:r w:rsidRPr="006125A0">
        <w:rPr>
          <w:rFonts w:eastAsia="Calibri" w:cs="Calibri"/>
          <w:i/>
        </w:rPr>
        <w:t>Best Starts</w:t>
      </w:r>
      <w:r w:rsidRPr="00D66021">
        <w:rPr>
          <w:rFonts w:eastAsia="Calibri" w:cs="Calibri"/>
          <w:bCs/>
        </w:rPr>
        <w:t xml:space="preserve"> programs that are focused on systems</w:t>
      </w:r>
      <w:r>
        <w:rPr>
          <w:rFonts w:eastAsia="Calibri" w:cs="Calibri"/>
          <w:bCs/>
        </w:rPr>
        <w:t xml:space="preserve">, </w:t>
      </w:r>
      <w:r w:rsidRPr="00D66021">
        <w:rPr>
          <w:rFonts w:eastAsia="Calibri" w:cs="Calibri"/>
          <w:bCs/>
        </w:rPr>
        <w:t>policy</w:t>
      </w:r>
      <w:r>
        <w:rPr>
          <w:rFonts w:eastAsia="Calibri" w:cs="Calibri"/>
          <w:bCs/>
        </w:rPr>
        <w:t>, and environment</w:t>
      </w:r>
      <w:r w:rsidRPr="00D66021">
        <w:rPr>
          <w:rFonts w:eastAsia="Calibri" w:cs="Calibri"/>
          <w:bCs/>
        </w:rPr>
        <w:t xml:space="preserve"> change, </w:t>
      </w:r>
      <w:r w:rsidR="00AA17ED">
        <w:rPr>
          <w:rFonts w:eastAsia="Calibri" w:cs="Calibri"/>
          <w:bCs/>
        </w:rPr>
        <w:t>especially</w:t>
      </w:r>
      <w:r>
        <w:rPr>
          <w:rFonts w:eastAsia="Calibri" w:cs="Calibri"/>
          <w:bCs/>
        </w:rPr>
        <w:t xml:space="preserve"> the </w:t>
      </w:r>
      <w:r w:rsidRPr="00D66021">
        <w:rPr>
          <w:rFonts w:eastAsia="Calibri" w:cs="Calibri"/>
          <w:bCs/>
          <w:i/>
          <w:iCs/>
        </w:rPr>
        <w:t>Healthy and Safe Environments</w:t>
      </w:r>
      <w:r>
        <w:rPr>
          <w:rFonts w:eastAsia="Calibri" w:cs="Calibri"/>
          <w:bCs/>
        </w:rPr>
        <w:t xml:space="preserve"> team</w:t>
      </w:r>
      <w:r w:rsidR="0054098C">
        <w:rPr>
          <w:rFonts w:eastAsia="Calibri" w:cs="Calibri"/>
          <w:bCs/>
        </w:rPr>
        <w:t xml:space="preserve">. </w:t>
      </w:r>
      <w:r w:rsidR="00F80217">
        <w:rPr>
          <w:rFonts w:eastAsia="Calibri" w:cs="Calibri"/>
          <w:bCs/>
        </w:rPr>
        <w:t xml:space="preserve">COO and HSE </w:t>
      </w:r>
      <w:r w:rsidR="0054098C">
        <w:rPr>
          <w:rFonts w:eastAsia="Calibri" w:cs="Calibri"/>
          <w:bCs/>
        </w:rPr>
        <w:t xml:space="preserve">teams will </w:t>
      </w:r>
      <w:r w:rsidR="00C81BB6">
        <w:rPr>
          <w:rFonts w:eastAsia="Calibri" w:cs="Calibri"/>
          <w:bCs/>
        </w:rPr>
        <w:t>come together for</w:t>
      </w:r>
      <w:r>
        <w:rPr>
          <w:rFonts w:eastAsia="Calibri" w:cs="Calibri"/>
          <w:bCs/>
        </w:rPr>
        <w:t xml:space="preserve"> integrated strategic planning and program development.</w:t>
      </w:r>
      <w:r w:rsidRPr="00D66021">
        <w:rPr>
          <w:rFonts w:eastAsia="Calibri" w:cs="Calibri"/>
          <w:bCs/>
        </w:rPr>
        <w:t xml:space="preserve"> </w:t>
      </w:r>
    </w:p>
    <w:p w14:paraId="0D1B426F" w14:textId="2D2C4660" w:rsidR="00C10B4B" w:rsidRPr="00D66021" w:rsidRDefault="00C10B4B" w:rsidP="00C10B4B">
      <w:pPr>
        <w:contextualSpacing/>
        <w:rPr>
          <w:rFonts w:eastAsia="Calibri" w:cs="Calibri"/>
          <w:b/>
        </w:rPr>
      </w:pPr>
      <w:r>
        <w:br/>
      </w:r>
      <w:r>
        <w:rPr>
          <w:rFonts w:eastAsia="Calibri" w:cs="Calibri"/>
          <w:b/>
          <w:bCs/>
        </w:rPr>
        <w:t xml:space="preserve">Anticipated </w:t>
      </w:r>
      <w:r w:rsidRPr="00D03F1F">
        <w:rPr>
          <w:rFonts w:eastAsia="Calibri" w:cs="Calibri"/>
          <w:b/>
        </w:rPr>
        <w:t>Timeline:</w:t>
      </w:r>
      <w:r w:rsidRPr="00D03F1F">
        <w:rPr>
          <w:rFonts w:eastAsia="Calibri" w:cs="Calibri"/>
        </w:rPr>
        <w:t xml:space="preserve"> </w:t>
      </w:r>
      <w:r>
        <w:rPr>
          <w:rFonts w:eastAsia="Calibri" w:cs="Calibri"/>
        </w:rPr>
        <w:t>C</w:t>
      </w:r>
      <w:r w:rsidR="007514CE">
        <w:rPr>
          <w:rFonts w:eastAsia="Calibri" w:cs="Calibri"/>
        </w:rPr>
        <w:t xml:space="preserve">OO </w:t>
      </w:r>
      <w:r w:rsidR="005B51E9">
        <w:rPr>
          <w:rFonts w:eastAsia="Calibri" w:cs="Calibri"/>
        </w:rPr>
        <w:t>release an</w:t>
      </w:r>
      <w:r>
        <w:rPr>
          <w:rFonts w:eastAsia="Calibri" w:cs="Calibri"/>
        </w:rPr>
        <w:t xml:space="preserve"> </w:t>
      </w:r>
      <w:r w:rsidR="00371B30">
        <w:rPr>
          <w:rFonts w:eastAsia="Calibri" w:cs="Calibri"/>
        </w:rPr>
        <w:t>RFP</w:t>
      </w:r>
      <w:r>
        <w:rPr>
          <w:rFonts w:eastAsia="Calibri" w:cs="Calibri"/>
        </w:rPr>
        <w:t xml:space="preserve"> to select </w:t>
      </w:r>
      <w:r w:rsidR="00BB6093">
        <w:rPr>
          <w:rFonts w:eastAsia="Calibri" w:cs="Calibri"/>
        </w:rPr>
        <w:t xml:space="preserve">organizations </w:t>
      </w:r>
      <w:r>
        <w:rPr>
          <w:rFonts w:eastAsia="Calibri" w:cs="Calibri"/>
        </w:rPr>
        <w:t xml:space="preserve">for funding </w:t>
      </w:r>
      <w:r w:rsidR="00371B30">
        <w:rPr>
          <w:rFonts w:eastAsia="Calibri" w:cs="Calibri"/>
        </w:rPr>
        <w:t xml:space="preserve">from </w:t>
      </w:r>
      <w:r>
        <w:rPr>
          <w:rFonts w:eastAsia="Calibri" w:cs="Calibri"/>
        </w:rPr>
        <w:t>2023 through 2027</w:t>
      </w:r>
      <w:r w:rsidR="000805B9">
        <w:rPr>
          <w:rFonts w:eastAsia="Calibri" w:cs="Calibri"/>
        </w:rPr>
        <w:t xml:space="preserve"> in Q3 202</w:t>
      </w:r>
      <w:r w:rsidR="00BB6093">
        <w:rPr>
          <w:rFonts w:eastAsia="Calibri" w:cs="Calibri"/>
        </w:rPr>
        <w:t>2</w:t>
      </w:r>
      <w:r>
        <w:rPr>
          <w:rFonts w:eastAsia="Calibri" w:cs="Calibri"/>
        </w:rPr>
        <w:t>.</w:t>
      </w:r>
    </w:p>
    <w:p w14:paraId="69D05724" w14:textId="77777777" w:rsidR="00C10B4B" w:rsidRDefault="00C10B4B" w:rsidP="00C10B4B">
      <w:pPr>
        <w:contextualSpacing/>
      </w:pPr>
    </w:p>
    <w:tbl>
      <w:tblPr>
        <w:tblStyle w:val="TableGrid"/>
        <w:tblW w:w="9360" w:type="dxa"/>
        <w:tblInd w:w="-30" w:type="dxa"/>
        <w:tblLook w:val="04A0" w:firstRow="1" w:lastRow="0" w:firstColumn="1" w:lastColumn="0" w:noHBand="0" w:noVBand="1"/>
      </w:tblPr>
      <w:tblGrid>
        <w:gridCol w:w="9360"/>
      </w:tblGrid>
      <w:tr w:rsidR="00F369DB" w:rsidRPr="001E43C1" w14:paraId="4AC4A68D" w14:textId="77777777" w:rsidTr="00C015A4">
        <w:tc>
          <w:tcPr>
            <w:tcW w:w="936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735171D" w14:textId="77777777" w:rsidR="00C10B4B" w:rsidRPr="001E43C1" w:rsidRDefault="00C10B4B" w:rsidP="00C015A4">
            <w:pPr>
              <w:contextualSpacing/>
              <w:rPr>
                <w:rFonts w:cs="Calibri"/>
              </w:rPr>
            </w:pPr>
            <w:r>
              <w:rPr>
                <w:rFonts w:eastAsiaTheme="majorEastAsia" w:cs="Calibri"/>
                <w:b/>
              </w:rPr>
              <w:t>Learning Community</w:t>
            </w:r>
          </w:p>
        </w:tc>
      </w:tr>
    </w:tbl>
    <w:p w14:paraId="7536422A" w14:textId="16948F5E" w:rsidR="00C10B4B" w:rsidRDefault="00C10B4B" w:rsidP="00C10B4B">
      <w:pPr>
        <w:spacing w:line="257" w:lineRule="auto"/>
        <w:contextualSpacing/>
      </w:pPr>
      <w:r>
        <w:rPr>
          <w:rFonts w:eastAsia="Calibri" w:cs="Calibri"/>
          <w:b/>
        </w:rPr>
        <w:t xml:space="preserve">Estimated Funding: </w:t>
      </w:r>
      <w:r w:rsidR="00C64A53">
        <w:rPr>
          <w:rFonts w:eastAsia="Calibri" w:cs="Calibri"/>
          <w:bCs/>
        </w:rPr>
        <w:t xml:space="preserve">Minimum </w:t>
      </w:r>
      <w:r w:rsidRPr="0035069F">
        <w:rPr>
          <w:rFonts w:eastAsia="Calibri" w:cs="Calibri"/>
          <w:bCs/>
        </w:rPr>
        <w:t>10</w:t>
      </w:r>
      <w:r w:rsidR="00B7244A">
        <w:rPr>
          <w:rFonts w:eastAsia="Calibri" w:cs="Calibri"/>
          <w:bCs/>
        </w:rPr>
        <w:t xml:space="preserve"> percent</w:t>
      </w:r>
      <w:r w:rsidRPr="0035069F">
        <w:rPr>
          <w:rFonts w:eastAsia="Calibri" w:cs="Calibri"/>
          <w:bCs/>
        </w:rPr>
        <w:t xml:space="preserve"> </w:t>
      </w:r>
      <w:r w:rsidR="009A0BB7">
        <w:rPr>
          <w:rFonts w:eastAsia="Calibri" w:cs="Calibri"/>
          <w:bCs/>
        </w:rPr>
        <w:t xml:space="preserve">and up </w:t>
      </w:r>
      <w:r w:rsidRPr="0035069F">
        <w:rPr>
          <w:rFonts w:eastAsia="Calibri" w:cs="Calibri"/>
          <w:bCs/>
        </w:rPr>
        <w:t xml:space="preserve">to </w:t>
      </w:r>
      <w:r w:rsidR="008020A8">
        <w:rPr>
          <w:rFonts w:eastAsia="Calibri" w:cs="Calibri"/>
        </w:rPr>
        <w:t>15</w:t>
      </w:r>
      <w:r w:rsidR="00B7244A">
        <w:rPr>
          <w:rFonts w:eastAsia="Calibri" w:cs="Calibri"/>
          <w:bCs/>
        </w:rPr>
        <w:t xml:space="preserve"> percent</w:t>
      </w:r>
      <w:r w:rsidRPr="0035069F">
        <w:rPr>
          <w:rFonts w:eastAsia="Calibri" w:cs="Calibri"/>
          <w:bCs/>
        </w:rPr>
        <w:t xml:space="preserve"> of </w:t>
      </w:r>
      <w:r w:rsidR="001F7273">
        <w:rPr>
          <w:rFonts w:eastAsia="Calibri" w:cs="Calibri"/>
          <w:bCs/>
        </w:rPr>
        <w:t xml:space="preserve">total </w:t>
      </w:r>
      <w:r w:rsidR="000F2F22">
        <w:rPr>
          <w:rFonts w:eastAsia="Calibri" w:cs="Calibri"/>
          <w:bCs/>
        </w:rPr>
        <w:t>COO</w:t>
      </w:r>
      <w:r w:rsidR="001F7273">
        <w:rPr>
          <w:rFonts w:eastAsia="Calibri" w:cs="Calibri"/>
          <w:bCs/>
        </w:rPr>
        <w:t xml:space="preserve"> funding</w:t>
      </w:r>
      <w:r w:rsidR="008910F9">
        <w:rPr>
          <w:rFonts w:eastAsia="Calibri" w:cs="Calibri"/>
          <w:bCs/>
        </w:rPr>
        <w:t>.</w:t>
      </w:r>
    </w:p>
    <w:p w14:paraId="3D954862" w14:textId="77777777" w:rsidR="00C10B4B" w:rsidRDefault="00C10B4B" w:rsidP="00C10B4B">
      <w:pPr>
        <w:spacing w:line="257" w:lineRule="auto"/>
        <w:contextualSpacing/>
        <w:rPr>
          <w:rFonts w:eastAsia="Calibri" w:cs="Calibri"/>
          <w:b/>
        </w:rPr>
      </w:pPr>
    </w:p>
    <w:p w14:paraId="2306ACA6" w14:textId="227BFCB3" w:rsidR="00C10B4B" w:rsidRDefault="00C10B4B" w:rsidP="00C10B4B">
      <w:pPr>
        <w:rPr>
          <w:rFonts w:eastAsia="Calibri" w:cs="Calibri"/>
        </w:rPr>
      </w:pPr>
      <w:r w:rsidRPr="00D03F1F">
        <w:rPr>
          <w:rFonts w:eastAsia="Calibri" w:cs="Calibri"/>
          <w:b/>
        </w:rPr>
        <w:t>Program Description</w:t>
      </w:r>
      <w:r>
        <w:rPr>
          <w:rFonts w:eastAsia="Calibri" w:cs="Calibri"/>
          <w:b/>
        </w:rPr>
        <w:t>:</w:t>
      </w:r>
      <w:r>
        <w:t xml:space="preserve"> </w:t>
      </w:r>
      <w:r>
        <w:rPr>
          <w:rFonts w:eastAsia="Calibri" w:cs="Calibri"/>
          <w:color w:val="000000" w:themeColor="text1"/>
        </w:rPr>
        <w:t xml:space="preserve">COO will </w:t>
      </w:r>
      <w:r w:rsidRPr="6B52FD9A">
        <w:rPr>
          <w:rFonts w:eastAsia="Calibri" w:cs="Calibri"/>
          <w:color w:val="000000" w:themeColor="text1"/>
        </w:rPr>
        <w:t xml:space="preserve">support community stakeholders </w:t>
      </w:r>
      <w:r w:rsidR="00D13731">
        <w:rPr>
          <w:rFonts w:eastAsia="Calibri" w:cs="Calibri"/>
          <w:color w:val="000000" w:themeColor="text1"/>
        </w:rPr>
        <w:t>t</w:t>
      </w:r>
      <w:r w:rsidR="00A41D65">
        <w:rPr>
          <w:rFonts w:eastAsia="Calibri" w:cs="Calibri"/>
          <w:color w:val="000000" w:themeColor="text1"/>
        </w:rPr>
        <w:t>o engage</w:t>
      </w:r>
      <w:r w:rsidRPr="6B52FD9A">
        <w:rPr>
          <w:rFonts w:eastAsia="Calibri" w:cs="Calibri"/>
          <w:color w:val="000000" w:themeColor="text1"/>
        </w:rPr>
        <w:t xml:space="preserve"> in shared learning</w:t>
      </w:r>
      <w:r w:rsidR="006D0AEC">
        <w:rPr>
          <w:rFonts w:eastAsia="Calibri" w:cs="Calibri"/>
          <w:color w:val="000000" w:themeColor="text1"/>
        </w:rPr>
        <w:t>,</w:t>
      </w:r>
      <w:r w:rsidRPr="6B52FD9A">
        <w:rPr>
          <w:rFonts w:eastAsia="Calibri" w:cs="Calibri"/>
          <w:color w:val="000000" w:themeColor="text1"/>
        </w:rPr>
        <w:t xml:space="preserve"> and </w:t>
      </w:r>
      <w:r w:rsidR="006D0AEC">
        <w:rPr>
          <w:rFonts w:eastAsia="Calibri" w:cs="Calibri"/>
          <w:color w:val="000000" w:themeColor="text1"/>
        </w:rPr>
        <w:t xml:space="preserve">to </w:t>
      </w:r>
      <w:r w:rsidRPr="6B52FD9A">
        <w:rPr>
          <w:rFonts w:eastAsia="Calibri" w:cs="Calibri"/>
          <w:color w:val="000000" w:themeColor="text1"/>
        </w:rPr>
        <w:t xml:space="preserve">practice innovative solutions. Under the Learning Community model, COO provides resources to </w:t>
      </w:r>
      <w:r w:rsidR="00C25CC5">
        <w:rPr>
          <w:rFonts w:eastAsia="Calibri" w:cs="Calibri"/>
          <w:color w:val="000000" w:themeColor="text1"/>
        </w:rPr>
        <w:t>bring</w:t>
      </w:r>
      <w:r w:rsidRPr="002E178E">
        <w:rPr>
          <w:rFonts w:eastAsia="Calibri" w:cs="Calibri"/>
          <w:color w:val="404041"/>
        </w:rPr>
        <w:t xml:space="preserve"> people together across sectors, places, and projects to advance skills, knowledge, and strategies </w:t>
      </w:r>
      <w:r w:rsidR="00B93381">
        <w:rPr>
          <w:rFonts w:eastAsia="Calibri" w:cs="Calibri"/>
          <w:color w:val="404041"/>
        </w:rPr>
        <w:t>that</w:t>
      </w:r>
      <w:r w:rsidRPr="002E178E">
        <w:rPr>
          <w:rFonts w:eastAsia="Calibri" w:cs="Calibri"/>
          <w:color w:val="404041"/>
        </w:rPr>
        <w:t xml:space="preserve"> impact COO result areas</w:t>
      </w:r>
      <w:r>
        <w:rPr>
          <w:rFonts w:eastAsia="Calibri" w:cs="Calibri"/>
          <w:color w:val="404041"/>
        </w:rPr>
        <w:t>. These resources also enable COO to be flexible and responsive to emerging and evolving needs.</w:t>
      </w:r>
      <w:r>
        <w:rPr>
          <w:rStyle w:val="FootnoteReference"/>
          <w:rFonts w:eastAsia="Calibri" w:cs="Calibri"/>
          <w:color w:val="404041"/>
        </w:rPr>
        <w:footnoteReference w:id="202"/>
      </w:r>
      <w:r>
        <w:rPr>
          <w:rFonts w:eastAsia="Calibri" w:cs="Calibri"/>
        </w:rPr>
        <w:t xml:space="preserve">  Program components include:</w:t>
      </w:r>
    </w:p>
    <w:p w14:paraId="521A1600" w14:textId="243EE28A" w:rsidR="00C10B4B" w:rsidRPr="00040386" w:rsidRDefault="00C10B4B" w:rsidP="00025030">
      <w:pPr>
        <w:pStyle w:val="ListParagraph"/>
        <w:numPr>
          <w:ilvl w:val="0"/>
          <w:numId w:val="38"/>
        </w:numPr>
        <w:contextualSpacing w:val="0"/>
        <w:rPr>
          <w:rFonts w:eastAsia="Calibri" w:cs="Calibri"/>
          <w:color w:val="000000" w:themeColor="text1"/>
        </w:rPr>
      </w:pPr>
      <w:r w:rsidRPr="008910F9">
        <w:rPr>
          <w:rFonts w:eastAsia="Calibri" w:cs="Calibri"/>
          <w:b/>
          <w:bCs/>
          <w:color w:val="000000" w:themeColor="text1"/>
        </w:rPr>
        <w:lastRenderedPageBreak/>
        <w:t xml:space="preserve">Capacity </w:t>
      </w:r>
      <w:r w:rsidR="008910F9">
        <w:rPr>
          <w:rFonts w:eastAsia="Calibri" w:cs="Calibri"/>
          <w:b/>
          <w:bCs/>
          <w:color w:val="000000" w:themeColor="text1"/>
        </w:rPr>
        <w:t>B</w:t>
      </w:r>
      <w:r w:rsidRPr="008910F9">
        <w:rPr>
          <w:rFonts w:eastAsia="Calibri" w:cs="Calibri"/>
          <w:b/>
          <w:bCs/>
          <w:color w:val="000000" w:themeColor="text1"/>
        </w:rPr>
        <w:t xml:space="preserve">uilding: </w:t>
      </w:r>
      <w:r w:rsidRPr="00040386">
        <w:rPr>
          <w:rFonts w:eastAsia="Calibri" w:cs="Calibri"/>
          <w:color w:val="000000" w:themeColor="text1"/>
        </w:rPr>
        <w:t>leadership development, organizational and partnership infrastructure, and sustained civic capacity to actualize equity. Capacity building will be focused on funded partners and other organizations/groups working on related and aligned efforts.</w:t>
      </w:r>
    </w:p>
    <w:p w14:paraId="4DCAD298" w14:textId="467B8BA0" w:rsidR="00C10B4B" w:rsidRPr="00040386" w:rsidRDefault="00C10B4B" w:rsidP="00025030">
      <w:pPr>
        <w:pStyle w:val="ListParagraph"/>
        <w:numPr>
          <w:ilvl w:val="0"/>
          <w:numId w:val="38"/>
        </w:numPr>
        <w:contextualSpacing w:val="0"/>
        <w:rPr>
          <w:rFonts w:eastAsia="Calibri" w:cs="Calibri"/>
          <w:color w:val="000000" w:themeColor="text1"/>
        </w:rPr>
      </w:pPr>
      <w:r w:rsidRPr="008910F9">
        <w:rPr>
          <w:rFonts w:eastAsia="Calibri" w:cs="Calibri"/>
          <w:b/>
          <w:bCs/>
          <w:color w:val="000000" w:themeColor="text1"/>
        </w:rPr>
        <w:t>Innovation Funding:</w:t>
      </w:r>
      <w:r w:rsidRPr="001F5706">
        <w:rPr>
          <w:rFonts w:eastAsia="Calibri" w:cs="Calibri"/>
          <w:color w:val="000000" w:themeColor="text1"/>
        </w:rPr>
        <w:t xml:space="preserve"> community-based research, pilot</w:t>
      </w:r>
      <w:r w:rsidR="00AD3F94">
        <w:rPr>
          <w:rFonts w:eastAsia="Calibri" w:cs="Calibri"/>
          <w:color w:val="000000" w:themeColor="text1"/>
        </w:rPr>
        <w:t>ing</w:t>
      </w:r>
      <w:r w:rsidRPr="001F5706">
        <w:rPr>
          <w:rFonts w:eastAsia="Calibri" w:cs="Calibri"/>
          <w:color w:val="000000" w:themeColor="text1"/>
        </w:rPr>
        <w:t xml:space="preserve"> and test</w:t>
      </w:r>
      <w:r w:rsidR="00AD3F94">
        <w:rPr>
          <w:rFonts w:eastAsia="Calibri" w:cs="Calibri"/>
          <w:color w:val="000000" w:themeColor="text1"/>
        </w:rPr>
        <w:t>ing</w:t>
      </w:r>
      <w:r w:rsidRPr="001F5706">
        <w:rPr>
          <w:rFonts w:eastAsia="Calibri" w:cs="Calibri"/>
          <w:color w:val="000000" w:themeColor="text1"/>
        </w:rPr>
        <w:t xml:space="preserve"> new ideas </w:t>
      </w:r>
      <w:r w:rsidR="00466253">
        <w:rPr>
          <w:rFonts w:eastAsia="Calibri" w:cs="Calibri"/>
          <w:color w:val="000000" w:themeColor="text1"/>
        </w:rPr>
        <w:t xml:space="preserve">that contribute to </w:t>
      </w:r>
      <w:r w:rsidRPr="001F5706">
        <w:rPr>
          <w:rFonts w:eastAsia="Calibri" w:cs="Calibri"/>
          <w:color w:val="000000" w:themeColor="text1"/>
        </w:rPr>
        <w:t>systems and policy change</w:t>
      </w:r>
      <w:r w:rsidR="00EA0E47">
        <w:rPr>
          <w:rFonts w:eastAsia="Calibri" w:cs="Calibri"/>
          <w:color w:val="000000" w:themeColor="text1"/>
        </w:rPr>
        <w:t>.</w:t>
      </w:r>
      <w:r w:rsidR="00791013">
        <w:rPr>
          <w:rFonts w:eastAsia="Calibri" w:cs="Calibri"/>
          <w:color w:val="000000" w:themeColor="text1"/>
        </w:rPr>
        <w:t xml:space="preserve"> </w:t>
      </w:r>
    </w:p>
    <w:p w14:paraId="78FDEDD4" w14:textId="77777777" w:rsidR="00C10B4B" w:rsidRPr="0035069F" w:rsidRDefault="00C10B4B" w:rsidP="00C10B4B">
      <w:pPr>
        <w:ind w:left="360"/>
        <w:rPr>
          <w:rFonts w:eastAsia="Calibri" w:cs="Calibri"/>
          <w:color w:val="000000" w:themeColor="text1"/>
        </w:rPr>
      </w:pPr>
    </w:p>
    <w:p w14:paraId="4099CB56" w14:textId="09BBB778" w:rsidR="00C10B4B" w:rsidRPr="00AF1AD3" w:rsidRDefault="3F4F74CD" w:rsidP="00C10B4B">
      <w:pPr>
        <w:contextualSpacing/>
      </w:pPr>
      <w:r w:rsidRPr="3E3C4020">
        <w:rPr>
          <w:rFonts w:eastAsia="Calibri" w:cs="Calibri"/>
          <w:b/>
          <w:bCs/>
        </w:rPr>
        <w:t>A</w:t>
      </w:r>
      <w:r w:rsidR="00254D4C">
        <w:rPr>
          <w:rFonts w:eastAsia="Calibri" w:cs="Calibri"/>
          <w:b/>
          <w:bCs/>
        </w:rPr>
        <w:t>pproximate</w:t>
      </w:r>
      <w:r w:rsidRPr="5D899FCB">
        <w:rPr>
          <w:rFonts w:eastAsia="Calibri" w:cs="Calibri"/>
          <w:b/>
          <w:bCs/>
        </w:rPr>
        <w:t xml:space="preserve"> Scope</w:t>
      </w:r>
      <w:r w:rsidR="00C10B4B">
        <w:rPr>
          <w:rFonts w:eastAsia="Calibri" w:cs="Calibri"/>
          <w:b/>
          <w:bCs/>
        </w:rPr>
        <w:t xml:space="preserve">:  </w:t>
      </w:r>
      <w:r w:rsidR="00C10B4B" w:rsidRPr="00AF1AD3">
        <w:rPr>
          <w:rFonts w:eastAsia="Calibri" w:cs="Calibri"/>
        </w:rPr>
        <w:t xml:space="preserve">At least </w:t>
      </w:r>
      <w:r w:rsidR="4AED141C" w:rsidRPr="67A9F17E">
        <w:rPr>
          <w:rFonts w:eastAsia="Calibri" w:cs="Calibri"/>
        </w:rPr>
        <w:t>7</w:t>
      </w:r>
      <w:r w:rsidR="00C10B4B" w:rsidRPr="67A9F17E">
        <w:rPr>
          <w:rFonts w:eastAsia="Calibri" w:cs="Calibri"/>
        </w:rPr>
        <w:t>50</w:t>
      </w:r>
      <w:r w:rsidR="00C10B4B" w:rsidRPr="00AF1AD3">
        <w:rPr>
          <w:rFonts w:eastAsia="Calibri" w:cs="Calibri"/>
        </w:rPr>
        <w:t xml:space="preserve"> individuals will receive capacity building support and/or participate in </w:t>
      </w:r>
      <w:r w:rsidR="00FF1DCF">
        <w:rPr>
          <w:rFonts w:eastAsia="Calibri" w:cs="Calibri"/>
        </w:rPr>
        <w:t>L</w:t>
      </w:r>
      <w:r w:rsidR="00C10B4B" w:rsidRPr="00AF1AD3">
        <w:rPr>
          <w:rFonts w:eastAsia="Calibri" w:cs="Calibri"/>
        </w:rPr>
        <w:t xml:space="preserve">earning </w:t>
      </w:r>
      <w:r w:rsidR="00FF1DCF">
        <w:rPr>
          <w:rFonts w:eastAsia="Calibri" w:cs="Calibri"/>
        </w:rPr>
        <w:t>C</w:t>
      </w:r>
      <w:r w:rsidR="00C10B4B" w:rsidRPr="00AF1AD3">
        <w:rPr>
          <w:rFonts w:eastAsia="Calibri" w:cs="Calibri"/>
        </w:rPr>
        <w:t xml:space="preserve">ommunity activities. </w:t>
      </w:r>
    </w:p>
    <w:p w14:paraId="671A7CAE" w14:textId="19A9A437" w:rsidR="00C10B4B" w:rsidRPr="00F701AD" w:rsidRDefault="00C10B4B" w:rsidP="00C10B4B">
      <w:pPr>
        <w:contextualSpacing/>
      </w:pPr>
    </w:p>
    <w:p w14:paraId="732FB64D" w14:textId="7AB104F5" w:rsidR="00055F01" w:rsidRDefault="00C10B4B" w:rsidP="00C10B4B">
      <w:pPr>
        <w:contextualSpacing/>
        <w:rPr>
          <w:rFonts w:eastAsia="Calibri" w:cs="Calibri"/>
          <w:b/>
        </w:rPr>
      </w:pPr>
      <w:r>
        <w:rPr>
          <w:rFonts w:eastAsia="Calibri" w:cs="Calibri"/>
          <w:b/>
          <w:bCs/>
        </w:rPr>
        <w:t xml:space="preserve">Planned </w:t>
      </w:r>
      <w:r w:rsidRPr="00D03F1F">
        <w:rPr>
          <w:rFonts w:eastAsia="Calibri" w:cs="Calibri"/>
          <w:b/>
        </w:rPr>
        <w:t>Refinements</w:t>
      </w:r>
      <w:r>
        <w:rPr>
          <w:rFonts w:eastAsia="Calibri" w:cs="Calibri"/>
          <w:b/>
        </w:rPr>
        <w:t xml:space="preserve"> in </w:t>
      </w:r>
      <w:r w:rsidR="005B3FA5" w:rsidRPr="00E75198">
        <w:rPr>
          <w:rFonts w:eastAsia="Times New Roman" w:cs="Calibri"/>
          <w:b/>
          <w:i/>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7E2E0243" w14:textId="42CE02C0" w:rsidR="00C10B4B" w:rsidRPr="00F701AD" w:rsidRDefault="760AB408" w:rsidP="00025030">
      <w:pPr>
        <w:pStyle w:val="ListParagraph"/>
        <w:numPr>
          <w:ilvl w:val="0"/>
          <w:numId w:val="44"/>
        </w:numPr>
      </w:pPr>
      <w:r w:rsidRPr="4A933575">
        <w:rPr>
          <w:rFonts w:eastAsia="Calibri" w:cs="Calibri"/>
        </w:rPr>
        <w:t>C</w:t>
      </w:r>
      <w:r w:rsidR="337CA24F" w:rsidRPr="4A933575">
        <w:rPr>
          <w:rFonts w:eastAsia="Calibri" w:cs="Calibri"/>
        </w:rPr>
        <w:t>OO will c</w:t>
      </w:r>
      <w:r w:rsidRPr="4A933575">
        <w:rPr>
          <w:rFonts w:eastAsia="Calibri" w:cs="Calibri"/>
        </w:rPr>
        <w:t>ombine</w:t>
      </w:r>
      <w:r w:rsidR="182E1C61" w:rsidRPr="17310580">
        <w:rPr>
          <w:rFonts w:eastAsia="Calibri" w:cs="Calibri"/>
        </w:rPr>
        <w:t xml:space="preserve"> </w:t>
      </w:r>
      <w:r w:rsidR="7F29F3D6" w:rsidRPr="10685FFA">
        <w:rPr>
          <w:rFonts w:eastAsia="Calibri" w:cs="Calibri"/>
        </w:rPr>
        <w:t>program</w:t>
      </w:r>
      <w:r w:rsidR="182E1C61" w:rsidRPr="17310580">
        <w:rPr>
          <w:rFonts w:eastAsia="Calibri" w:cs="Calibri"/>
        </w:rPr>
        <w:t xml:space="preserve"> categories </w:t>
      </w:r>
      <w:r w:rsidR="37FF2ED4" w:rsidRPr="10685FFA">
        <w:rPr>
          <w:rFonts w:eastAsia="Calibri" w:cs="Calibri"/>
        </w:rPr>
        <w:t xml:space="preserve">in this strategy </w:t>
      </w:r>
      <w:r w:rsidR="57836BDB" w:rsidRPr="2F0FC263">
        <w:rPr>
          <w:rFonts w:eastAsia="Calibri" w:cs="Calibri"/>
        </w:rPr>
        <w:t>which were previously segmented</w:t>
      </w:r>
      <w:r w:rsidR="003811BD">
        <w:rPr>
          <w:rFonts w:eastAsia="Calibri" w:cs="Calibri"/>
        </w:rPr>
        <w:t>. T</w:t>
      </w:r>
      <w:r w:rsidR="57836BDB" w:rsidRPr="2F0FC263">
        <w:rPr>
          <w:rFonts w:eastAsia="Calibri" w:cs="Calibri"/>
        </w:rPr>
        <w:t>his change allows the program</w:t>
      </w:r>
      <w:r w:rsidR="37FF2ED4" w:rsidRPr="2F0FC263">
        <w:rPr>
          <w:rFonts w:eastAsia="Calibri" w:cs="Calibri"/>
        </w:rPr>
        <w:t xml:space="preserve"> </w:t>
      </w:r>
      <w:r w:rsidR="37FF2ED4" w:rsidRPr="3AB692B1">
        <w:rPr>
          <w:rFonts w:eastAsia="Calibri" w:cs="Calibri"/>
        </w:rPr>
        <w:t>t</w:t>
      </w:r>
      <w:r w:rsidR="1AEFF728" w:rsidRPr="3AB692B1">
        <w:rPr>
          <w:rFonts w:eastAsia="Calibri" w:cs="Calibri"/>
        </w:rPr>
        <w:t xml:space="preserve">o be responsive </w:t>
      </w:r>
      <w:r w:rsidR="49E8D36F" w:rsidRPr="69885476">
        <w:rPr>
          <w:rFonts w:eastAsia="Calibri" w:cs="Calibri"/>
        </w:rPr>
        <w:t xml:space="preserve">and adaptive </w:t>
      </w:r>
      <w:r w:rsidR="1AEFF728" w:rsidRPr="3AB692B1">
        <w:rPr>
          <w:rFonts w:eastAsia="Calibri" w:cs="Calibri"/>
        </w:rPr>
        <w:t>to community-identified needs</w:t>
      </w:r>
      <w:r w:rsidR="1147EBCE" w:rsidRPr="3F837DE5">
        <w:rPr>
          <w:rFonts w:eastAsia="Calibri" w:cs="Calibri"/>
        </w:rPr>
        <w:t>.</w:t>
      </w:r>
    </w:p>
    <w:p w14:paraId="4619C97D" w14:textId="1B858DDB" w:rsidR="00C10B4B" w:rsidRPr="00D03F1F" w:rsidRDefault="00C10B4B" w:rsidP="00C10B4B">
      <w:pPr>
        <w:contextualSpacing/>
        <w:rPr>
          <w:rFonts w:eastAsia="Calibri" w:cs="Calibri"/>
          <w:color w:val="000000" w:themeColor="text1"/>
        </w:rPr>
      </w:pPr>
      <w:r>
        <w:br/>
      </w:r>
      <w:r>
        <w:rPr>
          <w:rFonts w:eastAsia="Calibri" w:cs="Calibri"/>
          <w:b/>
          <w:bCs/>
        </w:rPr>
        <w:t xml:space="preserve">Anticipated </w:t>
      </w:r>
      <w:r w:rsidRPr="00D03F1F">
        <w:rPr>
          <w:rFonts w:eastAsia="Calibri" w:cs="Calibri"/>
          <w:b/>
        </w:rPr>
        <w:t>Timeline:</w:t>
      </w:r>
      <w:r w:rsidRPr="00D03F1F">
        <w:rPr>
          <w:rFonts w:eastAsia="Calibri" w:cs="Calibri"/>
        </w:rPr>
        <w:t xml:space="preserve"> </w:t>
      </w:r>
      <w:r>
        <w:rPr>
          <w:rFonts w:eastAsia="Calibri" w:cs="Calibri"/>
        </w:rPr>
        <w:t>Program operations are ongoing</w:t>
      </w:r>
      <w:r w:rsidR="00EA0E47">
        <w:rPr>
          <w:rFonts w:eastAsia="Calibri" w:cs="Calibri"/>
          <w:color w:val="000000" w:themeColor="text1"/>
        </w:rPr>
        <w:t>.</w:t>
      </w:r>
    </w:p>
    <w:p w14:paraId="0C366922" w14:textId="50E6B06D" w:rsidR="00DD4D44" w:rsidRPr="00801523" w:rsidRDefault="00C10B4B" w:rsidP="00DD4D44">
      <w:pPr>
        <w:contextualSpacing/>
        <w:rPr>
          <w:rFonts w:eastAsia="Calibri" w:cs="Calibri"/>
          <w:color w:val="000000" w:themeColor="text1"/>
        </w:rPr>
      </w:pPr>
      <w:r>
        <w:fldChar w:fldCharType="begin"/>
      </w:r>
      <w:r>
        <w:instrText xml:space="preserve"> ADDIN EN.REFLIST </w:instrText>
      </w:r>
      <w:r>
        <w:fldChar w:fldCharType="end"/>
      </w:r>
    </w:p>
    <w:p w14:paraId="17B95C7B" w14:textId="3D170238" w:rsidR="003F722E" w:rsidRDefault="003F722E" w:rsidP="00025030">
      <w:pPr>
        <w:pStyle w:val="Heading2"/>
        <w:numPr>
          <w:ilvl w:val="0"/>
          <w:numId w:val="26"/>
        </w:numPr>
      </w:pPr>
      <w:bookmarkStart w:id="85" w:name="_Capital_Program"/>
      <w:bookmarkStart w:id="86" w:name="_Toc71038206"/>
      <w:bookmarkStart w:id="87" w:name="_Toc85188550"/>
      <w:bookmarkEnd w:id="85"/>
      <w:r>
        <w:t xml:space="preserve">Capital </w:t>
      </w:r>
      <w:bookmarkEnd w:id="86"/>
      <w:r w:rsidR="00160443">
        <w:t>Program</w:t>
      </w:r>
      <w:bookmarkEnd w:id="87"/>
    </w:p>
    <w:p w14:paraId="428AA1E8" w14:textId="77777777" w:rsidR="007C7424" w:rsidRPr="007C7424" w:rsidRDefault="007C7424" w:rsidP="007C7424"/>
    <w:tbl>
      <w:tblPr>
        <w:tblW w:w="9540" w:type="dxa"/>
        <w:tblLook w:val="04A0" w:firstRow="1" w:lastRow="0" w:firstColumn="1" w:lastColumn="0" w:noHBand="0" w:noVBand="1"/>
      </w:tblPr>
      <w:tblGrid>
        <w:gridCol w:w="951"/>
        <w:gridCol w:w="1127"/>
        <w:gridCol w:w="1229"/>
        <w:gridCol w:w="1330"/>
        <w:gridCol w:w="1431"/>
        <w:gridCol w:w="1225"/>
        <w:gridCol w:w="1295"/>
        <w:gridCol w:w="1333"/>
      </w:tblGrid>
      <w:tr w:rsidR="00680DF2" w:rsidRPr="00D561EB" w14:paraId="38D7646E" w14:textId="77777777" w:rsidTr="003420B4">
        <w:trPr>
          <w:trHeight w:val="110"/>
        </w:trPr>
        <w:tc>
          <w:tcPr>
            <w:tcW w:w="9540" w:type="dxa"/>
            <w:gridSpan w:val="8"/>
            <w:tcBorders>
              <w:top w:val="nil"/>
              <w:left w:val="nil"/>
              <w:bottom w:val="single" w:sz="12" w:space="0" w:color="FFD966"/>
              <w:right w:val="nil"/>
            </w:tcBorders>
            <w:shd w:val="clear" w:color="auto" w:fill="auto"/>
            <w:noWrap/>
            <w:vAlign w:val="bottom"/>
            <w:hideMark/>
          </w:tcPr>
          <w:tbl>
            <w:tblPr>
              <w:tblStyle w:val="TableGrid"/>
              <w:tblpPr w:leftFromText="180" w:rightFromText="180" w:vertAnchor="text" w:horzAnchor="margin" w:tblpY="35"/>
              <w:tblW w:w="9420" w:type="dxa"/>
              <w:tblLook w:val="04A0" w:firstRow="1" w:lastRow="0" w:firstColumn="1" w:lastColumn="0" w:noHBand="0" w:noVBand="1"/>
            </w:tblPr>
            <w:tblGrid>
              <w:gridCol w:w="9420"/>
            </w:tblGrid>
            <w:tr w:rsidR="006B734D" w:rsidRPr="00D03F1F" w14:paraId="130C2417" w14:textId="77777777" w:rsidTr="007C7424">
              <w:trPr>
                <w:trHeight w:val="387"/>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1BC6218" w14:textId="77777777" w:rsidR="006B734D" w:rsidRPr="00254C32" w:rsidRDefault="006B734D" w:rsidP="006B734D">
                  <w:pPr>
                    <w:rPr>
                      <w:b/>
                      <w:sz w:val="28"/>
                      <w:szCs w:val="28"/>
                      <w:u w:val="single"/>
                    </w:rPr>
                  </w:pPr>
                  <w:r w:rsidRPr="00254C32">
                    <w:rPr>
                      <w:b/>
                      <w:sz w:val="28"/>
                      <w:szCs w:val="28"/>
                    </w:rPr>
                    <w:t>Capital Grants Pro</w:t>
                  </w:r>
                  <w:r>
                    <w:rPr>
                      <w:b/>
                      <w:sz w:val="28"/>
                      <w:szCs w:val="28"/>
                    </w:rPr>
                    <w:t>gram</w:t>
                  </w:r>
                </w:p>
              </w:tc>
            </w:tr>
          </w:tbl>
          <w:p w14:paraId="501B0D3B" w14:textId="25E0BA5D" w:rsidR="00D561EB" w:rsidRPr="00D561EB" w:rsidRDefault="00D561EB" w:rsidP="00D561EB">
            <w:pPr>
              <w:spacing w:line="240" w:lineRule="auto"/>
              <w:rPr>
                <w:rFonts w:eastAsia="Times New Roman" w:cs="Calibri"/>
                <w:b/>
                <w:bCs/>
                <w:i/>
                <w:iCs/>
                <w:color w:val="000000"/>
              </w:rPr>
            </w:pPr>
            <w:r w:rsidRPr="00D561EB">
              <w:rPr>
                <w:rFonts w:eastAsia="Times New Roman" w:cs="Calibri"/>
                <w:b/>
                <w:bCs/>
                <w:i/>
                <w:iCs/>
                <w:color w:val="000000"/>
              </w:rPr>
              <w:t>Funding Estimate:</w:t>
            </w:r>
          </w:p>
        </w:tc>
      </w:tr>
      <w:tr w:rsidR="007169C6" w:rsidRPr="00D561EB" w14:paraId="44F07BD9" w14:textId="77777777" w:rsidTr="003420B4">
        <w:trPr>
          <w:trHeight w:val="147"/>
        </w:trPr>
        <w:tc>
          <w:tcPr>
            <w:tcW w:w="951" w:type="dxa"/>
            <w:tcBorders>
              <w:top w:val="nil"/>
              <w:left w:val="single" w:sz="12" w:space="0" w:color="FFD966"/>
              <w:bottom w:val="single" w:sz="8" w:space="0" w:color="FFD966"/>
              <w:right w:val="single" w:sz="8" w:space="0" w:color="FFD966"/>
            </w:tcBorders>
            <w:shd w:val="clear" w:color="000000" w:fill="D9E1F2"/>
            <w:noWrap/>
            <w:vAlign w:val="center"/>
            <w:hideMark/>
          </w:tcPr>
          <w:p w14:paraId="3A349B31" w14:textId="77777777" w:rsidR="00D561EB" w:rsidRPr="00D561EB" w:rsidRDefault="00D561EB" w:rsidP="00D561EB">
            <w:pPr>
              <w:spacing w:line="240" w:lineRule="auto"/>
              <w:rPr>
                <w:rFonts w:eastAsia="Times New Roman" w:cs="Calibri"/>
                <w:b/>
                <w:bCs/>
                <w:i/>
                <w:iCs/>
              </w:rPr>
            </w:pPr>
            <w:r w:rsidRPr="00D561EB">
              <w:rPr>
                <w:rFonts w:eastAsia="Times New Roman" w:cs="Calibri"/>
                <w:b/>
                <w:bCs/>
                <w:i/>
                <w:iCs/>
              </w:rPr>
              <w:t>Year</w:t>
            </w:r>
          </w:p>
        </w:tc>
        <w:tc>
          <w:tcPr>
            <w:tcW w:w="1127" w:type="dxa"/>
            <w:tcBorders>
              <w:top w:val="nil"/>
              <w:left w:val="nil"/>
              <w:bottom w:val="single" w:sz="8" w:space="0" w:color="FFD966"/>
              <w:right w:val="single" w:sz="8" w:space="0" w:color="FFD966"/>
            </w:tcBorders>
            <w:shd w:val="clear" w:color="000000" w:fill="D9E1F2"/>
            <w:noWrap/>
            <w:vAlign w:val="center"/>
            <w:hideMark/>
          </w:tcPr>
          <w:p w14:paraId="0F32685E" w14:textId="77777777" w:rsidR="00D561EB" w:rsidRPr="00D561EB" w:rsidRDefault="00D561EB" w:rsidP="00D561EB">
            <w:pPr>
              <w:spacing w:line="240" w:lineRule="auto"/>
              <w:jc w:val="right"/>
              <w:rPr>
                <w:rFonts w:eastAsia="Times New Roman" w:cs="Calibri"/>
              </w:rPr>
            </w:pPr>
            <w:r w:rsidRPr="00D561EB">
              <w:rPr>
                <w:rFonts w:eastAsia="Times New Roman" w:cs="Calibri"/>
              </w:rPr>
              <w:t>2022</w:t>
            </w:r>
          </w:p>
        </w:tc>
        <w:tc>
          <w:tcPr>
            <w:tcW w:w="1229" w:type="dxa"/>
            <w:tcBorders>
              <w:top w:val="nil"/>
              <w:left w:val="nil"/>
              <w:bottom w:val="single" w:sz="8" w:space="0" w:color="FFD966"/>
              <w:right w:val="single" w:sz="8" w:space="0" w:color="FFD966"/>
            </w:tcBorders>
            <w:shd w:val="clear" w:color="000000" w:fill="D9E1F2"/>
            <w:noWrap/>
            <w:vAlign w:val="center"/>
            <w:hideMark/>
          </w:tcPr>
          <w:p w14:paraId="1BDA8F27" w14:textId="77777777" w:rsidR="00D561EB" w:rsidRPr="00D561EB" w:rsidRDefault="00D561EB" w:rsidP="00D561EB">
            <w:pPr>
              <w:spacing w:line="240" w:lineRule="auto"/>
              <w:jc w:val="right"/>
              <w:rPr>
                <w:rFonts w:eastAsia="Times New Roman" w:cs="Calibri"/>
              </w:rPr>
            </w:pPr>
            <w:r w:rsidRPr="00D561EB">
              <w:rPr>
                <w:rFonts w:eastAsia="Times New Roman" w:cs="Calibri"/>
              </w:rPr>
              <w:t>2023</w:t>
            </w:r>
          </w:p>
        </w:tc>
        <w:tc>
          <w:tcPr>
            <w:tcW w:w="1330" w:type="dxa"/>
            <w:tcBorders>
              <w:top w:val="nil"/>
              <w:left w:val="nil"/>
              <w:bottom w:val="single" w:sz="8" w:space="0" w:color="FFD966"/>
              <w:right w:val="single" w:sz="8" w:space="0" w:color="FFD966"/>
            </w:tcBorders>
            <w:shd w:val="clear" w:color="000000" w:fill="D9E1F2"/>
            <w:noWrap/>
            <w:vAlign w:val="center"/>
            <w:hideMark/>
          </w:tcPr>
          <w:p w14:paraId="2AB29D11" w14:textId="77777777" w:rsidR="00D561EB" w:rsidRPr="00D561EB" w:rsidRDefault="00D561EB" w:rsidP="00D561EB">
            <w:pPr>
              <w:spacing w:line="240" w:lineRule="auto"/>
              <w:jc w:val="right"/>
              <w:rPr>
                <w:rFonts w:eastAsia="Times New Roman" w:cs="Calibri"/>
              </w:rPr>
            </w:pPr>
            <w:r w:rsidRPr="00D561EB">
              <w:rPr>
                <w:rFonts w:eastAsia="Times New Roman" w:cs="Calibri"/>
              </w:rPr>
              <w:t>2024</w:t>
            </w:r>
          </w:p>
        </w:tc>
        <w:tc>
          <w:tcPr>
            <w:tcW w:w="1431" w:type="dxa"/>
            <w:tcBorders>
              <w:top w:val="nil"/>
              <w:left w:val="nil"/>
              <w:bottom w:val="single" w:sz="8" w:space="0" w:color="FFD966"/>
              <w:right w:val="single" w:sz="8" w:space="0" w:color="FFD966"/>
            </w:tcBorders>
            <w:shd w:val="clear" w:color="000000" w:fill="D9E1F2"/>
            <w:noWrap/>
            <w:vAlign w:val="center"/>
            <w:hideMark/>
          </w:tcPr>
          <w:p w14:paraId="21405D1C" w14:textId="77777777" w:rsidR="00D561EB" w:rsidRPr="00D561EB" w:rsidRDefault="00D561EB" w:rsidP="00D561EB">
            <w:pPr>
              <w:spacing w:line="240" w:lineRule="auto"/>
              <w:jc w:val="right"/>
              <w:rPr>
                <w:rFonts w:eastAsia="Times New Roman" w:cs="Calibri"/>
              </w:rPr>
            </w:pPr>
            <w:r w:rsidRPr="00D561EB">
              <w:rPr>
                <w:rFonts w:eastAsia="Times New Roman" w:cs="Calibri"/>
              </w:rPr>
              <w:t>2025</w:t>
            </w:r>
          </w:p>
        </w:tc>
        <w:tc>
          <w:tcPr>
            <w:tcW w:w="1225" w:type="dxa"/>
            <w:tcBorders>
              <w:top w:val="nil"/>
              <w:left w:val="nil"/>
              <w:bottom w:val="single" w:sz="8" w:space="0" w:color="FFD966"/>
              <w:right w:val="single" w:sz="8" w:space="0" w:color="FFD966"/>
            </w:tcBorders>
            <w:shd w:val="clear" w:color="000000" w:fill="D9E1F2"/>
            <w:noWrap/>
            <w:vAlign w:val="center"/>
            <w:hideMark/>
          </w:tcPr>
          <w:p w14:paraId="3D40BD09" w14:textId="77777777" w:rsidR="00D561EB" w:rsidRPr="00D561EB" w:rsidRDefault="00D561EB" w:rsidP="00D561EB">
            <w:pPr>
              <w:spacing w:line="240" w:lineRule="auto"/>
              <w:jc w:val="right"/>
              <w:rPr>
                <w:rFonts w:eastAsia="Times New Roman" w:cs="Calibri"/>
              </w:rPr>
            </w:pPr>
            <w:r w:rsidRPr="00D561EB">
              <w:rPr>
                <w:rFonts w:eastAsia="Times New Roman" w:cs="Calibri"/>
              </w:rPr>
              <w:t>2026</w:t>
            </w:r>
          </w:p>
        </w:tc>
        <w:tc>
          <w:tcPr>
            <w:tcW w:w="1295" w:type="dxa"/>
            <w:tcBorders>
              <w:top w:val="nil"/>
              <w:left w:val="nil"/>
              <w:bottom w:val="single" w:sz="8" w:space="0" w:color="FFD966"/>
              <w:right w:val="single" w:sz="8" w:space="0" w:color="FFD966"/>
            </w:tcBorders>
            <w:shd w:val="clear" w:color="000000" w:fill="D9E1F2"/>
            <w:noWrap/>
            <w:vAlign w:val="center"/>
            <w:hideMark/>
          </w:tcPr>
          <w:p w14:paraId="77A0CF25" w14:textId="77777777" w:rsidR="00D561EB" w:rsidRPr="00D561EB" w:rsidRDefault="00D561EB" w:rsidP="00D561EB">
            <w:pPr>
              <w:spacing w:line="240" w:lineRule="auto"/>
              <w:jc w:val="right"/>
              <w:rPr>
                <w:rFonts w:eastAsia="Times New Roman" w:cs="Calibri"/>
              </w:rPr>
            </w:pPr>
            <w:r w:rsidRPr="00D561EB">
              <w:rPr>
                <w:rFonts w:eastAsia="Times New Roman" w:cs="Calibri"/>
              </w:rPr>
              <w:t>2027</w:t>
            </w:r>
          </w:p>
        </w:tc>
        <w:tc>
          <w:tcPr>
            <w:tcW w:w="952" w:type="dxa"/>
            <w:tcBorders>
              <w:top w:val="nil"/>
              <w:left w:val="nil"/>
              <w:bottom w:val="single" w:sz="8" w:space="0" w:color="FFD966"/>
              <w:right w:val="single" w:sz="12" w:space="0" w:color="FFD966"/>
            </w:tcBorders>
            <w:shd w:val="clear" w:color="000000" w:fill="D9E1F2"/>
            <w:noWrap/>
            <w:vAlign w:val="center"/>
            <w:hideMark/>
          </w:tcPr>
          <w:p w14:paraId="6F37A637" w14:textId="77777777" w:rsidR="00D561EB" w:rsidRPr="00D561EB" w:rsidRDefault="00D561EB" w:rsidP="00D561EB">
            <w:pPr>
              <w:spacing w:line="240" w:lineRule="auto"/>
              <w:jc w:val="right"/>
              <w:rPr>
                <w:rFonts w:eastAsia="Times New Roman" w:cs="Calibri"/>
                <w:b/>
                <w:bCs/>
                <w:i/>
                <w:iCs/>
              </w:rPr>
            </w:pPr>
            <w:r w:rsidRPr="00D561EB">
              <w:rPr>
                <w:rFonts w:eastAsia="Times New Roman" w:cs="Calibri"/>
                <w:b/>
                <w:bCs/>
                <w:i/>
                <w:iCs/>
              </w:rPr>
              <w:t>Total</w:t>
            </w:r>
          </w:p>
        </w:tc>
      </w:tr>
      <w:tr w:rsidR="00936BC2" w:rsidRPr="00D561EB" w14:paraId="4412F84E" w14:textId="77777777" w:rsidTr="003420B4">
        <w:trPr>
          <w:trHeight w:val="147"/>
        </w:trPr>
        <w:tc>
          <w:tcPr>
            <w:tcW w:w="951" w:type="dxa"/>
            <w:tcBorders>
              <w:top w:val="nil"/>
              <w:left w:val="single" w:sz="12" w:space="0" w:color="FFD966"/>
              <w:bottom w:val="single" w:sz="12" w:space="0" w:color="FFD966"/>
              <w:right w:val="single" w:sz="8" w:space="0" w:color="FFD966"/>
            </w:tcBorders>
            <w:shd w:val="clear" w:color="auto" w:fill="auto"/>
            <w:noWrap/>
            <w:vAlign w:val="center"/>
            <w:hideMark/>
          </w:tcPr>
          <w:p w14:paraId="58CC1503" w14:textId="77777777" w:rsidR="00D561EB" w:rsidRPr="00D561EB" w:rsidRDefault="00D561EB" w:rsidP="00D561EB">
            <w:pPr>
              <w:spacing w:line="240" w:lineRule="auto"/>
              <w:rPr>
                <w:rFonts w:eastAsia="Times New Roman" w:cs="Calibri"/>
                <w:b/>
                <w:bCs/>
                <w:i/>
                <w:iCs/>
                <w:color w:val="000000"/>
              </w:rPr>
            </w:pPr>
            <w:r w:rsidRPr="00D561EB">
              <w:rPr>
                <w:rFonts w:eastAsia="Times New Roman" w:cs="Calibri"/>
                <w:b/>
                <w:bCs/>
                <w:i/>
                <w:iCs/>
                <w:color w:val="000000"/>
              </w:rPr>
              <w:t>Amount</w:t>
            </w:r>
          </w:p>
        </w:tc>
        <w:tc>
          <w:tcPr>
            <w:tcW w:w="1127" w:type="dxa"/>
            <w:tcBorders>
              <w:top w:val="nil"/>
              <w:left w:val="nil"/>
              <w:bottom w:val="single" w:sz="12" w:space="0" w:color="FFD966"/>
              <w:right w:val="single" w:sz="8" w:space="0" w:color="FFD966"/>
            </w:tcBorders>
            <w:shd w:val="clear" w:color="auto" w:fill="auto"/>
            <w:noWrap/>
            <w:vAlign w:val="center"/>
            <w:hideMark/>
          </w:tcPr>
          <w:p w14:paraId="284F047C" w14:textId="52DF605C"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4707E8">
              <w:rPr>
                <w:rFonts w:eastAsia="Times New Roman" w:cs="Calibri"/>
                <w:color w:val="000000"/>
                <w:sz w:val="20"/>
                <w:szCs w:val="20"/>
              </w:rPr>
              <w:t>5</w:t>
            </w:r>
            <w:r w:rsidRPr="00D561EB">
              <w:rPr>
                <w:rFonts w:eastAsia="Times New Roman" w:cs="Calibri"/>
                <w:color w:val="000000"/>
                <w:sz w:val="20"/>
                <w:szCs w:val="20"/>
              </w:rPr>
              <w:t>,</w:t>
            </w:r>
            <w:r w:rsidR="00A925A8">
              <w:rPr>
                <w:rFonts w:eastAsia="Times New Roman" w:cs="Calibri"/>
                <w:color w:val="000000"/>
                <w:sz w:val="20"/>
                <w:szCs w:val="20"/>
              </w:rPr>
              <w:t>0</w:t>
            </w:r>
            <w:r w:rsidR="004707E8">
              <w:rPr>
                <w:rFonts w:eastAsia="Times New Roman" w:cs="Calibri"/>
                <w:color w:val="000000"/>
                <w:sz w:val="20"/>
                <w:szCs w:val="20"/>
              </w:rPr>
              <w:t>00</w:t>
            </w:r>
            <w:r w:rsidRPr="00D561EB">
              <w:rPr>
                <w:rFonts w:eastAsia="Times New Roman" w:cs="Calibri"/>
                <w:color w:val="000000"/>
                <w:sz w:val="20"/>
                <w:szCs w:val="20"/>
              </w:rPr>
              <w:t xml:space="preserve">,000 </w:t>
            </w:r>
          </w:p>
        </w:tc>
        <w:tc>
          <w:tcPr>
            <w:tcW w:w="1229" w:type="dxa"/>
            <w:tcBorders>
              <w:top w:val="nil"/>
              <w:left w:val="nil"/>
              <w:bottom w:val="single" w:sz="12" w:space="0" w:color="FFD966"/>
              <w:right w:val="single" w:sz="8" w:space="0" w:color="FFD966"/>
            </w:tcBorders>
            <w:shd w:val="clear" w:color="auto" w:fill="auto"/>
            <w:noWrap/>
            <w:vAlign w:val="center"/>
            <w:hideMark/>
          </w:tcPr>
          <w:p w14:paraId="7A6BCE34" w14:textId="26FD056B"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6B1C98">
              <w:rPr>
                <w:rFonts w:eastAsia="Times New Roman" w:cs="Calibri"/>
                <w:color w:val="000000"/>
                <w:sz w:val="20"/>
                <w:szCs w:val="20"/>
              </w:rPr>
              <w:t>7,5</w:t>
            </w:r>
            <w:r w:rsidR="004707E8">
              <w:rPr>
                <w:rFonts w:eastAsia="Times New Roman" w:cs="Calibri"/>
                <w:color w:val="000000"/>
                <w:sz w:val="20"/>
                <w:szCs w:val="20"/>
              </w:rPr>
              <w:t>00,000</w:t>
            </w:r>
            <w:r w:rsidRPr="00D561EB">
              <w:rPr>
                <w:rFonts w:eastAsia="Times New Roman" w:cs="Calibri"/>
                <w:color w:val="000000"/>
                <w:sz w:val="20"/>
                <w:szCs w:val="20"/>
              </w:rPr>
              <w:t xml:space="preserve"> </w:t>
            </w:r>
          </w:p>
        </w:tc>
        <w:tc>
          <w:tcPr>
            <w:tcW w:w="1330" w:type="dxa"/>
            <w:tcBorders>
              <w:top w:val="nil"/>
              <w:left w:val="nil"/>
              <w:bottom w:val="single" w:sz="12" w:space="0" w:color="FFD966"/>
              <w:right w:val="single" w:sz="8" w:space="0" w:color="FFD966"/>
            </w:tcBorders>
            <w:shd w:val="clear" w:color="auto" w:fill="auto"/>
            <w:noWrap/>
            <w:vAlign w:val="center"/>
            <w:hideMark/>
          </w:tcPr>
          <w:p w14:paraId="14D293D5" w14:textId="552835C6"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AD4F5E">
              <w:rPr>
                <w:rFonts w:eastAsia="Times New Roman" w:cs="Calibri"/>
                <w:color w:val="000000"/>
                <w:sz w:val="20"/>
                <w:szCs w:val="20"/>
              </w:rPr>
              <w:t>5</w:t>
            </w:r>
            <w:r w:rsidRPr="00D561EB">
              <w:rPr>
                <w:rFonts w:eastAsia="Times New Roman" w:cs="Calibri"/>
                <w:color w:val="000000"/>
                <w:sz w:val="20"/>
                <w:szCs w:val="20"/>
              </w:rPr>
              <w:t>,</w:t>
            </w:r>
            <w:r w:rsidR="00AD4F5E">
              <w:rPr>
                <w:rFonts w:eastAsia="Times New Roman" w:cs="Calibri"/>
                <w:color w:val="000000"/>
                <w:sz w:val="20"/>
                <w:szCs w:val="20"/>
              </w:rPr>
              <w:t>0</w:t>
            </w:r>
            <w:r w:rsidR="00446E04">
              <w:rPr>
                <w:rFonts w:eastAsia="Times New Roman" w:cs="Calibri"/>
                <w:color w:val="000000"/>
                <w:sz w:val="20"/>
                <w:szCs w:val="20"/>
              </w:rPr>
              <w:t>00</w:t>
            </w:r>
            <w:r w:rsidRPr="00D561EB">
              <w:rPr>
                <w:rFonts w:eastAsia="Times New Roman" w:cs="Calibri"/>
                <w:color w:val="000000"/>
                <w:sz w:val="20"/>
                <w:szCs w:val="20"/>
              </w:rPr>
              <w:t xml:space="preserve">,000 </w:t>
            </w:r>
          </w:p>
        </w:tc>
        <w:tc>
          <w:tcPr>
            <w:tcW w:w="1431" w:type="dxa"/>
            <w:tcBorders>
              <w:top w:val="nil"/>
              <w:left w:val="nil"/>
              <w:bottom w:val="single" w:sz="12" w:space="0" w:color="FFD966"/>
              <w:right w:val="single" w:sz="8" w:space="0" w:color="FFD966"/>
            </w:tcBorders>
            <w:shd w:val="clear" w:color="auto" w:fill="auto"/>
            <w:noWrap/>
            <w:vAlign w:val="center"/>
            <w:hideMark/>
          </w:tcPr>
          <w:p w14:paraId="6D7E1E6E" w14:textId="61019A3E"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AD4F5E">
              <w:rPr>
                <w:rFonts w:eastAsia="Times New Roman" w:cs="Calibri"/>
                <w:color w:val="000000"/>
                <w:sz w:val="20"/>
                <w:szCs w:val="20"/>
              </w:rPr>
              <w:t>8</w:t>
            </w:r>
            <w:r w:rsidR="001445C1">
              <w:rPr>
                <w:rFonts w:eastAsia="Times New Roman" w:cs="Calibri"/>
                <w:color w:val="000000"/>
                <w:sz w:val="20"/>
                <w:szCs w:val="20"/>
              </w:rPr>
              <w:t>,</w:t>
            </w:r>
            <w:r w:rsidR="009F4C4B">
              <w:rPr>
                <w:rFonts w:eastAsia="Times New Roman" w:cs="Calibri"/>
                <w:color w:val="000000"/>
                <w:sz w:val="20"/>
                <w:szCs w:val="20"/>
              </w:rPr>
              <w:t>75</w:t>
            </w:r>
            <w:r w:rsidR="00446E04">
              <w:rPr>
                <w:rFonts w:eastAsia="Times New Roman" w:cs="Calibri"/>
                <w:color w:val="000000"/>
                <w:sz w:val="20"/>
                <w:szCs w:val="20"/>
              </w:rPr>
              <w:t>0</w:t>
            </w:r>
            <w:r w:rsidRPr="00D561EB">
              <w:rPr>
                <w:rFonts w:eastAsia="Times New Roman" w:cs="Calibri"/>
                <w:color w:val="000000"/>
                <w:sz w:val="20"/>
                <w:szCs w:val="20"/>
              </w:rPr>
              <w:t xml:space="preserve">,000 </w:t>
            </w:r>
          </w:p>
        </w:tc>
        <w:tc>
          <w:tcPr>
            <w:tcW w:w="1225" w:type="dxa"/>
            <w:tcBorders>
              <w:top w:val="nil"/>
              <w:left w:val="nil"/>
              <w:bottom w:val="single" w:sz="12" w:space="0" w:color="FFD966"/>
              <w:right w:val="single" w:sz="8" w:space="0" w:color="FFD966"/>
            </w:tcBorders>
            <w:shd w:val="clear" w:color="auto" w:fill="auto"/>
            <w:noWrap/>
            <w:vAlign w:val="center"/>
            <w:hideMark/>
          </w:tcPr>
          <w:p w14:paraId="1A6249D0" w14:textId="15873743"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9F4C4B">
              <w:rPr>
                <w:rFonts w:eastAsia="Times New Roman" w:cs="Calibri"/>
                <w:color w:val="000000"/>
                <w:sz w:val="20"/>
                <w:szCs w:val="20"/>
              </w:rPr>
              <w:t>9</w:t>
            </w:r>
            <w:r w:rsidR="003E2495">
              <w:rPr>
                <w:rFonts w:eastAsia="Times New Roman" w:cs="Calibri"/>
                <w:color w:val="000000"/>
                <w:sz w:val="20"/>
                <w:szCs w:val="20"/>
              </w:rPr>
              <w:t>,5</w:t>
            </w:r>
            <w:r w:rsidR="00446E04">
              <w:rPr>
                <w:rFonts w:eastAsia="Times New Roman" w:cs="Calibri"/>
                <w:color w:val="000000"/>
                <w:sz w:val="20"/>
                <w:szCs w:val="20"/>
              </w:rPr>
              <w:t>00</w:t>
            </w:r>
            <w:r w:rsidRPr="00D561EB">
              <w:rPr>
                <w:rFonts w:eastAsia="Times New Roman" w:cs="Calibri"/>
                <w:color w:val="000000"/>
                <w:sz w:val="20"/>
                <w:szCs w:val="20"/>
              </w:rPr>
              <w:t xml:space="preserve">,000 </w:t>
            </w:r>
          </w:p>
        </w:tc>
        <w:tc>
          <w:tcPr>
            <w:tcW w:w="1295" w:type="dxa"/>
            <w:tcBorders>
              <w:top w:val="nil"/>
              <w:left w:val="nil"/>
              <w:bottom w:val="single" w:sz="12" w:space="0" w:color="FFD966"/>
              <w:right w:val="single" w:sz="8" w:space="0" w:color="FFD966"/>
            </w:tcBorders>
            <w:shd w:val="clear" w:color="auto" w:fill="auto"/>
            <w:noWrap/>
            <w:vAlign w:val="center"/>
            <w:hideMark/>
          </w:tcPr>
          <w:p w14:paraId="47B6811C" w14:textId="16FCD332"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BC1E79">
              <w:rPr>
                <w:rFonts w:eastAsia="Times New Roman" w:cs="Calibri"/>
                <w:color w:val="000000"/>
                <w:sz w:val="20"/>
                <w:szCs w:val="20"/>
              </w:rPr>
              <w:t>1</w:t>
            </w:r>
            <w:r w:rsidR="009F4C4B">
              <w:rPr>
                <w:rFonts w:eastAsia="Times New Roman" w:cs="Calibri"/>
                <w:color w:val="000000"/>
                <w:sz w:val="20"/>
                <w:szCs w:val="20"/>
              </w:rPr>
              <w:t>4</w:t>
            </w:r>
            <w:r w:rsidR="00BC1E79">
              <w:rPr>
                <w:rFonts w:eastAsia="Times New Roman" w:cs="Calibri"/>
                <w:color w:val="000000"/>
                <w:sz w:val="20"/>
                <w:szCs w:val="20"/>
              </w:rPr>
              <w:t>,</w:t>
            </w:r>
            <w:r w:rsidR="006E627F">
              <w:rPr>
                <w:rFonts w:eastAsia="Times New Roman" w:cs="Calibri"/>
                <w:color w:val="000000"/>
                <w:sz w:val="20"/>
                <w:szCs w:val="20"/>
              </w:rPr>
              <w:t>25</w:t>
            </w:r>
            <w:r w:rsidR="00BC1E79">
              <w:rPr>
                <w:rFonts w:eastAsia="Times New Roman" w:cs="Calibri"/>
                <w:color w:val="000000"/>
                <w:sz w:val="20"/>
                <w:szCs w:val="20"/>
              </w:rPr>
              <w:t>0</w:t>
            </w:r>
            <w:r w:rsidRPr="00D561EB">
              <w:rPr>
                <w:rFonts w:eastAsia="Times New Roman" w:cs="Calibri"/>
                <w:color w:val="000000"/>
                <w:sz w:val="20"/>
                <w:szCs w:val="20"/>
              </w:rPr>
              <w:t xml:space="preserve">,000 </w:t>
            </w:r>
          </w:p>
        </w:tc>
        <w:tc>
          <w:tcPr>
            <w:tcW w:w="952" w:type="dxa"/>
            <w:tcBorders>
              <w:top w:val="nil"/>
              <w:left w:val="nil"/>
              <w:bottom w:val="single" w:sz="12" w:space="0" w:color="FFD966"/>
              <w:right w:val="single" w:sz="12" w:space="0" w:color="FFD966"/>
            </w:tcBorders>
            <w:shd w:val="clear" w:color="auto" w:fill="auto"/>
            <w:noWrap/>
            <w:vAlign w:val="center"/>
            <w:hideMark/>
          </w:tcPr>
          <w:p w14:paraId="3F83F320" w14:textId="3B25B81A" w:rsidR="00D561EB" w:rsidRPr="00D561EB" w:rsidRDefault="00D561EB" w:rsidP="00D561EB">
            <w:pPr>
              <w:spacing w:line="240" w:lineRule="auto"/>
              <w:jc w:val="right"/>
              <w:rPr>
                <w:rFonts w:eastAsia="Times New Roman" w:cs="Calibri"/>
                <w:b/>
                <w:bCs/>
                <w:color w:val="000000"/>
              </w:rPr>
            </w:pPr>
            <w:r w:rsidRPr="00D561EB">
              <w:rPr>
                <w:rFonts w:eastAsia="Times New Roman" w:cs="Calibri"/>
                <w:b/>
                <w:bCs/>
                <w:color w:val="000000"/>
              </w:rPr>
              <w:t>$</w:t>
            </w:r>
            <w:r w:rsidR="00484B68">
              <w:rPr>
                <w:rFonts w:eastAsia="Times New Roman" w:cs="Calibri"/>
                <w:b/>
                <w:bCs/>
                <w:color w:val="000000"/>
              </w:rPr>
              <w:t>50,000,000</w:t>
            </w:r>
            <w:r w:rsidRPr="00D561EB">
              <w:rPr>
                <w:rFonts w:eastAsia="Times New Roman" w:cs="Calibri"/>
                <w:b/>
                <w:bCs/>
                <w:color w:val="000000"/>
              </w:rPr>
              <w:t xml:space="preserve"> </w:t>
            </w:r>
          </w:p>
        </w:tc>
      </w:tr>
    </w:tbl>
    <w:p w14:paraId="7C72656A" w14:textId="77777777" w:rsidR="003F722E" w:rsidRDefault="003F722E" w:rsidP="003F722E">
      <w:pPr>
        <w:rPr>
          <w:rFonts w:eastAsia="Calibri"/>
          <w:b/>
          <w:bCs/>
          <w:color w:val="00B050"/>
        </w:rPr>
      </w:pPr>
    </w:p>
    <w:p w14:paraId="4BA99655" w14:textId="1E334823" w:rsidR="003F722E" w:rsidRPr="00220A4A" w:rsidRDefault="003F722E" w:rsidP="003F722E">
      <w:pPr>
        <w:contextualSpacing/>
        <w:rPr>
          <w:rFonts w:eastAsia="Calibri" w:cs="Calibri"/>
          <w:b/>
          <w:bCs/>
        </w:rPr>
      </w:pPr>
      <w:r w:rsidRPr="00220A4A">
        <w:rPr>
          <w:rFonts w:eastAsia="Calibri" w:cs="Calibri"/>
          <w:b/>
          <w:bCs/>
        </w:rPr>
        <w:t>Description and Approach:</w:t>
      </w:r>
    </w:p>
    <w:p w14:paraId="1B113B6C" w14:textId="71E8987A" w:rsidR="00E507DD" w:rsidRDefault="003F722E" w:rsidP="003F722E">
      <w:pPr>
        <w:contextualSpacing/>
        <w:rPr>
          <w:rFonts w:eastAsia="Calibri" w:cs="Calibri"/>
        </w:rPr>
      </w:pPr>
      <w:r w:rsidRPr="65049D61">
        <w:rPr>
          <w:rFonts w:eastAsia="Calibri" w:cs="Calibri"/>
          <w:i/>
          <w:iCs/>
        </w:rPr>
        <w:t>Best Starts’</w:t>
      </w:r>
      <w:r w:rsidRPr="4BD402C6">
        <w:rPr>
          <w:rFonts w:eastAsia="Calibri" w:cs="Calibri"/>
        </w:rPr>
        <w:t xml:space="preserve"> Capital </w:t>
      </w:r>
      <w:r w:rsidR="008910F9">
        <w:rPr>
          <w:rFonts w:eastAsia="Calibri" w:cs="Calibri"/>
        </w:rPr>
        <w:t xml:space="preserve">Grants </w:t>
      </w:r>
      <w:r w:rsidRPr="4BD402C6">
        <w:rPr>
          <w:rFonts w:eastAsia="Calibri" w:cs="Calibri"/>
        </w:rPr>
        <w:t xml:space="preserve">Program will provide </w:t>
      </w:r>
      <w:r w:rsidR="00A01592">
        <w:rPr>
          <w:rFonts w:eastAsia="Calibri" w:cs="Calibri"/>
        </w:rPr>
        <w:t>contracts</w:t>
      </w:r>
      <w:r w:rsidRPr="4BD402C6">
        <w:rPr>
          <w:rFonts w:eastAsia="Calibri" w:cs="Calibri"/>
        </w:rPr>
        <w:t xml:space="preserve"> for building repairs,</w:t>
      </w:r>
      <w:r w:rsidRPr="4BD402C6">
        <w:rPr>
          <w:rFonts w:eastAsia="Calibri" w:cs="Calibri"/>
          <w:color w:val="00B050"/>
        </w:rPr>
        <w:t xml:space="preserve"> </w:t>
      </w:r>
      <w:r w:rsidR="00041C45">
        <w:rPr>
          <w:rFonts w:eastAsia="Calibri" w:cs="Calibri"/>
        </w:rPr>
        <w:t>renovations</w:t>
      </w:r>
      <w:r w:rsidRPr="65049D61">
        <w:rPr>
          <w:rFonts w:eastAsia="Calibri" w:cs="Calibri"/>
        </w:rPr>
        <w:t xml:space="preserve"> and new construction or expansion to </w:t>
      </w:r>
      <w:r w:rsidR="000E2DC6">
        <w:rPr>
          <w:rFonts w:eastAsia="Calibri" w:cs="Calibri"/>
        </w:rPr>
        <w:t>improve</w:t>
      </w:r>
      <w:r w:rsidRPr="65049D61">
        <w:rPr>
          <w:rFonts w:eastAsia="Calibri" w:cs="Calibri"/>
        </w:rPr>
        <w:t xml:space="preserve"> access </w:t>
      </w:r>
      <w:r w:rsidR="000E2DC6">
        <w:rPr>
          <w:rFonts w:eastAsia="Calibri" w:cs="Calibri"/>
        </w:rPr>
        <w:t xml:space="preserve">to </w:t>
      </w:r>
      <w:r w:rsidRPr="65049D61">
        <w:rPr>
          <w:rFonts w:eastAsia="Calibri" w:cs="Calibri"/>
        </w:rPr>
        <w:t>high quality programs and services for low</w:t>
      </w:r>
      <w:r w:rsidR="0005554A">
        <w:rPr>
          <w:rFonts w:eastAsia="Calibri" w:cs="Calibri"/>
        </w:rPr>
        <w:t>-</w:t>
      </w:r>
      <w:r w:rsidRPr="65049D61">
        <w:rPr>
          <w:rFonts w:eastAsia="Calibri" w:cs="Calibri"/>
        </w:rPr>
        <w:t xml:space="preserve">income children, youth, </w:t>
      </w:r>
      <w:r w:rsidR="00571ADA">
        <w:rPr>
          <w:rFonts w:eastAsia="Calibri" w:cs="Calibri"/>
        </w:rPr>
        <w:t xml:space="preserve">and </w:t>
      </w:r>
      <w:r w:rsidRPr="65049D61">
        <w:rPr>
          <w:rFonts w:eastAsia="Calibri" w:cs="Calibri"/>
        </w:rPr>
        <w:t>families</w:t>
      </w:r>
      <w:r w:rsidR="001665A1">
        <w:rPr>
          <w:rFonts w:eastAsia="Calibri" w:cs="Calibri"/>
        </w:rPr>
        <w:t>, with a priority for those serving</w:t>
      </w:r>
      <w:r w:rsidR="00040BB5">
        <w:rPr>
          <w:rFonts w:eastAsia="Calibri" w:cs="Calibri"/>
        </w:rPr>
        <w:t xml:space="preserve"> </w:t>
      </w:r>
      <w:r w:rsidRPr="65049D61">
        <w:rPr>
          <w:rFonts w:eastAsia="Calibri" w:cs="Calibri"/>
        </w:rPr>
        <w:t xml:space="preserve">Black, Indigenous, </w:t>
      </w:r>
      <w:r w:rsidR="006446FA">
        <w:rPr>
          <w:rFonts w:eastAsia="Calibri" w:cs="Calibri"/>
        </w:rPr>
        <w:t xml:space="preserve">and </w:t>
      </w:r>
      <w:r w:rsidRPr="65049D61">
        <w:rPr>
          <w:rFonts w:eastAsia="Calibri" w:cs="Calibri"/>
        </w:rPr>
        <w:t>People of Color (BIPOC)</w:t>
      </w:r>
      <w:r w:rsidR="001665A1">
        <w:rPr>
          <w:rFonts w:eastAsia="Calibri" w:cs="Calibri"/>
        </w:rPr>
        <w:t xml:space="preserve"> communities</w:t>
      </w:r>
      <w:r w:rsidR="00EA0E47">
        <w:rPr>
          <w:rFonts w:eastAsia="Calibri" w:cs="Calibri"/>
        </w:rPr>
        <w:t xml:space="preserve">. </w:t>
      </w:r>
      <w:r w:rsidR="003264BF">
        <w:rPr>
          <w:rFonts w:eastAsia="Calibri" w:cs="Calibri"/>
        </w:rPr>
        <w:t xml:space="preserve">In addition, </w:t>
      </w:r>
      <w:r w:rsidR="00122803">
        <w:rPr>
          <w:rFonts w:eastAsia="Calibri" w:cs="Calibri"/>
        </w:rPr>
        <w:t>rural areas and or low</w:t>
      </w:r>
      <w:r w:rsidR="008910F9">
        <w:rPr>
          <w:rFonts w:eastAsia="Calibri" w:cs="Calibri"/>
        </w:rPr>
        <w:t>-</w:t>
      </w:r>
      <w:r w:rsidR="00122803">
        <w:rPr>
          <w:rFonts w:eastAsia="Calibri" w:cs="Calibri"/>
        </w:rPr>
        <w:t xml:space="preserve">income areas with lack of access will be prioritized. </w:t>
      </w:r>
      <w:r w:rsidRPr="65049D61">
        <w:rPr>
          <w:rFonts w:eastAsia="Calibri" w:cs="Calibri"/>
        </w:rPr>
        <w:t>The program will focus on equitable community</w:t>
      </w:r>
      <w:r w:rsidR="003C4978">
        <w:rPr>
          <w:rFonts w:eastAsia="Calibri" w:cs="Calibri"/>
        </w:rPr>
        <w:t>-</w:t>
      </w:r>
      <w:r w:rsidRPr="65049D61">
        <w:rPr>
          <w:rFonts w:eastAsia="Calibri" w:cs="Calibri"/>
        </w:rPr>
        <w:t xml:space="preserve">driven development to ensure projects are aligned with and serve </w:t>
      </w:r>
      <w:r w:rsidR="009B724A">
        <w:rPr>
          <w:rFonts w:eastAsia="Calibri" w:cs="Calibri"/>
        </w:rPr>
        <w:t>communities’</w:t>
      </w:r>
      <w:r w:rsidRPr="65049D61">
        <w:rPr>
          <w:rFonts w:eastAsia="Calibri" w:cs="Calibri"/>
        </w:rPr>
        <w:t xml:space="preserve"> needs.</w:t>
      </w:r>
      <w:r w:rsidRPr="65049D61" w:rsidDel="006773C6">
        <w:rPr>
          <w:rFonts w:eastAsia="Calibri" w:cs="Calibri"/>
        </w:rPr>
        <w:t xml:space="preserve"> </w:t>
      </w:r>
      <w:r w:rsidRPr="65049D61">
        <w:rPr>
          <w:rFonts w:eastAsia="Calibri" w:cs="Calibri"/>
        </w:rPr>
        <w:t>Eligible</w:t>
      </w:r>
      <w:r w:rsidRPr="65049D61" w:rsidDel="005F03BD">
        <w:rPr>
          <w:rFonts w:eastAsia="Calibri" w:cs="Calibri"/>
        </w:rPr>
        <w:t xml:space="preserve"> </w:t>
      </w:r>
      <w:r w:rsidR="006A6D74">
        <w:rPr>
          <w:rFonts w:eastAsia="Calibri" w:cs="Calibri"/>
        </w:rPr>
        <w:t>projects</w:t>
      </w:r>
      <w:r w:rsidRPr="65049D61">
        <w:rPr>
          <w:rFonts w:eastAsia="Calibri" w:cs="Calibri"/>
        </w:rPr>
        <w:t xml:space="preserve"> may include</w:t>
      </w:r>
      <w:r w:rsidR="00405050">
        <w:rPr>
          <w:rFonts w:eastAsia="Calibri" w:cs="Calibri"/>
        </w:rPr>
        <w:t>,</w:t>
      </w:r>
      <w:r w:rsidRPr="65049D61">
        <w:rPr>
          <w:rFonts w:eastAsia="Calibri" w:cs="Calibri"/>
        </w:rPr>
        <w:t xml:space="preserve"> but are not limited to</w:t>
      </w:r>
      <w:r w:rsidR="00405050">
        <w:rPr>
          <w:rFonts w:eastAsia="Calibri" w:cs="Calibri"/>
        </w:rPr>
        <w:t>,</w:t>
      </w:r>
      <w:r w:rsidRPr="65049D61">
        <w:rPr>
          <w:rFonts w:eastAsia="Calibri" w:cs="Calibri"/>
        </w:rPr>
        <w:t xml:space="preserve"> </w:t>
      </w:r>
      <w:r w:rsidR="004E61E9">
        <w:t>recreational</w:t>
      </w:r>
      <w:r w:rsidR="0047027C">
        <w:t>, early learning, and child care</w:t>
      </w:r>
      <w:r w:rsidR="004E61E9">
        <w:t xml:space="preserve"> facilities</w:t>
      </w:r>
      <w:r w:rsidR="0047027C">
        <w:t xml:space="preserve"> and housing for youth</w:t>
      </w:r>
      <w:r w:rsidR="00DD4142">
        <w:t>,</w:t>
      </w:r>
      <w:r w:rsidR="0047027C">
        <w:t xml:space="preserve"> young adults, and families</w:t>
      </w:r>
      <w:r w:rsidR="004E61E9">
        <w:t xml:space="preserve">. </w:t>
      </w:r>
      <w:r w:rsidR="00AB3347">
        <w:rPr>
          <w:rFonts w:eastAsia="Calibri" w:cs="Calibri"/>
        </w:rPr>
        <w:t xml:space="preserve">Consistent with recommendations from the CYAB, funding will be prioritized for </w:t>
      </w:r>
      <w:r w:rsidR="00AF5499">
        <w:rPr>
          <w:rFonts w:eastAsia="Calibri" w:cs="Calibri"/>
        </w:rPr>
        <w:t>sites</w:t>
      </w:r>
      <w:r w:rsidR="00AB3347">
        <w:rPr>
          <w:rFonts w:eastAsia="Calibri" w:cs="Calibri"/>
        </w:rPr>
        <w:t xml:space="preserve"> that are</w:t>
      </w:r>
      <w:r w:rsidRPr="65049D61">
        <w:rPr>
          <w:rFonts w:eastAsia="Calibri" w:cs="Calibri"/>
        </w:rPr>
        <w:t xml:space="preserve"> multi-use</w:t>
      </w:r>
      <w:r w:rsidR="00AB3347">
        <w:rPr>
          <w:rFonts w:eastAsia="Calibri" w:cs="Calibri"/>
        </w:rPr>
        <w:t xml:space="preserve">, </w:t>
      </w:r>
      <w:r w:rsidRPr="65049D61">
        <w:rPr>
          <w:rFonts w:eastAsia="Calibri" w:cs="Calibri"/>
        </w:rPr>
        <w:t>intergenerational</w:t>
      </w:r>
      <w:r w:rsidR="00AB3347">
        <w:rPr>
          <w:rFonts w:eastAsia="Calibri" w:cs="Calibri"/>
        </w:rPr>
        <w:t>, or</w:t>
      </w:r>
      <w:r w:rsidR="006853C0">
        <w:rPr>
          <w:rFonts w:eastAsia="Calibri" w:cs="Calibri"/>
        </w:rPr>
        <w:t xml:space="preserve"> </w:t>
      </w:r>
      <w:r w:rsidR="00900346">
        <w:rPr>
          <w:rFonts w:eastAsia="Calibri" w:cs="Calibri"/>
        </w:rPr>
        <w:t>includ</w:t>
      </w:r>
      <w:r w:rsidR="00AB3347">
        <w:rPr>
          <w:rFonts w:eastAsia="Calibri" w:cs="Calibri"/>
        </w:rPr>
        <w:t>e</w:t>
      </w:r>
      <w:r w:rsidR="00900346">
        <w:rPr>
          <w:rFonts w:eastAsia="Calibri" w:cs="Calibri"/>
        </w:rPr>
        <w:t xml:space="preserve"> </w:t>
      </w:r>
      <w:r w:rsidRPr="65049D61">
        <w:rPr>
          <w:rFonts w:eastAsia="Calibri" w:cs="Calibri"/>
        </w:rPr>
        <w:t>covered outdoor spaces</w:t>
      </w:r>
      <w:r w:rsidR="00E13D9F">
        <w:rPr>
          <w:rFonts w:eastAsia="Calibri" w:cs="Calibri"/>
        </w:rPr>
        <w:t>.</w:t>
      </w:r>
      <w:r w:rsidR="00900346">
        <w:rPr>
          <w:rFonts w:eastAsia="Calibri" w:cs="Calibri"/>
        </w:rPr>
        <w:t xml:space="preserve"> </w:t>
      </w:r>
      <w:r w:rsidR="005749E5">
        <w:rPr>
          <w:rFonts w:eastAsia="Calibri" w:cs="Calibri"/>
        </w:rPr>
        <w:t>Priority will also be given for</w:t>
      </w:r>
      <w:r w:rsidR="00C11461">
        <w:rPr>
          <w:rFonts w:eastAsia="Calibri" w:cs="Calibri"/>
        </w:rPr>
        <w:t xml:space="preserve"> projects </w:t>
      </w:r>
      <w:r w:rsidR="00041C45">
        <w:rPr>
          <w:rFonts w:eastAsia="Calibri" w:cs="Calibri"/>
        </w:rPr>
        <w:t>serving</w:t>
      </w:r>
      <w:r w:rsidR="00C851D8">
        <w:rPr>
          <w:rFonts w:eastAsia="Calibri" w:cs="Calibri"/>
        </w:rPr>
        <w:t xml:space="preserve"> </w:t>
      </w:r>
      <w:r w:rsidR="00C851D8" w:rsidRPr="4BD402C6">
        <w:rPr>
          <w:rFonts w:eastAsia="Times New Roman" w:cs="Times New Roman"/>
        </w:rPr>
        <w:t>communities that historically have limited or no access to facilities</w:t>
      </w:r>
      <w:r w:rsidR="00C851D8">
        <w:rPr>
          <w:rFonts w:eastAsia="Times New Roman" w:cs="Times New Roman"/>
        </w:rPr>
        <w:t xml:space="preserve"> for such services</w:t>
      </w:r>
      <w:r w:rsidR="00C851D8">
        <w:rPr>
          <w:rFonts w:eastAsia="Calibri" w:cs="Calibri"/>
        </w:rPr>
        <w:t xml:space="preserve"> and developments </w:t>
      </w:r>
      <w:r w:rsidR="00C11461">
        <w:rPr>
          <w:rFonts w:eastAsia="Calibri" w:cs="Calibri"/>
        </w:rPr>
        <w:t xml:space="preserve">that leverage other capital investments, </w:t>
      </w:r>
      <w:r w:rsidR="00301C3F">
        <w:rPr>
          <w:rFonts w:eastAsia="Calibri" w:cs="Calibri"/>
        </w:rPr>
        <w:t>including County</w:t>
      </w:r>
      <w:r w:rsidR="00C11461">
        <w:rPr>
          <w:rFonts w:eastAsia="Calibri" w:cs="Calibri"/>
        </w:rPr>
        <w:t xml:space="preserve"> PSTAA and affordable housing funds. </w:t>
      </w:r>
      <w:r w:rsidR="00C851D8">
        <w:rPr>
          <w:rFonts w:eastAsia="Calibri" w:cs="Calibri"/>
        </w:rPr>
        <w:t>All</w:t>
      </w:r>
      <w:r w:rsidR="00900346">
        <w:rPr>
          <w:rFonts w:eastAsia="Calibri" w:cs="Calibri"/>
        </w:rPr>
        <w:t xml:space="preserve"> </w:t>
      </w:r>
      <w:r w:rsidR="0050421B">
        <w:rPr>
          <w:rFonts w:eastAsia="Calibri" w:cs="Calibri"/>
        </w:rPr>
        <w:t>BSK-s</w:t>
      </w:r>
      <w:r w:rsidR="0060524D">
        <w:rPr>
          <w:rFonts w:eastAsia="Calibri" w:cs="Calibri"/>
        </w:rPr>
        <w:t xml:space="preserve">upported buildings </w:t>
      </w:r>
      <w:r w:rsidR="00C851D8">
        <w:rPr>
          <w:rFonts w:eastAsia="Calibri" w:cs="Calibri"/>
        </w:rPr>
        <w:t xml:space="preserve">are expected to </w:t>
      </w:r>
      <w:r w:rsidR="0060524D">
        <w:rPr>
          <w:rFonts w:eastAsia="Calibri" w:cs="Calibri"/>
        </w:rPr>
        <w:t>have</w:t>
      </w:r>
      <w:r w:rsidRPr="65049D61">
        <w:rPr>
          <w:rFonts w:eastAsia="Calibri" w:cs="Calibri"/>
        </w:rPr>
        <w:t xml:space="preserve"> </w:t>
      </w:r>
      <w:r w:rsidR="00F8400F">
        <w:rPr>
          <w:rFonts w:eastAsia="Calibri" w:cs="Calibri"/>
        </w:rPr>
        <w:t xml:space="preserve">culturally responsive </w:t>
      </w:r>
      <w:r w:rsidR="00234612">
        <w:rPr>
          <w:rFonts w:eastAsia="Calibri" w:cs="Calibri"/>
        </w:rPr>
        <w:t xml:space="preserve">child care and early learning services or </w:t>
      </w:r>
      <w:r w:rsidR="00B30FBC">
        <w:rPr>
          <w:rFonts w:eastAsia="Calibri" w:cs="Calibri"/>
        </w:rPr>
        <w:t xml:space="preserve">other </w:t>
      </w:r>
      <w:r w:rsidRPr="65049D61">
        <w:rPr>
          <w:rFonts w:eastAsia="Calibri" w:cs="Calibri"/>
        </w:rPr>
        <w:t>programs for children and youth</w:t>
      </w:r>
      <w:r w:rsidR="00234612">
        <w:rPr>
          <w:rFonts w:eastAsia="Calibri" w:cs="Calibri"/>
        </w:rPr>
        <w:t>.</w:t>
      </w:r>
      <w:r w:rsidRPr="65049D61">
        <w:rPr>
          <w:rFonts w:eastAsia="Calibri" w:cs="Calibri"/>
        </w:rPr>
        <w:t xml:space="preserve"> </w:t>
      </w:r>
      <w:r w:rsidR="00E83BC4">
        <w:rPr>
          <w:rFonts w:eastAsia="Calibri" w:cs="Calibri"/>
        </w:rPr>
        <w:t>F</w:t>
      </w:r>
      <w:r w:rsidRPr="65049D61">
        <w:rPr>
          <w:rFonts w:eastAsia="Calibri" w:cs="Calibri"/>
        </w:rPr>
        <w:t xml:space="preserve">unded buildings </w:t>
      </w:r>
      <w:r w:rsidR="002374BA">
        <w:rPr>
          <w:rFonts w:eastAsia="Calibri" w:cs="Calibri"/>
        </w:rPr>
        <w:t xml:space="preserve">and facilities </w:t>
      </w:r>
      <w:r w:rsidRPr="65049D61">
        <w:rPr>
          <w:rFonts w:eastAsia="Calibri" w:cs="Calibri"/>
        </w:rPr>
        <w:t xml:space="preserve">are </w:t>
      </w:r>
      <w:r w:rsidR="0050421B">
        <w:rPr>
          <w:rFonts w:eastAsia="Calibri" w:cs="Calibri"/>
        </w:rPr>
        <w:t xml:space="preserve">also </w:t>
      </w:r>
      <w:r w:rsidRPr="65049D61">
        <w:rPr>
          <w:rFonts w:eastAsia="Calibri" w:cs="Calibri"/>
        </w:rPr>
        <w:t xml:space="preserve">expected to </w:t>
      </w:r>
      <w:r w:rsidR="0076348F">
        <w:rPr>
          <w:rFonts w:eastAsia="Calibri" w:cs="Calibri"/>
        </w:rPr>
        <w:t>host</w:t>
      </w:r>
      <w:r w:rsidR="0079063C">
        <w:rPr>
          <w:rFonts w:eastAsia="Calibri" w:cs="Calibri"/>
        </w:rPr>
        <w:t xml:space="preserve"> permanent</w:t>
      </w:r>
      <w:r w:rsidRPr="65049D61">
        <w:rPr>
          <w:rFonts w:eastAsia="Calibri" w:cs="Calibri"/>
        </w:rPr>
        <w:t xml:space="preserve"> low</w:t>
      </w:r>
      <w:r w:rsidR="0014456F">
        <w:rPr>
          <w:rFonts w:eastAsia="Calibri" w:cs="Calibri"/>
        </w:rPr>
        <w:t>-</w:t>
      </w:r>
      <w:r w:rsidRPr="65049D61">
        <w:rPr>
          <w:rFonts w:eastAsia="Calibri" w:cs="Calibri"/>
        </w:rPr>
        <w:t xml:space="preserve">cost or free programming </w:t>
      </w:r>
      <w:r w:rsidR="00AC3DC4">
        <w:rPr>
          <w:rFonts w:eastAsia="Calibri" w:cs="Calibri"/>
        </w:rPr>
        <w:t>for</w:t>
      </w:r>
      <w:r w:rsidRPr="65049D61">
        <w:rPr>
          <w:rFonts w:eastAsia="Calibri" w:cs="Calibri"/>
        </w:rPr>
        <w:t xml:space="preserve"> low</w:t>
      </w:r>
      <w:r w:rsidR="00C0179B">
        <w:rPr>
          <w:rFonts w:eastAsia="Calibri" w:cs="Calibri"/>
        </w:rPr>
        <w:t>-</w:t>
      </w:r>
      <w:r w:rsidRPr="65049D61">
        <w:rPr>
          <w:rFonts w:eastAsia="Calibri" w:cs="Calibri"/>
        </w:rPr>
        <w:t>income households</w:t>
      </w:r>
      <w:r w:rsidR="00C851D8">
        <w:rPr>
          <w:rFonts w:eastAsia="Calibri" w:cs="Calibri"/>
        </w:rPr>
        <w:t>, consistent with recommendations from the CYAB</w:t>
      </w:r>
      <w:r w:rsidRPr="65049D61">
        <w:rPr>
          <w:rFonts w:eastAsia="Calibri" w:cs="Calibri"/>
        </w:rPr>
        <w:t xml:space="preserve">. </w:t>
      </w:r>
    </w:p>
    <w:p w14:paraId="40089998" w14:textId="77777777" w:rsidR="00E507DD" w:rsidRDefault="00E507DD" w:rsidP="003F722E">
      <w:pPr>
        <w:contextualSpacing/>
        <w:rPr>
          <w:rFonts w:eastAsia="Calibri" w:cs="Calibri"/>
        </w:rPr>
      </w:pPr>
    </w:p>
    <w:p w14:paraId="43F91A6A" w14:textId="4DF86FDD" w:rsidR="003F722E" w:rsidRDefault="00E00BA6" w:rsidP="003F722E">
      <w:pPr>
        <w:contextualSpacing/>
        <w:rPr>
          <w:rFonts w:eastAsia="Calibri" w:cs="Calibri"/>
        </w:rPr>
      </w:pPr>
      <w:r>
        <w:rPr>
          <w:rFonts w:eastAsia="Calibri" w:cs="Calibri"/>
        </w:rPr>
        <w:t xml:space="preserve">Capital </w:t>
      </w:r>
      <w:r w:rsidR="00210A97">
        <w:rPr>
          <w:rFonts w:eastAsia="Calibri" w:cs="Calibri"/>
        </w:rPr>
        <w:t>g</w:t>
      </w:r>
      <w:r w:rsidR="003F722E" w:rsidRPr="65049D61" w:rsidDel="00817621">
        <w:rPr>
          <w:rFonts w:eastAsia="Calibri" w:cs="Calibri"/>
        </w:rPr>
        <w:t>rant</w:t>
      </w:r>
      <w:r w:rsidR="0027360E">
        <w:rPr>
          <w:rFonts w:eastAsia="Calibri" w:cs="Calibri"/>
        </w:rPr>
        <w:t>s</w:t>
      </w:r>
      <w:r w:rsidR="003F722E" w:rsidRPr="65049D61" w:rsidDel="00817621">
        <w:rPr>
          <w:rFonts w:eastAsia="Calibri" w:cs="Calibri"/>
        </w:rPr>
        <w:t xml:space="preserve"> funding </w:t>
      </w:r>
      <w:r w:rsidR="003F722E" w:rsidRPr="65049D61">
        <w:rPr>
          <w:rFonts w:eastAsia="Calibri" w:cs="Calibri"/>
        </w:rPr>
        <w:t>will be offered on an annual basis through a competitive procurement process informed by community engagement</w:t>
      </w:r>
      <w:r w:rsidR="00B918B1">
        <w:rPr>
          <w:rFonts w:eastAsia="Calibri" w:cs="Calibri"/>
        </w:rPr>
        <w:t xml:space="preserve">. </w:t>
      </w:r>
      <w:r w:rsidR="00317278">
        <w:rPr>
          <w:rFonts w:eastAsia="Calibri" w:cs="Calibri"/>
        </w:rPr>
        <w:t>As directed by Ordinance 19267, f</w:t>
      </w:r>
      <w:r>
        <w:rPr>
          <w:rFonts w:eastAsia="Calibri" w:cs="Calibri"/>
        </w:rPr>
        <w:t>unding will</w:t>
      </w:r>
      <w:r w:rsidR="003F722E" w:rsidRPr="65049D61">
        <w:rPr>
          <w:rFonts w:eastAsia="Calibri" w:cs="Calibri"/>
        </w:rPr>
        <w:t xml:space="preserve"> be available for </w:t>
      </w:r>
      <w:r w:rsidR="00317278">
        <w:rPr>
          <w:rFonts w:eastAsia="Calibri" w:cs="Calibri"/>
        </w:rPr>
        <w:lastRenderedPageBreak/>
        <w:t>c</w:t>
      </w:r>
      <w:r w:rsidR="003F722E" w:rsidRPr="65049D61">
        <w:rPr>
          <w:rFonts w:eastAsia="Calibri" w:cs="Calibri"/>
        </w:rPr>
        <w:t xml:space="preserve">apital </w:t>
      </w:r>
      <w:r w:rsidR="00317278">
        <w:rPr>
          <w:rFonts w:eastAsia="Calibri" w:cs="Calibri"/>
        </w:rPr>
        <w:t>projects</w:t>
      </w:r>
      <w:r w:rsidR="00317278" w:rsidRPr="65049D61" w:rsidDel="00413991">
        <w:rPr>
          <w:rFonts w:eastAsia="Calibri" w:cs="Calibri"/>
        </w:rPr>
        <w:t xml:space="preserve"> </w:t>
      </w:r>
      <w:r w:rsidR="00413991">
        <w:rPr>
          <w:rFonts w:eastAsia="Calibri" w:cs="Calibri"/>
        </w:rPr>
        <w:t>when</w:t>
      </w:r>
      <w:r w:rsidR="003F722E" w:rsidRPr="65049D61">
        <w:rPr>
          <w:rFonts w:eastAsia="Calibri" w:cs="Calibri"/>
        </w:rPr>
        <w:t xml:space="preserve"> </w:t>
      </w:r>
      <w:r w:rsidR="001524B7" w:rsidRPr="00C90C7B">
        <w:rPr>
          <w:rFonts w:eastAsia="Calibri" w:cs="Calibri"/>
          <w:i/>
        </w:rPr>
        <w:t>Best Starts</w:t>
      </w:r>
      <w:r w:rsidR="001524B7">
        <w:rPr>
          <w:rFonts w:eastAsia="Calibri" w:cs="Calibri"/>
        </w:rPr>
        <w:t xml:space="preserve"> levy </w:t>
      </w:r>
      <w:r w:rsidR="003F722E" w:rsidRPr="65049D61">
        <w:rPr>
          <w:rFonts w:eastAsia="Calibri" w:cs="Calibri"/>
        </w:rPr>
        <w:t>revenues are anticipated above $822</w:t>
      </w:r>
      <w:r w:rsidR="00317278">
        <w:rPr>
          <w:rFonts w:eastAsia="Calibri" w:cs="Calibri"/>
        </w:rPr>
        <w:t xml:space="preserve"> million</w:t>
      </w:r>
      <w:r w:rsidR="00CA4AA7">
        <w:rPr>
          <w:rFonts w:eastAsia="Calibri" w:cs="Calibri"/>
        </w:rPr>
        <w:t xml:space="preserve"> according to King County Office of Economic and Financial Analysis forecasts</w:t>
      </w:r>
      <w:r w:rsidR="003F722E" w:rsidRPr="65049D61">
        <w:rPr>
          <w:rFonts w:eastAsia="Calibri" w:cs="Calibri"/>
        </w:rPr>
        <w:t>.</w:t>
      </w:r>
      <w:r w:rsidR="00FA5762">
        <w:rPr>
          <w:rStyle w:val="FootnoteReference"/>
          <w:rFonts w:eastAsia="Calibri" w:cs="Calibri"/>
        </w:rPr>
        <w:footnoteReference w:id="203"/>
      </w:r>
      <w:r w:rsidR="003F722E" w:rsidRPr="65049D61">
        <w:rPr>
          <w:rFonts w:eastAsia="Calibri" w:cs="Calibri"/>
        </w:rPr>
        <w:t xml:space="preserve"> </w:t>
      </w:r>
      <w:r w:rsidR="00CA4AA7">
        <w:rPr>
          <w:rFonts w:eastAsia="Calibri" w:cs="Calibri"/>
        </w:rPr>
        <w:t xml:space="preserve">DCHS </w:t>
      </w:r>
      <w:r w:rsidR="007A569F">
        <w:rPr>
          <w:rFonts w:eastAsia="Calibri" w:cs="Calibri"/>
        </w:rPr>
        <w:t xml:space="preserve">fiscal staff </w:t>
      </w:r>
      <w:r w:rsidR="00CA4AA7">
        <w:rPr>
          <w:rFonts w:eastAsia="Calibri" w:cs="Calibri"/>
        </w:rPr>
        <w:t>will evaluate r</w:t>
      </w:r>
      <w:r w:rsidR="003F722E" w:rsidRPr="65049D61">
        <w:rPr>
          <w:rFonts w:eastAsia="Calibri" w:cs="Calibri"/>
        </w:rPr>
        <w:t>evenue forecasts annually to determine the amount of funding available</w:t>
      </w:r>
      <w:r w:rsidR="003E3A45">
        <w:rPr>
          <w:rFonts w:eastAsia="Calibri" w:cs="Calibri"/>
        </w:rPr>
        <w:t xml:space="preserve"> for the </w:t>
      </w:r>
      <w:r w:rsidR="00F33889">
        <w:rPr>
          <w:rFonts w:eastAsia="Calibri" w:cs="Calibri"/>
        </w:rPr>
        <w:t>upcoming</w:t>
      </w:r>
      <w:r w:rsidR="003E3A45">
        <w:rPr>
          <w:rFonts w:eastAsia="Calibri" w:cs="Calibri"/>
        </w:rPr>
        <w:t xml:space="preserve"> year</w:t>
      </w:r>
      <w:r w:rsidR="003F722E" w:rsidRPr="65049D61">
        <w:rPr>
          <w:rFonts w:eastAsia="Calibri" w:cs="Calibri"/>
        </w:rPr>
        <w:t xml:space="preserve">. </w:t>
      </w:r>
      <w:r w:rsidR="003F722E" w:rsidRPr="4BD402C6">
        <w:rPr>
          <w:rFonts w:eastAsia="Calibri" w:cs="Calibri"/>
        </w:rPr>
        <w:t>If projections are less</w:t>
      </w:r>
      <w:r w:rsidR="00317278">
        <w:rPr>
          <w:rFonts w:eastAsia="Calibri" w:cs="Calibri"/>
        </w:rPr>
        <w:t xml:space="preserve"> than $8</w:t>
      </w:r>
      <w:r w:rsidR="00702659">
        <w:rPr>
          <w:rFonts w:eastAsia="Calibri" w:cs="Calibri"/>
        </w:rPr>
        <w:t>7</w:t>
      </w:r>
      <w:r w:rsidR="00317278">
        <w:rPr>
          <w:rFonts w:eastAsia="Calibri" w:cs="Calibri"/>
        </w:rPr>
        <w:t>2 million</w:t>
      </w:r>
      <w:r w:rsidR="003F722E" w:rsidRPr="4BD402C6">
        <w:rPr>
          <w:rFonts w:eastAsia="Calibri" w:cs="Calibri"/>
        </w:rPr>
        <w:t>, the</w:t>
      </w:r>
      <w:r w:rsidR="008924AF">
        <w:rPr>
          <w:rFonts w:eastAsia="Calibri" w:cs="Calibri"/>
        </w:rPr>
        <w:t>n the</w:t>
      </w:r>
      <w:r w:rsidR="003F722E" w:rsidRPr="4BD402C6">
        <w:rPr>
          <w:rFonts w:eastAsia="Calibri" w:cs="Calibri"/>
        </w:rPr>
        <w:t xml:space="preserve"> </w:t>
      </w:r>
      <w:r w:rsidR="008924AF">
        <w:rPr>
          <w:rFonts w:eastAsia="Calibri" w:cs="Calibri"/>
        </w:rPr>
        <w:t>C</w:t>
      </w:r>
      <w:r w:rsidR="003F722E" w:rsidRPr="4BD402C6">
        <w:rPr>
          <w:rFonts w:eastAsia="Calibri" w:cs="Calibri"/>
        </w:rPr>
        <w:t xml:space="preserve">apital </w:t>
      </w:r>
      <w:r w:rsidR="008924AF">
        <w:rPr>
          <w:rFonts w:eastAsia="Calibri" w:cs="Calibri"/>
        </w:rPr>
        <w:t>G</w:t>
      </w:r>
      <w:r w:rsidR="003F722E" w:rsidRPr="4BD402C6">
        <w:rPr>
          <w:rFonts w:eastAsia="Calibri" w:cs="Calibri"/>
        </w:rPr>
        <w:t xml:space="preserve">rants </w:t>
      </w:r>
      <w:r w:rsidR="008924AF">
        <w:rPr>
          <w:rFonts w:eastAsia="Calibri" w:cs="Calibri"/>
        </w:rPr>
        <w:t>P</w:t>
      </w:r>
      <w:r w:rsidR="003F722E" w:rsidRPr="4BD402C6">
        <w:rPr>
          <w:rFonts w:eastAsia="Calibri" w:cs="Calibri"/>
        </w:rPr>
        <w:t>rogram will be reduced accordingly.</w:t>
      </w:r>
    </w:p>
    <w:p w14:paraId="694F9B33" w14:textId="77777777" w:rsidR="00AC3ACA" w:rsidRDefault="00AC3ACA" w:rsidP="003F722E">
      <w:pPr>
        <w:contextualSpacing/>
        <w:rPr>
          <w:rFonts w:eastAsia="Calibri" w:cs="Calibri"/>
          <w:b/>
          <w:bCs/>
        </w:rPr>
      </w:pPr>
    </w:p>
    <w:p w14:paraId="62E11908" w14:textId="612F2948" w:rsidR="003F722E" w:rsidRPr="00220A4A" w:rsidRDefault="003F722E" w:rsidP="003F722E">
      <w:pPr>
        <w:contextualSpacing/>
        <w:rPr>
          <w:b/>
          <w:bCs/>
        </w:rPr>
      </w:pPr>
      <w:r w:rsidRPr="4BD402C6">
        <w:rPr>
          <w:rFonts w:eastAsia="Calibri" w:cs="Calibri"/>
          <w:b/>
          <w:bCs/>
        </w:rPr>
        <w:t xml:space="preserve">Rationale and Principles: </w:t>
      </w:r>
    </w:p>
    <w:p w14:paraId="4EE5BC81" w14:textId="51274CCE" w:rsidR="00580385" w:rsidRPr="002A1B6F" w:rsidRDefault="00580385" w:rsidP="00580385">
      <w:pPr>
        <w:rPr>
          <w:rFonts w:eastAsia="Times New Roman" w:cs="Times New Roman"/>
        </w:rPr>
      </w:pPr>
      <w:r w:rsidRPr="00220A4A">
        <w:rPr>
          <w:rFonts w:eastAsia="Times New Roman" w:cs="Times New Roman"/>
        </w:rPr>
        <w:t>The</w:t>
      </w:r>
      <w:r>
        <w:rPr>
          <w:rFonts w:eastAsia="Times New Roman" w:cs="Times New Roman"/>
        </w:rPr>
        <w:t xml:space="preserve"> Capital</w:t>
      </w:r>
      <w:r w:rsidRPr="00220A4A">
        <w:rPr>
          <w:rFonts w:eastAsia="Times New Roman" w:cs="Times New Roman"/>
        </w:rPr>
        <w:t xml:space="preserve"> </w:t>
      </w:r>
      <w:r w:rsidR="001575B3">
        <w:rPr>
          <w:rFonts w:eastAsia="Times New Roman" w:cs="Times New Roman"/>
        </w:rPr>
        <w:t xml:space="preserve">Grants </w:t>
      </w:r>
      <w:r>
        <w:rPr>
          <w:rFonts w:eastAsia="Times New Roman" w:cs="Times New Roman"/>
        </w:rPr>
        <w:t>P</w:t>
      </w:r>
      <w:r w:rsidRPr="00220A4A">
        <w:rPr>
          <w:rFonts w:eastAsia="Times New Roman" w:cs="Times New Roman"/>
        </w:rPr>
        <w:t xml:space="preserve">rogram is </w:t>
      </w:r>
      <w:r>
        <w:rPr>
          <w:rFonts w:eastAsia="Times New Roman" w:cs="Times New Roman"/>
        </w:rPr>
        <w:t>expected</w:t>
      </w:r>
      <w:r w:rsidRPr="00220A4A">
        <w:rPr>
          <w:rFonts w:eastAsia="Times New Roman" w:cs="Times New Roman"/>
        </w:rPr>
        <w:t xml:space="preserve"> to provide low</w:t>
      </w:r>
      <w:r>
        <w:rPr>
          <w:rFonts w:eastAsia="Times New Roman" w:cs="Times New Roman"/>
        </w:rPr>
        <w:t>-</w:t>
      </w:r>
      <w:r w:rsidRPr="00220A4A">
        <w:rPr>
          <w:rFonts w:eastAsia="Times New Roman" w:cs="Times New Roman"/>
        </w:rPr>
        <w:t>income families</w:t>
      </w:r>
      <w:r w:rsidRPr="6619745A">
        <w:rPr>
          <w:rFonts w:eastAsia="Times New Roman" w:cs="Times New Roman"/>
          <w:color w:val="00B050"/>
        </w:rPr>
        <w:t xml:space="preserve"> </w:t>
      </w:r>
      <w:r w:rsidRPr="65049D61">
        <w:rPr>
          <w:rFonts w:eastAsia="Times New Roman" w:cs="Times New Roman"/>
        </w:rPr>
        <w:t xml:space="preserve">and communities of color with access to high quality educational or recreational programming </w:t>
      </w:r>
      <w:r>
        <w:rPr>
          <w:rFonts w:eastAsia="Times New Roman" w:cs="Times New Roman"/>
        </w:rPr>
        <w:t xml:space="preserve">for their children and youth </w:t>
      </w:r>
      <w:r w:rsidRPr="65049D61">
        <w:rPr>
          <w:rFonts w:eastAsia="Times New Roman" w:cs="Times New Roman"/>
        </w:rPr>
        <w:t>year-round.</w:t>
      </w:r>
      <w:r w:rsidRPr="4BD402C6">
        <w:rPr>
          <w:rFonts w:eastAsia="Times New Roman" w:cs="Times New Roman"/>
          <w:b/>
          <w:bCs/>
        </w:rPr>
        <w:t xml:space="preserve"> </w:t>
      </w:r>
      <w:r w:rsidRPr="65049D61">
        <w:rPr>
          <w:rFonts w:eastAsia="Times New Roman" w:cs="Times New Roman"/>
        </w:rPr>
        <w:t>The shortage of recreational, early learning</w:t>
      </w:r>
      <w:r>
        <w:rPr>
          <w:rFonts w:eastAsia="Times New Roman" w:cs="Times New Roman"/>
        </w:rPr>
        <w:t xml:space="preserve"> and </w:t>
      </w:r>
      <w:r w:rsidRPr="65049D61">
        <w:rPr>
          <w:rFonts w:eastAsia="Times New Roman" w:cs="Times New Roman"/>
        </w:rPr>
        <w:t xml:space="preserve">child care facilities and </w:t>
      </w:r>
      <w:r w:rsidR="00DF386F">
        <w:rPr>
          <w:rFonts w:eastAsia="Times New Roman" w:cs="Times New Roman"/>
        </w:rPr>
        <w:t>affordable</w:t>
      </w:r>
      <w:r w:rsidR="00DF386F" w:rsidRPr="65049D61">
        <w:rPr>
          <w:rFonts w:eastAsia="Times New Roman" w:cs="Times New Roman"/>
        </w:rPr>
        <w:t xml:space="preserve"> </w:t>
      </w:r>
      <w:r w:rsidRPr="65049D61">
        <w:rPr>
          <w:rFonts w:eastAsia="Times New Roman" w:cs="Times New Roman"/>
        </w:rPr>
        <w:t>housing for youth</w:t>
      </w:r>
      <w:r w:rsidR="0047027C">
        <w:rPr>
          <w:rFonts w:eastAsia="Times New Roman" w:cs="Times New Roman"/>
        </w:rPr>
        <w:t>, young adults,</w:t>
      </w:r>
      <w:r w:rsidR="00DF386F">
        <w:rPr>
          <w:rFonts w:eastAsia="Times New Roman" w:cs="Times New Roman"/>
        </w:rPr>
        <w:t xml:space="preserve"> and families</w:t>
      </w:r>
      <w:r w:rsidRPr="65049D61">
        <w:rPr>
          <w:rFonts w:eastAsia="Times New Roman" w:cs="Times New Roman"/>
        </w:rPr>
        <w:t xml:space="preserve"> </w:t>
      </w:r>
      <w:r w:rsidR="00E0528B">
        <w:rPr>
          <w:rFonts w:eastAsia="Times New Roman" w:cs="Times New Roman"/>
        </w:rPr>
        <w:t>has resulted from</w:t>
      </w:r>
      <w:r w:rsidRPr="65049D61">
        <w:rPr>
          <w:rFonts w:eastAsia="Times New Roman" w:cs="Times New Roman"/>
        </w:rPr>
        <w:t xml:space="preserve"> </w:t>
      </w:r>
      <w:r w:rsidR="00476F8C">
        <w:rPr>
          <w:rFonts w:eastAsia="Times New Roman" w:cs="Times New Roman"/>
        </w:rPr>
        <w:t>multiple factor</w:t>
      </w:r>
      <w:r w:rsidR="00E0528B">
        <w:rPr>
          <w:rFonts w:eastAsia="Times New Roman" w:cs="Times New Roman"/>
        </w:rPr>
        <w:t>s. Among these are</w:t>
      </w:r>
      <w:r w:rsidR="00476F8C">
        <w:rPr>
          <w:rFonts w:eastAsia="Times New Roman" w:cs="Times New Roman"/>
        </w:rPr>
        <w:t xml:space="preserve"> </w:t>
      </w:r>
      <w:r w:rsidRPr="65049D61">
        <w:rPr>
          <w:rFonts w:eastAsia="Times New Roman" w:cs="Times New Roman"/>
        </w:rPr>
        <w:t xml:space="preserve">limited available and affordable real estate; limited capital for investment in </w:t>
      </w:r>
      <w:r w:rsidR="007110C0">
        <w:t>facility repairs</w:t>
      </w:r>
      <w:r w:rsidRPr="65049D61">
        <w:rPr>
          <w:rFonts w:eastAsia="Times New Roman" w:cs="Times New Roman"/>
        </w:rPr>
        <w:t>, improvements, and expansion; lack of predictable, sustainable revenue to support operations; and lack of expertise and capacity related to capital project</w:t>
      </w:r>
      <w:r w:rsidR="0062074F">
        <w:rPr>
          <w:rFonts w:eastAsia="Times New Roman" w:cs="Times New Roman"/>
        </w:rPr>
        <w:t xml:space="preserve"> development</w:t>
      </w:r>
      <w:r w:rsidRPr="65049D61">
        <w:rPr>
          <w:rFonts w:eastAsia="Times New Roman" w:cs="Times New Roman"/>
        </w:rPr>
        <w:t>.</w:t>
      </w:r>
      <w:r w:rsidR="001F760B" w:rsidRPr="001F760B">
        <w:rPr>
          <w:rStyle w:val="FootnoteReference"/>
          <w:rFonts w:eastAsia="Times New Roman" w:cs="Times New Roman"/>
        </w:rPr>
        <w:t xml:space="preserve"> </w:t>
      </w:r>
      <w:r w:rsidRPr="65049D61">
        <w:rPr>
          <w:rStyle w:val="FootnoteReference"/>
          <w:rFonts w:eastAsia="Times New Roman" w:cs="Times New Roman"/>
        </w:rPr>
        <w:footnoteReference w:id="204"/>
      </w:r>
      <w:r w:rsidRPr="65049D61">
        <w:rPr>
          <w:rFonts w:eastAsia="Times New Roman" w:cs="Times New Roman"/>
        </w:rPr>
        <w:t xml:space="preserve"> </w:t>
      </w:r>
      <w:r w:rsidR="00D35E0C" w:rsidRPr="00A412EA">
        <w:rPr>
          <w:rFonts w:eastAsia="Times New Roman" w:cs="Times New Roman"/>
          <w:i/>
          <w:iCs/>
        </w:rPr>
        <w:t>Best Starts’</w:t>
      </w:r>
      <w:r w:rsidR="00D35E0C">
        <w:rPr>
          <w:rFonts w:eastAsia="Times New Roman" w:cs="Times New Roman"/>
        </w:rPr>
        <w:t xml:space="preserve"> c</w:t>
      </w:r>
      <w:r w:rsidR="00E83ECE">
        <w:rPr>
          <w:rFonts w:eastAsia="Times New Roman" w:cs="Times New Roman"/>
        </w:rPr>
        <w:t xml:space="preserve">apital </w:t>
      </w:r>
      <w:r w:rsidR="009710E0">
        <w:rPr>
          <w:rFonts w:eastAsia="Times New Roman" w:cs="Times New Roman"/>
        </w:rPr>
        <w:t>i</w:t>
      </w:r>
      <w:r w:rsidRPr="4BD402C6">
        <w:rPr>
          <w:rFonts w:eastAsia="Times New Roman" w:cs="Times New Roman"/>
        </w:rPr>
        <w:t>nvestments are expected to be geographically dis</w:t>
      </w:r>
      <w:r w:rsidR="00A90292">
        <w:rPr>
          <w:rFonts w:eastAsia="Times New Roman" w:cs="Times New Roman"/>
        </w:rPr>
        <w:t>pe</w:t>
      </w:r>
      <w:r w:rsidRPr="4BD402C6">
        <w:rPr>
          <w:rFonts w:eastAsia="Times New Roman" w:cs="Times New Roman"/>
        </w:rPr>
        <w:t xml:space="preserve">rsed throughout the County </w:t>
      </w:r>
      <w:r w:rsidR="007B52BF">
        <w:rPr>
          <w:rFonts w:eastAsia="Times New Roman" w:cs="Times New Roman"/>
        </w:rPr>
        <w:t>and</w:t>
      </w:r>
      <w:r w:rsidRPr="65049D61">
        <w:rPr>
          <w:rFonts w:eastAsia="Times New Roman" w:cs="Times New Roman"/>
        </w:rPr>
        <w:t xml:space="preserve"> </w:t>
      </w:r>
      <w:r w:rsidR="00F212A7">
        <w:rPr>
          <w:rFonts w:eastAsia="Times New Roman" w:cs="Times New Roman"/>
        </w:rPr>
        <w:t>will support</w:t>
      </w:r>
      <w:r w:rsidR="004F6307" w:rsidRPr="4BD402C6">
        <w:rPr>
          <w:rFonts w:eastAsia="Times New Roman" w:cs="Times New Roman"/>
        </w:rPr>
        <w:t xml:space="preserve"> youth progra</w:t>
      </w:r>
      <w:r w:rsidR="00A90292">
        <w:rPr>
          <w:rFonts w:eastAsia="Times New Roman" w:cs="Times New Roman"/>
        </w:rPr>
        <w:t>m</w:t>
      </w:r>
      <w:r w:rsidR="004F6307" w:rsidRPr="4BD402C6">
        <w:rPr>
          <w:rFonts w:eastAsia="Times New Roman" w:cs="Times New Roman"/>
        </w:rPr>
        <w:t xml:space="preserve">ming </w:t>
      </w:r>
      <w:r w:rsidR="005C2E33">
        <w:rPr>
          <w:rFonts w:eastAsia="Times New Roman" w:cs="Times New Roman"/>
        </w:rPr>
        <w:t>serving</w:t>
      </w:r>
      <w:r w:rsidR="004F6307" w:rsidRPr="4BD402C6">
        <w:rPr>
          <w:rFonts w:eastAsia="Times New Roman" w:cs="Times New Roman"/>
        </w:rPr>
        <w:t xml:space="preserve"> communities that historically have limited or no access to facilities</w:t>
      </w:r>
      <w:r w:rsidR="00F212A7">
        <w:rPr>
          <w:rFonts w:eastAsia="Times New Roman" w:cs="Times New Roman"/>
        </w:rPr>
        <w:t xml:space="preserve"> for such services</w:t>
      </w:r>
      <w:r w:rsidR="00AD52B7">
        <w:rPr>
          <w:rFonts w:eastAsia="Times New Roman" w:cs="Times New Roman"/>
        </w:rPr>
        <w:t>.</w:t>
      </w:r>
      <w:r w:rsidR="004F6307" w:rsidRPr="65049D61">
        <w:rPr>
          <w:rFonts w:eastAsia="Times New Roman" w:cs="Times New Roman"/>
        </w:rPr>
        <w:t xml:space="preserve"> </w:t>
      </w:r>
      <w:r w:rsidRPr="4BD402C6">
        <w:rPr>
          <w:rFonts w:eastAsia="Times New Roman" w:cs="Times New Roman"/>
        </w:rPr>
        <w:t xml:space="preserve">The siting of </w:t>
      </w:r>
      <w:r w:rsidR="00CB621E">
        <w:rPr>
          <w:rFonts w:eastAsia="Times New Roman" w:cs="Times New Roman"/>
        </w:rPr>
        <w:t>new</w:t>
      </w:r>
      <w:r w:rsidRPr="4BD402C6">
        <w:rPr>
          <w:rFonts w:eastAsia="Times New Roman" w:cs="Times New Roman"/>
        </w:rPr>
        <w:t xml:space="preserve"> facilities and buildings will be evaluated </w:t>
      </w:r>
      <w:r>
        <w:rPr>
          <w:rFonts w:eastAsia="Times New Roman" w:cs="Times New Roman"/>
        </w:rPr>
        <w:t xml:space="preserve">based on the </w:t>
      </w:r>
      <w:r w:rsidRPr="4BD402C6">
        <w:rPr>
          <w:rFonts w:eastAsia="Times New Roman" w:cs="Times New Roman"/>
        </w:rPr>
        <w:t>proximity to other similar facilities and transportation accessibility</w:t>
      </w:r>
      <w:r w:rsidR="00AD52B7">
        <w:rPr>
          <w:rFonts w:eastAsia="Times New Roman" w:cs="Times New Roman"/>
        </w:rPr>
        <w:t>.</w:t>
      </w:r>
      <w:r w:rsidR="00AD52B7" w:rsidRPr="4BD402C6" w:rsidDel="00AD52B7">
        <w:rPr>
          <w:rFonts w:eastAsia="Times New Roman" w:cs="Times New Roman"/>
        </w:rPr>
        <w:t xml:space="preserve"> </w:t>
      </w:r>
    </w:p>
    <w:p w14:paraId="7D2EC775" w14:textId="77777777" w:rsidR="00580385" w:rsidRDefault="00580385" w:rsidP="003F722E">
      <w:pPr>
        <w:rPr>
          <w:rFonts w:eastAsia="Times New Roman" w:cs="Times New Roman"/>
        </w:rPr>
      </w:pPr>
    </w:p>
    <w:p w14:paraId="01972051" w14:textId="4AA0361A" w:rsidR="003F722E" w:rsidRPr="002A1B6F" w:rsidRDefault="003F722E" w:rsidP="003F722E">
      <w:r w:rsidRPr="65049D61">
        <w:rPr>
          <w:rFonts w:asciiTheme="minorHAnsi" w:eastAsiaTheme="minorEastAsia" w:hAnsiTheme="minorHAnsi"/>
        </w:rPr>
        <w:t>Community centers and recreational facilities</w:t>
      </w:r>
      <w:r w:rsidRPr="6619745A">
        <w:rPr>
          <w:rFonts w:eastAsia="Times New Roman" w:cs="Times New Roman"/>
        </w:rPr>
        <w:t xml:space="preserve"> </w:t>
      </w:r>
      <w:r w:rsidRPr="00220A4A">
        <w:rPr>
          <w:rFonts w:eastAsia="Times New Roman" w:cs="Times New Roman"/>
        </w:rPr>
        <w:t>provide youth with a safe place to go</w:t>
      </w:r>
      <w:r w:rsidR="001F706B">
        <w:rPr>
          <w:rFonts w:eastAsia="Times New Roman" w:cs="Times New Roman"/>
        </w:rPr>
        <w:t>,</w:t>
      </w:r>
      <w:r w:rsidRPr="00220A4A">
        <w:rPr>
          <w:rFonts w:eastAsia="Times New Roman" w:cs="Times New Roman"/>
        </w:rPr>
        <w:t xml:space="preserve"> </w:t>
      </w:r>
      <w:r>
        <w:rPr>
          <w:rFonts w:eastAsia="Times New Roman" w:cs="Times New Roman"/>
        </w:rPr>
        <w:t>with</w:t>
      </w:r>
      <w:r w:rsidRPr="00220A4A">
        <w:rPr>
          <w:rFonts w:eastAsia="Times New Roman" w:cs="Times New Roman"/>
        </w:rPr>
        <w:t xml:space="preserve"> caring adults that offer stimulating </w:t>
      </w:r>
      <w:r w:rsidR="00A62FEC">
        <w:rPr>
          <w:rFonts w:eastAsia="Times New Roman" w:cs="Times New Roman"/>
        </w:rPr>
        <w:t>e</w:t>
      </w:r>
      <w:r w:rsidRPr="00220A4A">
        <w:rPr>
          <w:rFonts w:eastAsia="Times New Roman" w:cs="Times New Roman"/>
        </w:rPr>
        <w:t xml:space="preserve">xpanded </w:t>
      </w:r>
      <w:r w:rsidR="00A62FEC">
        <w:rPr>
          <w:rFonts w:eastAsia="Times New Roman" w:cs="Times New Roman"/>
        </w:rPr>
        <w:t>l</w:t>
      </w:r>
      <w:r w:rsidRPr="00220A4A">
        <w:rPr>
          <w:rFonts w:eastAsia="Times New Roman" w:cs="Times New Roman"/>
        </w:rPr>
        <w:t>earning programs.</w:t>
      </w:r>
      <w:r w:rsidR="008461D8" w:rsidRPr="65049D61">
        <w:rPr>
          <w:rStyle w:val="FootnoteReference"/>
          <w:rFonts w:eastAsia="Times New Roman" w:cs="Times New Roman"/>
        </w:rPr>
        <w:footnoteReference w:id="205"/>
      </w:r>
      <w:r w:rsidRPr="00220A4A">
        <w:rPr>
          <w:rFonts w:eastAsia="Times New Roman" w:cs="Times New Roman"/>
        </w:rPr>
        <w:t xml:space="preserve"> </w:t>
      </w:r>
      <w:r w:rsidR="001F706B" w:rsidRPr="00220A4A">
        <w:rPr>
          <w:rFonts w:eastAsia="Times New Roman" w:cs="Times New Roman"/>
        </w:rPr>
        <w:t xml:space="preserve">It is estimated that 7.7 million children in the U.S. attend </w:t>
      </w:r>
      <w:r w:rsidR="00A62FEC">
        <w:rPr>
          <w:rFonts w:eastAsia="Times New Roman" w:cs="Times New Roman"/>
        </w:rPr>
        <w:t>e</w:t>
      </w:r>
      <w:r w:rsidR="00C1777D">
        <w:rPr>
          <w:rFonts w:eastAsia="Times New Roman" w:cs="Times New Roman"/>
        </w:rPr>
        <w:t xml:space="preserve">xpanded </w:t>
      </w:r>
      <w:r w:rsidR="00A62FEC">
        <w:rPr>
          <w:rFonts w:eastAsia="Times New Roman" w:cs="Times New Roman"/>
        </w:rPr>
        <w:t>l</w:t>
      </w:r>
      <w:r w:rsidR="00C1777D">
        <w:rPr>
          <w:rFonts w:eastAsia="Times New Roman" w:cs="Times New Roman"/>
        </w:rPr>
        <w:t>earning</w:t>
      </w:r>
      <w:r w:rsidR="001F706B" w:rsidRPr="00220A4A">
        <w:rPr>
          <w:rFonts w:eastAsia="Times New Roman" w:cs="Times New Roman"/>
        </w:rPr>
        <w:t xml:space="preserve"> programs.</w:t>
      </w:r>
      <w:r w:rsidR="001F706B">
        <w:rPr>
          <w:rStyle w:val="FootnoteReference"/>
          <w:rFonts w:eastAsia="Times New Roman" w:cs="Times New Roman"/>
        </w:rPr>
        <w:footnoteReference w:id="206"/>
      </w:r>
      <w:r w:rsidR="001F706B" w:rsidRPr="6619745A">
        <w:rPr>
          <w:rFonts w:eastAsia="Times New Roman" w:cs="Times New Roman"/>
        </w:rPr>
        <w:t xml:space="preserve"> </w:t>
      </w:r>
      <w:r w:rsidRPr="00220A4A">
        <w:rPr>
          <w:rFonts w:eastAsia="Times New Roman" w:cs="Times New Roman"/>
        </w:rPr>
        <w:t xml:space="preserve">Research shows that </w:t>
      </w:r>
      <w:r w:rsidR="00A62FEC">
        <w:rPr>
          <w:rFonts w:eastAsia="Times New Roman" w:cs="Times New Roman"/>
        </w:rPr>
        <w:t>e</w:t>
      </w:r>
      <w:r w:rsidRPr="65049D61">
        <w:rPr>
          <w:rFonts w:eastAsia="Times New Roman" w:cs="Times New Roman"/>
        </w:rPr>
        <w:t>xpanded</w:t>
      </w:r>
      <w:r w:rsidRPr="6619745A">
        <w:rPr>
          <w:rFonts w:eastAsia="Times New Roman" w:cs="Times New Roman"/>
        </w:rPr>
        <w:t xml:space="preserve"> </w:t>
      </w:r>
      <w:r w:rsidR="00A62FEC">
        <w:rPr>
          <w:rFonts w:eastAsia="Times New Roman" w:cs="Times New Roman"/>
        </w:rPr>
        <w:t>l</w:t>
      </w:r>
      <w:r w:rsidRPr="6619745A">
        <w:rPr>
          <w:rFonts w:eastAsia="Times New Roman" w:cs="Times New Roman"/>
        </w:rPr>
        <w:t xml:space="preserve">earning </w:t>
      </w:r>
      <w:r w:rsidRPr="00220A4A">
        <w:rPr>
          <w:rFonts w:eastAsia="Times New Roman" w:cs="Times New Roman"/>
        </w:rPr>
        <w:t xml:space="preserve">programs promote academic achievement, </w:t>
      </w:r>
      <w:r w:rsidR="00D70F6A">
        <w:rPr>
          <w:rFonts w:eastAsia="Times New Roman" w:cs="Times New Roman"/>
        </w:rPr>
        <w:t xml:space="preserve">good </w:t>
      </w:r>
      <w:r w:rsidRPr="00220A4A">
        <w:rPr>
          <w:rFonts w:eastAsia="Times New Roman" w:cs="Times New Roman"/>
        </w:rPr>
        <w:t>health</w:t>
      </w:r>
      <w:r w:rsidR="00D70F6A">
        <w:rPr>
          <w:rFonts w:eastAsia="Times New Roman" w:cs="Times New Roman"/>
        </w:rPr>
        <w:t>,</w:t>
      </w:r>
      <w:r w:rsidRPr="00220A4A">
        <w:rPr>
          <w:rFonts w:eastAsia="Times New Roman" w:cs="Times New Roman"/>
        </w:rPr>
        <w:t xml:space="preserve"> well-being</w:t>
      </w:r>
      <w:r w:rsidR="00BD731F">
        <w:rPr>
          <w:rFonts w:eastAsia="Times New Roman" w:cs="Times New Roman"/>
        </w:rPr>
        <w:t>,</w:t>
      </w:r>
      <w:r w:rsidRPr="00220A4A">
        <w:rPr>
          <w:rFonts w:eastAsia="Times New Roman" w:cs="Times New Roman"/>
        </w:rPr>
        <w:t xml:space="preserve"> and positive self-identity</w:t>
      </w:r>
      <w:r w:rsidR="00EA0E47">
        <w:rPr>
          <w:rFonts w:eastAsia="Times New Roman" w:cs="Times New Roman"/>
        </w:rPr>
        <w:t>.</w:t>
      </w:r>
      <w:r w:rsidR="00791013">
        <w:rPr>
          <w:rFonts w:eastAsia="Times New Roman" w:cs="Times New Roman"/>
        </w:rPr>
        <w:t xml:space="preserve"> </w:t>
      </w:r>
      <w:r w:rsidR="005361E7">
        <w:rPr>
          <w:rFonts w:eastAsia="Times New Roman" w:cs="Times New Roman"/>
        </w:rPr>
        <w:t>R</w:t>
      </w:r>
      <w:r w:rsidRPr="00220A4A">
        <w:rPr>
          <w:rFonts w:eastAsia="Times New Roman" w:cs="Times New Roman"/>
        </w:rPr>
        <w:t xml:space="preserve">ecreation centers play </w:t>
      </w:r>
      <w:r w:rsidR="005361E7">
        <w:rPr>
          <w:rFonts w:eastAsia="Times New Roman" w:cs="Times New Roman"/>
        </w:rPr>
        <w:t xml:space="preserve">a critical role </w:t>
      </w:r>
      <w:r w:rsidRPr="00220A4A">
        <w:rPr>
          <w:rFonts w:eastAsia="Times New Roman" w:cs="Times New Roman"/>
        </w:rPr>
        <w:t>in promoting physical activities</w:t>
      </w:r>
      <w:r w:rsidR="00A427D4">
        <w:rPr>
          <w:rFonts w:eastAsia="Times New Roman" w:cs="Times New Roman"/>
        </w:rPr>
        <w:t xml:space="preserve">, </w:t>
      </w:r>
      <w:r w:rsidR="0014456F" w:rsidRPr="00220A4A">
        <w:rPr>
          <w:rFonts w:eastAsia="Times New Roman" w:cs="Times New Roman"/>
        </w:rPr>
        <w:t>health,</w:t>
      </w:r>
      <w:r w:rsidRPr="00220A4A">
        <w:rPr>
          <w:rFonts w:eastAsia="Times New Roman" w:cs="Times New Roman"/>
        </w:rPr>
        <w:t xml:space="preserve"> and wellbeing</w:t>
      </w:r>
      <w:r w:rsidR="00D05FA1">
        <w:rPr>
          <w:rFonts w:eastAsia="Times New Roman" w:cs="Times New Roman"/>
        </w:rPr>
        <w:t>. I</w:t>
      </w:r>
      <w:r w:rsidRPr="00220A4A">
        <w:rPr>
          <w:rFonts w:eastAsia="Times New Roman" w:cs="Times New Roman"/>
        </w:rPr>
        <w:t>n many low-income communit</w:t>
      </w:r>
      <w:r w:rsidR="00316649">
        <w:rPr>
          <w:rFonts w:eastAsia="Times New Roman" w:cs="Times New Roman"/>
        </w:rPr>
        <w:t>ies,</w:t>
      </w:r>
      <w:r w:rsidRPr="00220A4A">
        <w:rPr>
          <w:rFonts w:eastAsia="Times New Roman" w:cs="Times New Roman"/>
        </w:rPr>
        <w:t xml:space="preserve"> </w:t>
      </w:r>
      <w:r w:rsidR="00D05FA1">
        <w:rPr>
          <w:rFonts w:eastAsia="Times New Roman" w:cs="Times New Roman"/>
        </w:rPr>
        <w:t xml:space="preserve">they </w:t>
      </w:r>
      <w:r w:rsidRPr="00220A4A">
        <w:rPr>
          <w:rFonts w:eastAsia="Times New Roman" w:cs="Times New Roman"/>
        </w:rPr>
        <w:t>are the only places youth have opportunities to be physically active.</w:t>
      </w:r>
      <w:r>
        <w:rPr>
          <w:rStyle w:val="FootnoteReference"/>
          <w:rFonts w:eastAsia="Times New Roman" w:cs="Times New Roman"/>
        </w:rPr>
        <w:footnoteReference w:id="207"/>
      </w:r>
      <w:r w:rsidRPr="00220A4A">
        <w:rPr>
          <w:rFonts w:eastAsia="Times New Roman" w:cs="Times New Roman"/>
        </w:rPr>
        <w:t xml:space="preserve"> </w:t>
      </w:r>
      <w:r w:rsidRPr="65049D61">
        <w:rPr>
          <w:rFonts w:eastAsia="Times New Roman" w:cs="Times New Roman"/>
        </w:rPr>
        <w:t xml:space="preserve">Recreational </w:t>
      </w:r>
      <w:r w:rsidR="00B71EA7">
        <w:rPr>
          <w:rFonts w:eastAsia="Times New Roman" w:cs="Times New Roman"/>
        </w:rPr>
        <w:t>centers</w:t>
      </w:r>
      <w:r w:rsidR="00B71EA7" w:rsidRPr="65049D61">
        <w:rPr>
          <w:rFonts w:eastAsia="Times New Roman" w:cs="Times New Roman"/>
        </w:rPr>
        <w:t xml:space="preserve"> </w:t>
      </w:r>
      <w:r w:rsidR="00EE2FB7">
        <w:rPr>
          <w:rFonts w:eastAsia="Times New Roman" w:cs="Times New Roman"/>
        </w:rPr>
        <w:t xml:space="preserve">also </w:t>
      </w:r>
      <w:r w:rsidRPr="65049D61">
        <w:rPr>
          <w:rFonts w:eastAsia="Times New Roman" w:cs="Times New Roman"/>
        </w:rPr>
        <w:t>connect youth to caring adults and activities through mentoring, social emotional learning</w:t>
      </w:r>
      <w:r>
        <w:rPr>
          <w:rFonts w:eastAsia="Times New Roman" w:cs="Times New Roman"/>
        </w:rPr>
        <w:t>,</w:t>
      </w:r>
      <w:r w:rsidRPr="00220A4A">
        <w:rPr>
          <w:rFonts w:eastAsia="Times New Roman" w:cs="Times New Roman"/>
        </w:rPr>
        <w:t xml:space="preserve"> relationship building</w:t>
      </w:r>
      <w:r w:rsidR="0063632F">
        <w:rPr>
          <w:rFonts w:eastAsia="Times New Roman" w:cs="Times New Roman"/>
        </w:rPr>
        <w:t>, and a variety of after school programs</w:t>
      </w:r>
      <w:r w:rsidR="00EA0E47">
        <w:rPr>
          <w:rFonts w:eastAsia="Times New Roman" w:cs="Times New Roman"/>
        </w:rPr>
        <w:t>.</w:t>
      </w:r>
      <w:r w:rsidR="00791013">
        <w:rPr>
          <w:rFonts w:eastAsia="Times New Roman" w:cs="Times New Roman"/>
        </w:rPr>
        <w:t xml:space="preserve"> </w:t>
      </w:r>
      <w:r w:rsidR="002D1CF9" w:rsidRPr="65049D61">
        <w:rPr>
          <w:rFonts w:eastAsia="Times New Roman" w:cs="Times New Roman"/>
        </w:rPr>
        <w:t xml:space="preserve">Studies have shown that youth who have the supports </w:t>
      </w:r>
      <w:r w:rsidR="00FE52EA">
        <w:rPr>
          <w:rFonts w:eastAsia="Times New Roman" w:cs="Times New Roman"/>
        </w:rPr>
        <w:t>they need</w:t>
      </w:r>
      <w:r w:rsidR="002D1CF9" w:rsidRPr="65049D61">
        <w:rPr>
          <w:rFonts w:eastAsia="Times New Roman" w:cs="Times New Roman"/>
        </w:rPr>
        <w:t xml:space="preserve"> to thrive</w:t>
      </w:r>
      <w:r w:rsidR="002D1CF9">
        <w:rPr>
          <w:rFonts w:eastAsia="Times New Roman" w:cs="Times New Roman"/>
        </w:rPr>
        <w:t>,</w:t>
      </w:r>
      <w:r w:rsidR="002D1CF9" w:rsidRPr="65049D61">
        <w:rPr>
          <w:rFonts w:eastAsia="Times New Roman" w:cs="Times New Roman"/>
        </w:rPr>
        <w:t xml:space="preserve"> such as caring adults, community</w:t>
      </w:r>
      <w:r w:rsidR="002D1CF9">
        <w:rPr>
          <w:rFonts w:eastAsia="Times New Roman" w:cs="Times New Roman"/>
        </w:rPr>
        <w:t>,</w:t>
      </w:r>
      <w:r w:rsidR="002D1CF9" w:rsidRPr="65049D61">
        <w:rPr>
          <w:rFonts w:eastAsia="Times New Roman" w:cs="Times New Roman"/>
        </w:rPr>
        <w:t xml:space="preserve"> and a sense of belonging are likely to have more positive outcomes.</w:t>
      </w:r>
      <w:r w:rsidR="002D1CF9" w:rsidRPr="65049D61" w:rsidDel="004833A4">
        <w:rPr>
          <w:rStyle w:val="FootnoteReference"/>
          <w:rFonts w:eastAsia="Times New Roman" w:cs="Times New Roman"/>
        </w:rPr>
        <w:footnoteReference w:id="208"/>
      </w:r>
    </w:p>
    <w:p w14:paraId="1DBF79D4" w14:textId="77777777" w:rsidR="003F722E" w:rsidRPr="002A1B6F" w:rsidRDefault="003F722E" w:rsidP="003F722E">
      <w:pPr>
        <w:contextualSpacing/>
        <w:rPr>
          <w:rFonts w:asciiTheme="majorHAnsi" w:eastAsiaTheme="majorEastAsia" w:hAnsiTheme="majorHAnsi" w:cstheme="majorBidi"/>
        </w:rPr>
      </w:pPr>
    </w:p>
    <w:p w14:paraId="55B1740B" w14:textId="6B9A079F" w:rsidR="003F722E" w:rsidRPr="002A1B6F" w:rsidRDefault="003F722E" w:rsidP="003F722E">
      <w:pPr>
        <w:contextualSpacing/>
        <w:rPr>
          <w:rFonts w:eastAsia="Calibri" w:cs="Calibri"/>
        </w:rPr>
      </w:pPr>
      <w:r w:rsidRPr="65049D61">
        <w:rPr>
          <w:rFonts w:eastAsia="Calibri" w:cs="Calibri"/>
        </w:rPr>
        <w:t>COVID</w:t>
      </w:r>
      <w:r w:rsidR="00B856F9">
        <w:rPr>
          <w:rFonts w:eastAsia="Calibri" w:cs="Calibri"/>
        </w:rPr>
        <w:t>-</w:t>
      </w:r>
      <w:r w:rsidRPr="65049D61">
        <w:rPr>
          <w:rFonts w:eastAsia="Calibri" w:cs="Calibri"/>
        </w:rPr>
        <w:t>19 has had a profound negative impact on youth and families</w:t>
      </w:r>
      <w:r w:rsidR="00B856F9">
        <w:rPr>
          <w:rFonts w:eastAsia="Calibri" w:cs="Calibri"/>
        </w:rPr>
        <w:t>,</w:t>
      </w:r>
      <w:r w:rsidRPr="65049D61">
        <w:rPr>
          <w:rFonts w:eastAsia="Calibri" w:cs="Calibri"/>
        </w:rPr>
        <w:t xml:space="preserve"> particularly in vulnerable and underserved communities.</w:t>
      </w:r>
      <w:r w:rsidRPr="65049D61" w:rsidDel="004833A4">
        <w:rPr>
          <w:rFonts w:eastAsia="Calibri" w:cs="Calibri"/>
        </w:rPr>
        <w:t xml:space="preserve"> </w:t>
      </w:r>
      <w:r w:rsidRPr="65049D61">
        <w:rPr>
          <w:rFonts w:eastAsia="Calibri" w:cs="Calibri"/>
        </w:rPr>
        <w:t>It has intensified existing socioeconomic challenges and has created new obstacles.</w:t>
      </w:r>
      <w:r w:rsidRPr="65049D61" w:rsidDel="004833A4">
        <w:rPr>
          <w:rFonts w:eastAsia="Calibri" w:cs="Calibri"/>
        </w:rPr>
        <w:t xml:space="preserve"> </w:t>
      </w:r>
      <w:r w:rsidR="001F3DA8">
        <w:rPr>
          <w:rFonts w:eastAsia="Calibri" w:cs="Calibri"/>
        </w:rPr>
        <w:t>R</w:t>
      </w:r>
      <w:r w:rsidRPr="65049D61">
        <w:rPr>
          <w:rFonts w:eastAsia="Calibri" w:cs="Calibri"/>
        </w:rPr>
        <w:t xml:space="preserve">ecreational centers </w:t>
      </w:r>
      <w:r w:rsidR="001F3DA8" w:rsidRPr="65049D61">
        <w:rPr>
          <w:rFonts w:eastAsia="Calibri" w:cs="Calibri"/>
        </w:rPr>
        <w:t>ha</w:t>
      </w:r>
      <w:r w:rsidR="001F3DA8">
        <w:rPr>
          <w:rFonts w:eastAsia="Calibri" w:cs="Calibri"/>
        </w:rPr>
        <w:t xml:space="preserve">ve played a critical role </w:t>
      </w:r>
      <w:r w:rsidRPr="65049D61">
        <w:rPr>
          <w:rFonts w:eastAsia="Calibri" w:cs="Calibri"/>
        </w:rPr>
        <w:t xml:space="preserve">during the pandemic </w:t>
      </w:r>
      <w:r w:rsidR="00A36425">
        <w:rPr>
          <w:rFonts w:eastAsia="Calibri" w:cs="Calibri"/>
        </w:rPr>
        <w:t xml:space="preserve">for </w:t>
      </w:r>
      <w:r w:rsidR="00B049BA">
        <w:rPr>
          <w:rFonts w:eastAsia="Calibri" w:cs="Calibri"/>
        </w:rPr>
        <w:t xml:space="preserve">children and youth </w:t>
      </w:r>
      <w:r w:rsidR="00B049BA">
        <w:rPr>
          <w:rFonts w:eastAsia="Calibri" w:cs="Calibri"/>
        </w:rPr>
        <w:lastRenderedPageBreak/>
        <w:t>confronted with</w:t>
      </w:r>
      <w:r w:rsidRPr="65049D61">
        <w:rPr>
          <w:rFonts w:eastAsia="Calibri" w:cs="Calibri"/>
        </w:rPr>
        <w:t xml:space="preserve"> food insecurity</w:t>
      </w:r>
      <w:r w:rsidR="00122243">
        <w:rPr>
          <w:rFonts w:eastAsia="Calibri" w:cs="Calibri"/>
        </w:rPr>
        <w:t>;</w:t>
      </w:r>
      <w:r w:rsidRPr="65049D61">
        <w:rPr>
          <w:rFonts w:eastAsia="Calibri" w:cs="Calibri"/>
        </w:rPr>
        <w:t xml:space="preserve"> disruption of</w:t>
      </w:r>
      <w:r w:rsidR="00B049BA">
        <w:rPr>
          <w:rFonts w:eastAsia="Calibri" w:cs="Calibri"/>
        </w:rPr>
        <w:t xml:space="preserve"> </w:t>
      </w:r>
      <w:r w:rsidRPr="65049D61">
        <w:rPr>
          <w:rFonts w:eastAsia="Calibri" w:cs="Calibri"/>
        </w:rPr>
        <w:t xml:space="preserve">daily </w:t>
      </w:r>
      <w:r w:rsidR="00497098">
        <w:rPr>
          <w:rFonts w:eastAsia="Calibri" w:cs="Calibri"/>
        </w:rPr>
        <w:t>routines</w:t>
      </w:r>
      <w:r w:rsidRPr="65049D61">
        <w:rPr>
          <w:rFonts w:eastAsia="Calibri" w:cs="Calibri"/>
        </w:rPr>
        <w:t>,</w:t>
      </w:r>
      <w:r w:rsidRPr="65049D61" w:rsidDel="00497098">
        <w:rPr>
          <w:rFonts w:eastAsia="Calibri" w:cs="Calibri"/>
        </w:rPr>
        <w:t xml:space="preserve"> </w:t>
      </w:r>
      <w:r w:rsidRPr="65049D61">
        <w:rPr>
          <w:rFonts w:eastAsia="Calibri" w:cs="Calibri"/>
        </w:rPr>
        <w:t>academics and physical activities</w:t>
      </w:r>
      <w:r w:rsidR="00122243">
        <w:rPr>
          <w:rFonts w:eastAsia="Calibri" w:cs="Calibri"/>
        </w:rPr>
        <w:t>;</w:t>
      </w:r>
      <w:r w:rsidRPr="65049D61">
        <w:rPr>
          <w:rFonts w:eastAsia="Calibri" w:cs="Calibri"/>
        </w:rPr>
        <w:t xml:space="preserve"> and challenges with mental health and social isolation.</w:t>
      </w:r>
      <w:r w:rsidRPr="65049D61">
        <w:rPr>
          <w:rStyle w:val="FootnoteReference"/>
          <w:rFonts w:eastAsia="Calibri" w:cs="Calibri"/>
        </w:rPr>
        <w:footnoteReference w:id="209"/>
      </w:r>
      <w:r w:rsidRPr="65049D61">
        <w:rPr>
          <w:rFonts w:eastAsia="Calibri" w:cs="Calibri"/>
        </w:rPr>
        <w:t xml:space="preserve"> </w:t>
      </w:r>
      <w:r w:rsidR="00042E69">
        <w:rPr>
          <w:rFonts w:eastAsia="Calibri" w:cs="Calibri"/>
        </w:rPr>
        <w:t>M</w:t>
      </w:r>
      <w:r w:rsidRPr="65049D61">
        <w:rPr>
          <w:rFonts w:eastAsia="Calibri" w:cs="Calibri"/>
        </w:rPr>
        <w:t xml:space="preserve">any community centers were able to stay open </w:t>
      </w:r>
      <w:r w:rsidR="00F56C78">
        <w:rPr>
          <w:rFonts w:eastAsia="Calibri" w:cs="Calibri"/>
        </w:rPr>
        <w:t>virtually</w:t>
      </w:r>
      <w:r w:rsidRPr="65049D61">
        <w:rPr>
          <w:rFonts w:eastAsia="Calibri" w:cs="Calibri"/>
        </w:rPr>
        <w:t xml:space="preserve"> or during scheduled </w:t>
      </w:r>
      <w:r w:rsidR="008D641F">
        <w:rPr>
          <w:rFonts w:eastAsia="Calibri" w:cs="Calibri"/>
        </w:rPr>
        <w:t xml:space="preserve">in-person </w:t>
      </w:r>
      <w:r w:rsidRPr="65049D61">
        <w:rPr>
          <w:rFonts w:eastAsia="Calibri" w:cs="Calibri"/>
        </w:rPr>
        <w:t>times to deliver needed services to children, youth and communities</w:t>
      </w:r>
      <w:r w:rsidR="00B36EB5">
        <w:rPr>
          <w:rFonts w:eastAsia="Calibri" w:cs="Calibri"/>
        </w:rPr>
        <w:t xml:space="preserve">. </w:t>
      </w:r>
      <w:r w:rsidR="00C20EC8">
        <w:rPr>
          <w:rFonts w:eastAsia="Calibri" w:cs="Calibri"/>
        </w:rPr>
        <w:t>Center</w:t>
      </w:r>
      <w:r w:rsidR="0028486C">
        <w:rPr>
          <w:rFonts w:eastAsia="Calibri" w:cs="Calibri"/>
        </w:rPr>
        <w:t xml:space="preserve"> </w:t>
      </w:r>
      <w:r w:rsidR="00B43093">
        <w:rPr>
          <w:rFonts w:eastAsia="Calibri" w:cs="Calibri"/>
        </w:rPr>
        <w:t>program</w:t>
      </w:r>
      <w:r w:rsidR="003961ED">
        <w:rPr>
          <w:rFonts w:eastAsia="Calibri" w:cs="Calibri"/>
        </w:rPr>
        <w:t>s</w:t>
      </w:r>
      <w:r w:rsidR="00A639E6">
        <w:rPr>
          <w:rFonts w:eastAsia="Calibri" w:cs="Calibri"/>
        </w:rPr>
        <w:t xml:space="preserve"> </w:t>
      </w:r>
      <w:r w:rsidRPr="65049D61">
        <w:rPr>
          <w:rFonts w:eastAsia="Calibri" w:cs="Calibri"/>
        </w:rPr>
        <w:t>took on the role</w:t>
      </w:r>
      <w:r w:rsidR="00A639E6">
        <w:rPr>
          <w:rFonts w:eastAsia="Calibri" w:cs="Calibri"/>
        </w:rPr>
        <w:t>s</w:t>
      </w:r>
      <w:r w:rsidRPr="65049D61">
        <w:rPr>
          <w:rFonts w:eastAsia="Calibri" w:cs="Calibri"/>
        </w:rPr>
        <w:t xml:space="preserve"> of </w:t>
      </w:r>
      <w:r w:rsidR="00A639E6">
        <w:rPr>
          <w:rFonts w:eastAsia="Calibri" w:cs="Calibri"/>
        </w:rPr>
        <w:t xml:space="preserve">both </w:t>
      </w:r>
      <w:r w:rsidRPr="65049D61">
        <w:rPr>
          <w:rFonts w:eastAsia="Calibri" w:cs="Calibri"/>
        </w:rPr>
        <w:t>caregi</w:t>
      </w:r>
      <w:r w:rsidR="00B43093">
        <w:rPr>
          <w:rFonts w:eastAsia="Calibri" w:cs="Calibri"/>
        </w:rPr>
        <w:t>ving</w:t>
      </w:r>
      <w:r w:rsidRPr="65049D61">
        <w:rPr>
          <w:rFonts w:eastAsia="Calibri" w:cs="Calibri"/>
        </w:rPr>
        <w:t xml:space="preserve"> and educat</w:t>
      </w:r>
      <w:r w:rsidR="00B43093">
        <w:rPr>
          <w:rFonts w:eastAsia="Calibri" w:cs="Calibri"/>
        </w:rPr>
        <w:t>ing</w:t>
      </w:r>
      <w:r w:rsidR="00A639E6">
        <w:rPr>
          <w:rFonts w:eastAsia="Calibri" w:cs="Calibri"/>
        </w:rPr>
        <w:t>, as youth transitioned to online learning</w:t>
      </w:r>
      <w:r w:rsidRPr="65049D61">
        <w:rPr>
          <w:rFonts w:eastAsia="Calibri" w:cs="Calibri"/>
        </w:rPr>
        <w:t>.</w:t>
      </w:r>
      <w:r w:rsidRPr="65049D61">
        <w:rPr>
          <w:rStyle w:val="FootnoteReference"/>
          <w:rFonts w:eastAsia="Calibri" w:cs="Calibri"/>
        </w:rPr>
        <w:footnoteReference w:id="210"/>
      </w:r>
      <w:r w:rsidRPr="65049D61">
        <w:rPr>
          <w:rFonts w:eastAsia="Calibri" w:cs="Calibri"/>
        </w:rPr>
        <w:t xml:space="preserve"> </w:t>
      </w:r>
      <w:r w:rsidR="00475998">
        <w:rPr>
          <w:rFonts w:eastAsia="Calibri" w:cs="Calibri"/>
        </w:rPr>
        <w:t>Other</w:t>
      </w:r>
      <w:r w:rsidR="00475998" w:rsidRPr="65049D61">
        <w:rPr>
          <w:rFonts w:eastAsia="Calibri" w:cs="Calibri"/>
        </w:rPr>
        <w:t xml:space="preserve"> </w:t>
      </w:r>
      <w:r w:rsidR="00D57E5C">
        <w:rPr>
          <w:rFonts w:eastAsia="Calibri" w:cs="Calibri"/>
        </w:rPr>
        <w:t>facilities</w:t>
      </w:r>
      <w:r w:rsidR="00D57E5C" w:rsidRPr="65049D61">
        <w:rPr>
          <w:rFonts w:eastAsia="Calibri" w:cs="Calibri"/>
        </w:rPr>
        <w:t xml:space="preserve"> </w:t>
      </w:r>
      <w:r w:rsidRPr="65049D61">
        <w:rPr>
          <w:rFonts w:eastAsia="Calibri" w:cs="Calibri"/>
        </w:rPr>
        <w:t xml:space="preserve">have had to close their doors due to financial instability during the pandemic. </w:t>
      </w:r>
      <w:r w:rsidR="00D75A75">
        <w:rPr>
          <w:rFonts w:eastAsia="Calibri" w:cs="Calibri"/>
        </w:rPr>
        <w:t xml:space="preserve">Capital </w:t>
      </w:r>
      <w:r w:rsidR="00475998">
        <w:rPr>
          <w:rFonts w:eastAsia="Calibri" w:cs="Calibri"/>
        </w:rPr>
        <w:t xml:space="preserve">funding through </w:t>
      </w:r>
      <w:r w:rsidR="00475998" w:rsidRPr="00A412EA">
        <w:rPr>
          <w:rFonts w:eastAsia="Calibri" w:cs="Calibri"/>
          <w:i/>
          <w:iCs/>
        </w:rPr>
        <w:t>Best Starts</w:t>
      </w:r>
      <w:r w:rsidR="00D53E2B">
        <w:rPr>
          <w:rFonts w:eastAsia="Calibri" w:cs="Calibri"/>
        </w:rPr>
        <w:t xml:space="preserve"> </w:t>
      </w:r>
      <w:r w:rsidRPr="65049D61">
        <w:rPr>
          <w:rFonts w:eastAsia="Calibri" w:cs="Calibri"/>
        </w:rPr>
        <w:t>will increase access to critical services and program</w:t>
      </w:r>
      <w:r w:rsidR="00D53E2B">
        <w:rPr>
          <w:rFonts w:eastAsia="Calibri" w:cs="Calibri"/>
        </w:rPr>
        <w:t>s</w:t>
      </w:r>
      <w:r w:rsidRPr="65049D61">
        <w:rPr>
          <w:rFonts w:eastAsia="Calibri" w:cs="Calibri"/>
        </w:rPr>
        <w:t xml:space="preserve"> needed</w:t>
      </w:r>
      <w:r w:rsidR="007006FD">
        <w:rPr>
          <w:rFonts w:eastAsia="Calibri" w:cs="Calibri"/>
        </w:rPr>
        <w:t xml:space="preserve"> especially</w:t>
      </w:r>
      <w:r w:rsidRPr="65049D61">
        <w:rPr>
          <w:rFonts w:eastAsia="Calibri" w:cs="Calibri"/>
        </w:rPr>
        <w:t xml:space="preserve"> for vulnerable and underserved children, youth</w:t>
      </w:r>
      <w:r w:rsidR="00CD24AD">
        <w:rPr>
          <w:rFonts w:eastAsia="Calibri" w:cs="Calibri"/>
        </w:rPr>
        <w:t>,</w:t>
      </w:r>
      <w:r w:rsidRPr="65049D61">
        <w:rPr>
          <w:rFonts w:eastAsia="Calibri" w:cs="Calibri"/>
        </w:rPr>
        <w:t xml:space="preserve"> and families during</w:t>
      </w:r>
      <w:r w:rsidR="007159CE">
        <w:rPr>
          <w:rFonts w:eastAsia="Calibri" w:cs="Calibri"/>
        </w:rPr>
        <w:t xml:space="preserve"> the</w:t>
      </w:r>
      <w:r w:rsidRPr="65049D61">
        <w:rPr>
          <w:rFonts w:eastAsia="Calibri" w:cs="Calibri"/>
        </w:rPr>
        <w:t xml:space="preserve"> recovery phase of the pandemic</w:t>
      </w:r>
      <w:r w:rsidR="007159CE">
        <w:rPr>
          <w:rFonts w:eastAsia="Calibri" w:cs="Calibri"/>
        </w:rPr>
        <w:t>, and beyond</w:t>
      </w:r>
      <w:r w:rsidR="00EA0E47">
        <w:rPr>
          <w:rFonts w:eastAsia="Calibri" w:cs="Calibri"/>
        </w:rPr>
        <w:t>.</w:t>
      </w:r>
    </w:p>
    <w:p w14:paraId="692EAC4D" w14:textId="1A58FA41" w:rsidR="003F722E" w:rsidRDefault="003F722E" w:rsidP="003F722E">
      <w:pPr>
        <w:contextualSpacing/>
      </w:pPr>
    </w:p>
    <w:p w14:paraId="3E950820" w14:textId="3A0E38D6" w:rsidR="003F722E" w:rsidRDefault="003F722E" w:rsidP="003F722E">
      <w:r w:rsidRPr="00C3493D">
        <w:rPr>
          <w:rFonts w:eastAsia="Times New Roman" w:cs="Times New Roman"/>
          <w:i/>
          <w:iCs/>
        </w:rPr>
        <w:t>B</w:t>
      </w:r>
      <w:r w:rsidR="00C3493D" w:rsidRPr="00C3493D">
        <w:rPr>
          <w:rFonts w:eastAsia="Times New Roman" w:cs="Times New Roman"/>
          <w:i/>
          <w:iCs/>
        </w:rPr>
        <w:t>est Starts</w:t>
      </w:r>
      <w:r>
        <w:rPr>
          <w:rFonts w:eastAsia="Times New Roman" w:cs="Times New Roman"/>
        </w:rPr>
        <w:t xml:space="preserve"> will </w:t>
      </w:r>
      <w:r w:rsidR="00440ABF">
        <w:rPr>
          <w:rFonts w:eastAsia="Times New Roman" w:cs="Times New Roman"/>
        </w:rPr>
        <w:t>aim to</w:t>
      </w:r>
      <w:r>
        <w:rPr>
          <w:rFonts w:eastAsia="Times New Roman" w:cs="Times New Roman"/>
        </w:rPr>
        <w:t xml:space="preserve"> </w:t>
      </w:r>
      <w:r w:rsidRPr="00220A4A">
        <w:rPr>
          <w:rFonts w:eastAsia="Times New Roman" w:cs="Times New Roman"/>
        </w:rPr>
        <w:t xml:space="preserve">align these capital investments with other </w:t>
      </w:r>
      <w:r w:rsidRPr="65049D61">
        <w:rPr>
          <w:rFonts w:eastAsia="Times New Roman" w:cs="Times New Roman"/>
          <w:i/>
          <w:iCs/>
        </w:rPr>
        <w:t>Best Starts</w:t>
      </w:r>
      <w:r>
        <w:rPr>
          <w:rFonts w:eastAsia="Times New Roman" w:cs="Times New Roman"/>
        </w:rPr>
        <w:t xml:space="preserve"> </w:t>
      </w:r>
      <w:r w:rsidRPr="00220A4A">
        <w:rPr>
          <w:rFonts w:eastAsia="Times New Roman" w:cs="Times New Roman"/>
        </w:rPr>
        <w:t>programmatic strategies</w:t>
      </w:r>
      <w:r w:rsidRPr="32CB8683">
        <w:rPr>
          <w:rFonts w:eastAsia="Times New Roman" w:cs="Times New Roman"/>
        </w:rPr>
        <w:t xml:space="preserve"> including Communities </w:t>
      </w:r>
      <w:r w:rsidR="00E51E3F">
        <w:rPr>
          <w:rFonts w:eastAsia="Times New Roman" w:cs="Times New Roman"/>
        </w:rPr>
        <w:t>o</w:t>
      </w:r>
      <w:r w:rsidRPr="32CB8683">
        <w:rPr>
          <w:rFonts w:eastAsia="Times New Roman" w:cs="Times New Roman"/>
        </w:rPr>
        <w:t>f Opportunities investments</w:t>
      </w:r>
      <w:r>
        <w:rPr>
          <w:rFonts w:eastAsia="Times New Roman" w:cs="Times New Roman"/>
        </w:rPr>
        <w:t xml:space="preserve">, </w:t>
      </w:r>
      <w:r w:rsidR="00440ABF">
        <w:rPr>
          <w:rFonts w:eastAsia="Times New Roman" w:cs="Times New Roman"/>
        </w:rPr>
        <w:t xml:space="preserve">early learning facility </w:t>
      </w:r>
      <w:r>
        <w:rPr>
          <w:rFonts w:eastAsia="Times New Roman" w:cs="Times New Roman"/>
        </w:rPr>
        <w:t>c</w:t>
      </w:r>
      <w:r w:rsidRPr="00220A4A">
        <w:rPr>
          <w:rFonts w:eastAsia="Times New Roman" w:cs="Times New Roman"/>
        </w:rPr>
        <w:t xml:space="preserve">apital </w:t>
      </w:r>
      <w:r w:rsidR="00F36564">
        <w:rPr>
          <w:rFonts w:eastAsia="Times New Roman" w:cs="Times New Roman"/>
        </w:rPr>
        <w:t>funding</w:t>
      </w:r>
      <w:r w:rsidR="00F36564" w:rsidRPr="00220A4A">
        <w:rPr>
          <w:rFonts w:eastAsia="Times New Roman" w:cs="Times New Roman"/>
        </w:rPr>
        <w:t xml:space="preserve"> </w:t>
      </w:r>
      <w:r w:rsidR="00F36564">
        <w:rPr>
          <w:rFonts w:eastAsia="Times New Roman" w:cs="Times New Roman"/>
        </w:rPr>
        <w:t xml:space="preserve">as directed by </w:t>
      </w:r>
      <w:r w:rsidRPr="00220A4A">
        <w:rPr>
          <w:rFonts w:eastAsia="Times New Roman" w:cs="Times New Roman"/>
        </w:rPr>
        <w:t>the Puget Sound Taxpayer Accountability Act (PSTAA) Implementation Plan</w:t>
      </w:r>
      <w:r w:rsidRPr="4BD402C6">
        <w:rPr>
          <w:rFonts w:eastAsia="Times New Roman" w:cs="Times New Roman"/>
        </w:rPr>
        <w:t>,</w:t>
      </w:r>
      <w:r w:rsidR="00F36564">
        <w:rPr>
          <w:rStyle w:val="FootnoteReference"/>
          <w:rFonts w:eastAsia="Times New Roman" w:cs="Times New Roman"/>
        </w:rPr>
        <w:footnoteReference w:id="211"/>
      </w:r>
      <w:r w:rsidRPr="00220A4A">
        <w:rPr>
          <w:rFonts w:eastAsia="Times New Roman" w:cs="Times New Roman"/>
        </w:rPr>
        <w:t xml:space="preserve"> and other affordable housing investments.</w:t>
      </w:r>
      <w:r w:rsidR="00B4704B">
        <w:rPr>
          <w:rStyle w:val="FootnoteReference"/>
          <w:rFonts w:eastAsia="Times New Roman" w:cs="Times New Roman"/>
        </w:rPr>
        <w:footnoteReference w:id="212"/>
      </w:r>
      <w:r w:rsidRPr="00220A4A">
        <w:rPr>
          <w:rFonts w:eastAsia="Times New Roman" w:cs="Times New Roman"/>
        </w:rPr>
        <w:t xml:space="preserve"> </w:t>
      </w:r>
      <w:r w:rsidR="00543795" w:rsidRPr="00A412EA">
        <w:rPr>
          <w:rFonts w:eastAsia="Times New Roman" w:cs="Times New Roman"/>
          <w:i/>
          <w:iCs/>
        </w:rPr>
        <w:t>Best Starts</w:t>
      </w:r>
      <w:r w:rsidR="00543795">
        <w:rPr>
          <w:rFonts w:eastAsia="Times New Roman" w:cs="Times New Roman"/>
        </w:rPr>
        <w:t xml:space="preserve"> anticipates</w:t>
      </w:r>
      <w:r w:rsidRPr="00220A4A">
        <w:rPr>
          <w:rFonts w:eastAsia="Times New Roman" w:cs="Times New Roman"/>
        </w:rPr>
        <w:t xml:space="preserve"> filling funding gaps whe</w:t>
      </w:r>
      <w:r>
        <w:rPr>
          <w:rFonts w:eastAsia="Times New Roman" w:cs="Times New Roman"/>
        </w:rPr>
        <w:t>n</w:t>
      </w:r>
      <w:r w:rsidRPr="00220A4A">
        <w:rPr>
          <w:rFonts w:eastAsia="Times New Roman" w:cs="Times New Roman"/>
        </w:rPr>
        <w:t xml:space="preserve"> other traditional low-cost public capital resources are not available</w:t>
      </w:r>
      <w:r w:rsidR="00543795">
        <w:rPr>
          <w:rFonts w:eastAsia="Times New Roman" w:cs="Times New Roman"/>
        </w:rPr>
        <w:t xml:space="preserve">. This is likely to be especially applicable </w:t>
      </w:r>
      <w:r w:rsidRPr="00220A4A">
        <w:rPr>
          <w:rFonts w:eastAsia="Times New Roman" w:cs="Times New Roman"/>
        </w:rPr>
        <w:t>for non-housing facility-based uses that support low income households with children and youth</w:t>
      </w:r>
      <w:r w:rsidR="00EA0E47">
        <w:rPr>
          <w:rFonts w:eastAsia="Times New Roman" w:cs="Times New Roman"/>
        </w:rPr>
        <w:t>.</w:t>
      </w:r>
    </w:p>
    <w:p w14:paraId="76657AA7" w14:textId="7ADC1D62" w:rsidR="003F722E" w:rsidRDefault="003F722E" w:rsidP="003F722E">
      <w:pPr>
        <w:contextualSpacing/>
      </w:pPr>
    </w:p>
    <w:p w14:paraId="4A7B5E04" w14:textId="77777777" w:rsidR="004704DD" w:rsidRDefault="003F722E" w:rsidP="003F722E">
      <w:pPr>
        <w:contextualSpacing/>
        <w:rPr>
          <w:b/>
          <w:bCs/>
        </w:rPr>
      </w:pPr>
      <w:r w:rsidRPr="65049D61">
        <w:rPr>
          <w:rFonts w:eastAsia="Calibri" w:cs="Calibri"/>
          <w:b/>
          <w:bCs/>
        </w:rPr>
        <w:t>Prioritization of Funding by Project Type:</w:t>
      </w:r>
      <w:r w:rsidR="004704DD">
        <w:rPr>
          <w:b/>
          <w:bCs/>
        </w:rPr>
        <w:t xml:space="preserve"> </w:t>
      </w:r>
    </w:p>
    <w:p w14:paraId="04C0A7D4" w14:textId="351F121E" w:rsidR="003F722E" w:rsidRPr="004704DD" w:rsidRDefault="003F722E" w:rsidP="003F722E">
      <w:pPr>
        <w:contextualSpacing/>
        <w:rPr>
          <w:b/>
          <w:bCs/>
        </w:rPr>
      </w:pPr>
      <w:r w:rsidRPr="65049D61">
        <w:rPr>
          <w:rFonts w:eastAsia="Calibri" w:cs="Calibri"/>
        </w:rPr>
        <w:t xml:space="preserve">An overarching goal </w:t>
      </w:r>
      <w:r w:rsidR="00855700">
        <w:rPr>
          <w:rFonts w:eastAsia="Calibri" w:cs="Calibri"/>
        </w:rPr>
        <w:t xml:space="preserve">of </w:t>
      </w:r>
      <w:r w:rsidR="00543795" w:rsidRPr="00A412EA">
        <w:rPr>
          <w:rFonts w:eastAsia="Calibri" w:cs="Calibri"/>
          <w:i/>
          <w:iCs/>
        </w:rPr>
        <w:t>Best Starts’</w:t>
      </w:r>
      <w:r w:rsidR="00543795">
        <w:rPr>
          <w:rFonts w:eastAsia="Calibri" w:cs="Calibri"/>
        </w:rPr>
        <w:t xml:space="preserve"> c</w:t>
      </w:r>
      <w:r w:rsidR="00855700">
        <w:rPr>
          <w:rFonts w:eastAsia="Calibri" w:cs="Calibri"/>
        </w:rPr>
        <w:t xml:space="preserve">apital </w:t>
      </w:r>
      <w:r w:rsidR="00543795">
        <w:rPr>
          <w:rFonts w:eastAsia="Calibri" w:cs="Calibri"/>
        </w:rPr>
        <w:t>p</w:t>
      </w:r>
      <w:r w:rsidR="00855700">
        <w:rPr>
          <w:rFonts w:eastAsia="Calibri" w:cs="Calibri"/>
        </w:rPr>
        <w:t>rogram</w:t>
      </w:r>
      <w:r w:rsidRPr="65049D61">
        <w:rPr>
          <w:rFonts w:eastAsia="Calibri" w:cs="Calibri"/>
        </w:rPr>
        <w:t xml:space="preserve"> is to support equitable community</w:t>
      </w:r>
      <w:r w:rsidR="00855700">
        <w:rPr>
          <w:rFonts w:eastAsia="Calibri" w:cs="Calibri"/>
        </w:rPr>
        <w:t>-</w:t>
      </w:r>
      <w:r w:rsidRPr="65049D61">
        <w:rPr>
          <w:rFonts w:eastAsia="Calibri" w:cs="Calibri"/>
        </w:rPr>
        <w:t>driven development</w:t>
      </w:r>
      <w:r w:rsidR="000B0962">
        <w:rPr>
          <w:rFonts w:eastAsia="Calibri" w:cs="Calibri"/>
        </w:rPr>
        <w:t xml:space="preserve">. </w:t>
      </w:r>
      <w:r w:rsidR="00EF1C56">
        <w:rPr>
          <w:rFonts w:eastAsia="Calibri" w:cs="Calibri"/>
        </w:rPr>
        <w:t>C</w:t>
      </w:r>
      <w:r w:rsidRPr="65049D61">
        <w:rPr>
          <w:rFonts w:eastAsia="Calibri" w:cs="Calibri"/>
        </w:rPr>
        <w:t xml:space="preserve">apital projects </w:t>
      </w:r>
      <w:r w:rsidR="00A62972">
        <w:rPr>
          <w:rFonts w:eastAsia="Calibri" w:cs="Calibri"/>
        </w:rPr>
        <w:t>should</w:t>
      </w:r>
      <w:r w:rsidRPr="65049D61">
        <w:rPr>
          <w:rFonts w:eastAsia="Calibri" w:cs="Calibri"/>
        </w:rPr>
        <w:t xml:space="preserve"> align with </w:t>
      </w:r>
      <w:r w:rsidR="00611B77">
        <w:rPr>
          <w:rFonts w:eastAsia="Calibri" w:cs="Calibri"/>
        </w:rPr>
        <w:t>communities’</w:t>
      </w:r>
      <w:r w:rsidRPr="65049D61">
        <w:rPr>
          <w:rFonts w:eastAsia="Calibri" w:cs="Calibri"/>
        </w:rPr>
        <w:t xml:space="preserve"> vision </w:t>
      </w:r>
      <w:r w:rsidR="00A62972">
        <w:rPr>
          <w:rFonts w:eastAsia="Calibri" w:cs="Calibri"/>
        </w:rPr>
        <w:t xml:space="preserve">of how </w:t>
      </w:r>
      <w:r w:rsidRPr="65049D61">
        <w:rPr>
          <w:rFonts w:eastAsia="Calibri" w:cs="Calibri"/>
        </w:rPr>
        <w:t xml:space="preserve">to address </w:t>
      </w:r>
      <w:r w:rsidR="006126C1">
        <w:rPr>
          <w:rFonts w:eastAsia="Calibri" w:cs="Calibri"/>
        </w:rPr>
        <w:t>the lack of</w:t>
      </w:r>
      <w:r w:rsidRPr="65049D61">
        <w:rPr>
          <w:rFonts w:eastAsia="Calibri" w:cs="Calibri"/>
        </w:rPr>
        <w:t xml:space="preserve"> access to </w:t>
      </w:r>
      <w:r w:rsidR="0008367F">
        <w:rPr>
          <w:rFonts w:eastAsia="Calibri" w:cs="Calibri"/>
        </w:rPr>
        <w:t>multi-use</w:t>
      </w:r>
      <w:r w:rsidRPr="65049D61">
        <w:rPr>
          <w:rFonts w:eastAsia="Calibri" w:cs="Calibri"/>
        </w:rPr>
        <w:t xml:space="preserve"> facilities </w:t>
      </w:r>
      <w:r w:rsidR="00402EC1">
        <w:rPr>
          <w:rFonts w:eastAsia="Calibri" w:cs="Calibri"/>
        </w:rPr>
        <w:t>among</w:t>
      </w:r>
      <w:r w:rsidRPr="65049D61">
        <w:rPr>
          <w:rFonts w:eastAsia="Calibri" w:cs="Calibri"/>
        </w:rPr>
        <w:t xml:space="preserve"> low</w:t>
      </w:r>
      <w:r w:rsidR="00402EC1">
        <w:rPr>
          <w:rFonts w:eastAsia="Calibri" w:cs="Calibri"/>
        </w:rPr>
        <w:t>-</w:t>
      </w:r>
      <w:r w:rsidRPr="65049D61">
        <w:rPr>
          <w:rFonts w:eastAsia="Calibri" w:cs="Calibri"/>
        </w:rPr>
        <w:t>income children, youth and families</w:t>
      </w:r>
      <w:r w:rsidR="00402EC1">
        <w:rPr>
          <w:rFonts w:eastAsia="Calibri" w:cs="Calibri"/>
        </w:rPr>
        <w:t>,</w:t>
      </w:r>
      <w:r w:rsidRPr="65049D61">
        <w:rPr>
          <w:rFonts w:eastAsia="Calibri" w:cs="Calibri"/>
        </w:rPr>
        <w:t xml:space="preserve"> and BIPOC communities. </w:t>
      </w:r>
      <w:bookmarkStart w:id="88" w:name="_Toc71038200"/>
      <w:r w:rsidR="00A24B71">
        <w:rPr>
          <w:rFonts w:eastAsia="Calibri" w:cs="Calibri"/>
        </w:rPr>
        <w:t>A County Equitable Development Initiative (EDI), mirroring Seattle’s EDI program</w:t>
      </w:r>
      <w:r w:rsidR="00825428">
        <w:rPr>
          <w:rFonts w:eastAsia="Calibri" w:cs="Calibri"/>
        </w:rPr>
        <w:t>,</w:t>
      </w:r>
      <w:r w:rsidR="00ED06BB">
        <w:rPr>
          <w:rStyle w:val="FootnoteReference"/>
          <w:rFonts w:eastAsia="Calibri" w:cs="Calibri"/>
        </w:rPr>
        <w:footnoteReference w:id="213"/>
      </w:r>
      <w:r w:rsidR="00A24B71">
        <w:rPr>
          <w:rFonts w:eastAsia="Calibri" w:cs="Calibri"/>
        </w:rPr>
        <w:t xml:space="preserve"> would extend beyond the scope of this grant fund.</w:t>
      </w:r>
      <w:r w:rsidR="00825428">
        <w:rPr>
          <w:rFonts w:eastAsia="Calibri" w:cs="Calibri"/>
        </w:rPr>
        <w:t xml:space="preserve"> However, i</w:t>
      </w:r>
      <w:r w:rsidRPr="0723735B">
        <w:rPr>
          <w:rFonts w:eastAsia="Calibri" w:cs="Calibri"/>
        </w:rPr>
        <w:t xml:space="preserve">f King County </w:t>
      </w:r>
      <w:r w:rsidR="00A23FF7">
        <w:rPr>
          <w:rFonts w:eastAsia="Calibri" w:cs="Calibri"/>
        </w:rPr>
        <w:t>elects to</w:t>
      </w:r>
      <w:r w:rsidR="00A23FF7" w:rsidRPr="0723735B">
        <w:rPr>
          <w:rFonts w:eastAsia="Calibri" w:cs="Calibri"/>
        </w:rPr>
        <w:t xml:space="preserve"> </w:t>
      </w:r>
      <w:r w:rsidRPr="0723735B">
        <w:rPr>
          <w:rFonts w:eastAsia="Calibri" w:cs="Calibri"/>
        </w:rPr>
        <w:t>implement a</w:t>
      </w:r>
      <w:r w:rsidR="001C02F1">
        <w:rPr>
          <w:rFonts w:eastAsia="Calibri" w:cs="Calibri"/>
        </w:rPr>
        <w:t xml:space="preserve">n </w:t>
      </w:r>
      <w:r w:rsidR="00A23FF7">
        <w:rPr>
          <w:rFonts w:eastAsia="Calibri" w:cs="Calibri"/>
        </w:rPr>
        <w:t xml:space="preserve">equitable development initiative </w:t>
      </w:r>
      <w:r w:rsidR="005A3BC2">
        <w:rPr>
          <w:rFonts w:eastAsia="Calibri" w:cs="Calibri"/>
        </w:rPr>
        <w:t xml:space="preserve">(EDI) </w:t>
      </w:r>
      <w:r w:rsidR="00A23FF7">
        <w:rPr>
          <w:rFonts w:eastAsia="Calibri" w:cs="Calibri"/>
        </w:rPr>
        <w:t xml:space="preserve">in the </w:t>
      </w:r>
      <w:r w:rsidR="008630CA">
        <w:rPr>
          <w:rFonts w:eastAsia="Calibri" w:cs="Calibri"/>
        </w:rPr>
        <w:t xml:space="preserve">future, </w:t>
      </w:r>
      <w:r w:rsidR="00055C29" w:rsidRPr="00A412EA">
        <w:rPr>
          <w:rFonts w:eastAsia="Calibri" w:cs="Calibri"/>
          <w:i/>
          <w:iCs/>
        </w:rPr>
        <w:t>Best Starts’</w:t>
      </w:r>
      <w:r w:rsidR="00055C29">
        <w:rPr>
          <w:rFonts w:eastAsia="Calibri" w:cs="Calibri"/>
        </w:rPr>
        <w:t xml:space="preserve"> capital</w:t>
      </w:r>
      <w:r w:rsidR="00055C29" w:rsidRPr="0723735B">
        <w:rPr>
          <w:rFonts w:eastAsia="Calibri" w:cs="Calibri"/>
        </w:rPr>
        <w:t xml:space="preserve"> grant</w:t>
      </w:r>
      <w:r w:rsidR="0027360E">
        <w:rPr>
          <w:rFonts w:eastAsia="Calibri" w:cs="Calibri"/>
        </w:rPr>
        <w:t>s</w:t>
      </w:r>
      <w:r w:rsidR="00055C29" w:rsidRPr="0723735B">
        <w:rPr>
          <w:rFonts w:eastAsia="Calibri" w:cs="Calibri"/>
        </w:rPr>
        <w:t xml:space="preserve"> program </w:t>
      </w:r>
      <w:r w:rsidR="00055C29">
        <w:rPr>
          <w:rFonts w:eastAsia="Calibri" w:cs="Calibri"/>
        </w:rPr>
        <w:t xml:space="preserve">investments </w:t>
      </w:r>
      <w:r w:rsidR="004878A7">
        <w:rPr>
          <w:rFonts w:eastAsia="Calibri" w:cs="Calibri"/>
        </w:rPr>
        <w:t>w</w:t>
      </w:r>
      <w:r w:rsidR="00055C29" w:rsidRPr="0723735B">
        <w:rPr>
          <w:rFonts w:eastAsia="Calibri" w:cs="Calibri"/>
        </w:rPr>
        <w:t xml:space="preserve">ould be informed by and made collaboratively with </w:t>
      </w:r>
      <w:r w:rsidR="00055C29">
        <w:rPr>
          <w:rFonts w:eastAsia="Calibri" w:cs="Calibri"/>
        </w:rPr>
        <w:t>a County</w:t>
      </w:r>
      <w:r w:rsidR="00055C29" w:rsidRPr="0723735B">
        <w:rPr>
          <w:rFonts w:eastAsia="Calibri" w:cs="Calibri"/>
        </w:rPr>
        <w:t xml:space="preserve"> EDI pro</w:t>
      </w:r>
      <w:r w:rsidR="00055C29">
        <w:rPr>
          <w:rFonts w:eastAsia="Calibri" w:cs="Calibri"/>
        </w:rPr>
        <w:t>g</w:t>
      </w:r>
      <w:r w:rsidR="00055C29" w:rsidRPr="0723735B">
        <w:rPr>
          <w:rFonts w:eastAsia="Calibri" w:cs="Calibri"/>
        </w:rPr>
        <w:t>ram</w:t>
      </w:r>
      <w:r w:rsidR="00055C29">
        <w:rPr>
          <w:rFonts w:eastAsia="Calibri" w:cs="Calibri"/>
        </w:rPr>
        <w:t xml:space="preserve">. </w:t>
      </w:r>
    </w:p>
    <w:p w14:paraId="6DF333E6" w14:textId="77777777" w:rsidR="003F722E" w:rsidRDefault="003F722E" w:rsidP="003F722E">
      <w:pPr>
        <w:rPr>
          <w:rFonts w:eastAsia="Calibri" w:cs="Arial"/>
        </w:rPr>
      </w:pPr>
    </w:p>
    <w:p w14:paraId="261AEE20" w14:textId="4F0ED71A" w:rsidR="003F722E" w:rsidRDefault="004353EA" w:rsidP="003F722E">
      <w:pPr>
        <w:rPr>
          <w:rFonts w:eastAsia="Calibri" w:cs="Calibri"/>
        </w:rPr>
      </w:pPr>
      <w:r>
        <w:rPr>
          <w:rFonts w:eastAsia="Calibri" w:cs="Calibri"/>
        </w:rPr>
        <w:t xml:space="preserve">Priorities were established based </w:t>
      </w:r>
      <w:r w:rsidR="00BE04B8">
        <w:rPr>
          <w:rFonts w:eastAsia="Calibri" w:cs="Calibri"/>
        </w:rPr>
        <w:t xml:space="preserve">upon </w:t>
      </w:r>
      <w:r w:rsidR="00FB6E8D">
        <w:rPr>
          <w:rFonts w:eastAsia="Calibri" w:cs="Calibri"/>
        </w:rPr>
        <w:t>initial community feedback</w:t>
      </w:r>
      <w:r w:rsidR="00FC5EF4">
        <w:rPr>
          <w:rFonts w:eastAsia="Calibri" w:cs="Calibri"/>
        </w:rPr>
        <w:t xml:space="preserve"> and </w:t>
      </w:r>
      <w:r w:rsidR="00FB6E8D">
        <w:rPr>
          <w:rFonts w:eastAsia="Calibri" w:cs="Calibri"/>
        </w:rPr>
        <w:t xml:space="preserve">Children and Youth Advisory Board </w:t>
      </w:r>
      <w:r>
        <w:rPr>
          <w:rFonts w:eastAsia="Calibri" w:cs="Calibri"/>
        </w:rPr>
        <w:t>recommendations</w:t>
      </w:r>
      <w:r w:rsidR="00FB6E8D">
        <w:rPr>
          <w:rFonts w:eastAsia="Calibri" w:cs="Calibri"/>
        </w:rPr>
        <w:t xml:space="preserve"> </w:t>
      </w:r>
      <w:r w:rsidR="00DC5B95">
        <w:rPr>
          <w:rFonts w:eastAsia="Calibri" w:cs="Calibri"/>
        </w:rPr>
        <w:t xml:space="preserve">and </w:t>
      </w:r>
      <w:r w:rsidR="00FC5EF4">
        <w:rPr>
          <w:rFonts w:eastAsia="Calibri" w:cs="Calibri"/>
        </w:rPr>
        <w:t xml:space="preserve">were designed </w:t>
      </w:r>
      <w:r w:rsidR="00DC5B95">
        <w:rPr>
          <w:rFonts w:eastAsia="Calibri" w:cs="Calibri"/>
        </w:rPr>
        <w:t>to c</w:t>
      </w:r>
      <w:r>
        <w:rPr>
          <w:rFonts w:eastAsia="Calibri" w:cs="Calibri"/>
        </w:rPr>
        <w:t>ompl</w:t>
      </w:r>
      <w:r w:rsidR="008C45C2">
        <w:rPr>
          <w:rFonts w:eastAsia="Calibri" w:cs="Calibri"/>
        </w:rPr>
        <w:t>e</w:t>
      </w:r>
      <w:r>
        <w:rPr>
          <w:rFonts w:eastAsia="Calibri" w:cs="Calibri"/>
        </w:rPr>
        <w:t xml:space="preserve">ment programs such as PSTAA and </w:t>
      </w:r>
      <w:r w:rsidR="00605AC2">
        <w:rPr>
          <w:rFonts w:eastAsia="Calibri" w:cs="Calibri"/>
        </w:rPr>
        <w:t>existing</w:t>
      </w:r>
      <w:r w:rsidR="00826A43">
        <w:rPr>
          <w:rFonts w:eastAsia="Calibri" w:cs="Calibri"/>
        </w:rPr>
        <w:t xml:space="preserve"> housing and community development </w:t>
      </w:r>
      <w:r w:rsidR="00DC5B95">
        <w:rPr>
          <w:rFonts w:eastAsia="Calibri" w:cs="Calibri"/>
        </w:rPr>
        <w:t>work</w:t>
      </w:r>
      <w:r w:rsidR="00C41FDA">
        <w:rPr>
          <w:rFonts w:eastAsia="Calibri" w:cs="Calibri"/>
        </w:rPr>
        <w:t xml:space="preserve"> based in </w:t>
      </w:r>
      <w:r w:rsidR="00FC5EF4">
        <w:rPr>
          <w:rFonts w:eastAsia="Calibri" w:cs="Calibri"/>
        </w:rPr>
        <w:t xml:space="preserve">the </w:t>
      </w:r>
      <w:r w:rsidR="00C41FDA">
        <w:rPr>
          <w:rFonts w:eastAsia="Calibri" w:cs="Calibri"/>
        </w:rPr>
        <w:t>Department of Community and Human Services</w:t>
      </w:r>
      <w:r w:rsidR="00B06CF0">
        <w:rPr>
          <w:rFonts w:eastAsia="Calibri" w:cs="Calibri"/>
        </w:rPr>
        <w:t>.</w:t>
      </w:r>
      <w:r w:rsidR="00580317">
        <w:rPr>
          <w:rStyle w:val="FootnoteReference"/>
          <w:rFonts w:eastAsia="Calibri" w:cs="Calibri"/>
        </w:rPr>
        <w:footnoteReference w:id="214"/>
      </w:r>
      <w:r w:rsidR="00DC5B95">
        <w:rPr>
          <w:rFonts w:eastAsia="Calibri" w:cs="Calibri"/>
        </w:rPr>
        <w:t xml:space="preserve"> </w:t>
      </w:r>
      <w:r w:rsidR="00872F34">
        <w:rPr>
          <w:rFonts w:eastAsia="Calibri" w:cs="Calibri"/>
        </w:rPr>
        <w:t>T</w:t>
      </w:r>
      <w:r w:rsidR="003F722E" w:rsidRPr="65049D61">
        <w:rPr>
          <w:rFonts w:eastAsia="Calibri" w:cs="Calibri"/>
        </w:rPr>
        <w:t xml:space="preserve">he priority </w:t>
      </w:r>
      <w:r w:rsidR="00872F34">
        <w:rPr>
          <w:rFonts w:eastAsia="Calibri" w:cs="Calibri"/>
        </w:rPr>
        <w:t>categories</w:t>
      </w:r>
      <w:r w:rsidR="003F722E" w:rsidRPr="65049D61">
        <w:rPr>
          <w:rFonts w:eastAsia="Calibri" w:cs="Calibri"/>
        </w:rPr>
        <w:t xml:space="preserve"> outlined below may be re-evaluated</w:t>
      </w:r>
      <w:r w:rsidR="00872F34">
        <w:rPr>
          <w:rFonts w:eastAsia="Calibri" w:cs="Calibri"/>
        </w:rPr>
        <w:t xml:space="preserve"> based on future community engagement</w:t>
      </w:r>
      <w:r w:rsidR="003F722E" w:rsidRPr="65049D61">
        <w:rPr>
          <w:rFonts w:eastAsia="Calibri" w:cs="Calibri"/>
        </w:rPr>
        <w:t>.</w:t>
      </w:r>
    </w:p>
    <w:p w14:paraId="6ACCD956" w14:textId="1CA08E1D" w:rsidR="003F722E" w:rsidRDefault="003F722E" w:rsidP="00F364A5">
      <w:pPr>
        <w:pStyle w:val="ListParagraph"/>
        <w:numPr>
          <w:ilvl w:val="0"/>
          <w:numId w:val="18"/>
        </w:numPr>
        <w:contextualSpacing w:val="0"/>
        <w:rPr>
          <w:rFonts w:asciiTheme="minorHAnsi" w:eastAsiaTheme="minorEastAsia" w:hAnsiTheme="minorHAnsi"/>
          <w:color w:val="000000" w:themeColor="text1"/>
        </w:rPr>
      </w:pPr>
      <w:r w:rsidRPr="00F364A5">
        <w:rPr>
          <w:rFonts w:eastAsia="Times New Roman" w:cs="Times New Roman"/>
          <w:u w:val="single"/>
        </w:rPr>
        <w:t>P</w:t>
      </w:r>
      <w:r w:rsidRPr="00F364A5">
        <w:rPr>
          <w:rFonts w:eastAsia="Times New Roman" w:cs="Times New Roman"/>
          <w:color w:val="000000" w:themeColor="text1"/>
          <w:u w:val="single"/>
        </w:rPr>
        <w:t>riority 1:</w:t>
      </w:r>
      <w:r w:rsidRPr="65049D61">
        <w:rPr>
          <w:rFonts w:eastAsia="Times New Roman" w:cs="Times New Roman"/>
          <w:color w:val="000000" w:themeColor="text1"/>
        </w:rPr>
        <w:t xml:space="preserve"> New construction or renovation of existing property to provide for new community or recreational centers which prioritize </w:t>
      </w:r>
      <w:r w:rsidR="00916BB8">
        <w:t>serving low-income</w:t>
      </w:r>
      <w:r w:rsidR="00916BB8" w:rsidRPr="65049D61">
        <w:rPr>
          <w:rFonts w:eastAsia="Times New Roman" w:cs="Times New Roman"/>
          <w:color w:val="000000" w:themeColor="text1"/>
        </w:rPr>
        <w:t xml:space="preserve"> </w:t>
      </w:r>
      <w:r w:rsidRPr="65049D61">
        <w:rPr>
          <w:rFonts w:eastAsia="Times New Roman" w:cs="Times New Roman"/>
          <w:color w:val="000000" w:themeColor="text1"/>
        </w:rPr>
        <w:t xml:space="preserve">BIPOC children, youth and families </w:t>
      </w:r>
      <w:r w:rsidR="00654B39">
        <w:t xml:space="preserve">lacking access to similar facilities.  </w:t>
      </w:r>
      <w:r w:rsidR="00654B39">
        <w:rPr>
          <w:i/>
          <w:iCs/>
        </w:rPr>
        <w:t>Best Starts</w:t>
      </w:r>
      <w:r w:rsidR="00654B39">
        <w:t xml:space="preserve"> will provide capital planning grants of up to </w:t>
      </w:r>
      <w:r w:rsidR="00654B39">
        <w:lastRenderedPageBreak/>
        <w:t>$100,000 for Priority 1 projects.  The capital grant funds awarded under Priority 1 are expected not to exceed $5 million for any single project over the life of the levy.</w:t>
      </w:r>
    </w:p>
    <w:p w14:paraId="4FBAA244" w14:textId="1AD504CE" w:rsidR="003F722E" w:rsidRDefault="003F722E" w:rsidP="00F364A5">
      <w:pPr>
        <w:pStyle w:val="ListParagraph"/>
        <w:numPr>
          <w:ilvl w:val="0"/>
          <w:numId w:val="18"/>
        </w:numPr>
        <w:contextualSpacing w:val="0"/>
        <w:rPr>
          <w:color w:val="000000" w:themeColor="text1"/>
        </w:rPr>
      </w:pPr>
      <w:r w:rsidRPr="65049D61">
        <w:rPr>
          <w:rFonts w:eastAsia="Times New Roman" w:cs="Times New Roman"/>
          <w:color w:val="000000" w:themeColor="text1"/>
          <w:u w:val="single"/>
        </w:rPr>
        <w:t>Priority 2:</w:t>
      </w:r>
      <w:r w:rsidRPr="65049D61">
        <w:rPr>
          <w:rFonts w:eastAsia="Times New Roman" w:cs="Times New Roman"/>
          <w:color w:val="000000" w:themeColor="text1"/>
        </w:rPr>
        <w:t xml:space="preserve"> </w:t>
      </w:r>
      <w:r w:rsidR="00705FF9">
        <w:t>Renovations and repairs</w:t>
      </w:r>
      <w:r w:rsidR="00705FF9" w:rsidRPr="65049D61">
        <w:rPr>
          <w:rFonts w:eastAsia="Times New Roman" w:cs="Times New Roman"/>
          <w:color w:val="000000" w:themeColor="text1"/>
        </w:rPr>
        <w:t xml:space="preserve"> </w:t>
      </w:r>
      <w:r w:rsidRPr="65049D61">
        <w:rPr>
          <w:rFonts w:eastAsia="Times New Roman" w:cs="Times New Roman"/>
          <w:color w:val="000000" w:themeColor="text1"/>
        </w:rPr>
        <w:t>to existing multi-use community centers, early learning centers, child care or recreational facilities to address critical health and safety issues.</w:t>
      </w:r>
      <w:r w:rsidR="00FF70D2">
        <w:rPr>
          <w:rFonts w:eastAsia="Times New Roman" w:cs="Times New Roman"/>
          <w:color w:val="000000" w:themeColor="text1"/>
        </w:rPr>
        <w:t xml:space="preserve"> </w:t>
      </w:r>
      <w:r w:rsidR="00FF70D2">
        <w:t>The capital grant funds awarded under Priority 2 are expected not to exceed $500,000 for any single facility over the life of the levy.</w:t>
      </w:r>
    </w:p>
    <w:p w14:paraId="45EFE571" w14:textId="57C7692F" w:rsidR="003F722E" w:rsidRDefault="003F722E" w:rsidP="00F364A5">
      <w:pPr>
        <w:pStyle w:val="ListParagraph"/>
        <w:numPr>
          <w:ilvl w:val="0"/>
          <w:numId w:val="18"/>
        </w:numPr>
        <w:contextualSpacing w:val="0"/>
        <w:rPr>
          <w:color w:val="000000" w:themeColor="text1"/>
        </w:rPr>
      </w:pPr>
      <w:r w:rsidRPr="65049D61">
        <w:rPr>
          <w:rFonts w:eastAsia="Times New Roman" w:cs="Times New Roman"/>
          <w:color w:val="000000" w:themeColor="text1"/>
          <w:u w:val="single"/>
        </w:rPr>
        <w:t>Priority 3:</w:t>
      </w:r>
      <w:r w:rsidRPr="65049D61">
        <w:rPr>
          <w:rFonts w:eastAsia="Times New Roman" w:cs="Times New Roman"/>
          <w:color w:val="000000" w:themeColor="text1"/>
        </w:rPr>
        <w:t xml:space="preserve"> </w:t>
      </w:r>
      <w:r w:rsidR="000A718E">
        <w:rPr>
          <w:rFonts w:eastAsia="Times New Roman" w:cs="Times New Roman"/>
          <w:color w:val="000000" w:themeColor="text1"/>
        </w:rPr>
        <w:t>Expand child care and early learning facilities to increase capacity for multipurpose uses, and compl</w:t>
      </w:r>
      <w:r w:rsidR="00256D4A">
        <w:rPr>
          <w:rFonts w:eastAsia="Times New Roman" w:cs="Times New Roman"/>
          <w:color w:val="000000" w:themeColor="text1"/>
        </w:rPr>
        <w:t>e</w:t>
      </w:r>
      <w:r w:rsidR="000A718E">
        <w:rPr>
          <w:rFonts w:eastAsia="Times New Roman" w:cs="Times New Roman"/>
          <w:color w:val="000000" w:themeColor="text1"/>
        </w:rPr>
        <w:t xml:space="preserve">ment the Early Learning Facilities </w:t>
      </w:r>
      <w:r w:rsidRPr="65049D61">
        <w:rPr>
          <w:rFonts w:eastAsia="Times New Roman" w:cs="Times New Roman"/>
          <w:color w:val="000000" w:themeColor="text1"/>
        </w:rPr>
        <w:t xml:space="preserve">funding under the PSTAA </w:t>
      </w:r>
      <w:r w:rsidR="00635546">
        <w:rPr>
          <w:rFonts w:eastAsia="Times New Roman" w:cs="Times New Roman"/>
          <w:color w:val="000000" w:themeColor="text1"/>
        </w:rPr>
        <w:t>Implementation Plan</w:t>
      </w:r>
      <w:r w:rsidRPr="65049D61">
        <w:rPr>
          <w:rFonts w:eastAsia="Times New Roman" w:cs="Times New Roman"/>
          <w:color w:val="000000" w:themeColor="text1"/>
        </w:rPr>
        <w:t xml:space="preserve"> to increase capacity for multipurpose uses.</w:t>
      </w:r>
      <w:r w:rsidR="0006159C">
        <w:rPr>
          <w:rStyle w:val="FootnoteReference"/>
          <w:rFonts w:eastAsia="Times New Roman" w:cs="Times New Roman"/>
          <w:color w:val="000000" w:themeColor="text1"/>
        </w:rPr>
        <w:footnoteReference w:id="215"/>
      </w:r>
      <w:r w:rsidR="009A25BA">
        <w:rPr>
          <w:rFonts w:eastAsia="Times New Roman" w:cs="Times New Roman"/>
          <w:color w:val="000000" w:themeColor="text1"/>
        </w:rPr>
        <w:t xml:space="preserve"> </w:t>
      </w:r>
      <w:r w:rsidR="009A25BA">
        <w:t>The capital grant funds awarded under Priority 3 are expected not to exceed $1 million for any single facility over the life of the levy.</w:t>
      </w:r>
    </w:p>
    <w:p w14:paraId="1F41F89E" w14:textId="39E9EC73" w:rsidR="003F722E" w:rsidRDefault="003F722E" w:rsidP="009230D5">
      <w:pPr>
        <w:pStyle w:val="ListParagraph"/>
        <w:numPr>
          <w:ilvl w:val="0"/>
          <w:numId w:val="18"/>
        </w:numPr>
      </w:pPr>
      <w:r w:rsidRPr="65049D61">
        <w:rPr>
          <w:rFonts w:eastAsia="Times New Roman" w:cs="Times New Roman"/>
          <w:color w:val="000000" w:themeColor="text1"/>
          <w:u w:val="single"/>
        </w:rPr>
        <w:t>Priority 4:</w:t>
      </w:r>
      <w:r w:rsidRPr="65049D61">
        <w:rPr>
          <w:rFonts w:eastAsia="Times New Roman" w:cs="Times New Roman"/>
          <w:color w:val="000000" w:themeColor="text1"/>
        </w:rPr>
        <w:t xml:space="preserve"> Creation of affordable family or youth housing that includes </w:t>
      </w:r>
      <w:r w:rsidR="00882777">
        <w:rPr>
          <w:rFonts w:eastAsia="Times New Roman" w:cs="Times New Roman"/>
          <w:color w:val="000000" w:themeColor="text1"/>
        </w:rPr>
        <w:t xml:space="preserve">a </w:t>
      </w:r>
      <w:r w:rsidRPr="65049D61">
        <w:rPr>
          <w:rFonts w:eastAsia="Times New Roman" w:cs="Times New Roman"/>
          <w:color w:val="000000" w:themeColor="text1"/>
        </w:rPr>
        <w:t xml:space="preserve">child care or youth development </w:t>
      </w:r>
      <w:r w:rsidRPr="65049D61">
        <w:rPr>
          <w:rFonts w:eastAsia="Times New Roman" w:cs="Times New Roman"/>
        </w:rPr>
        <w:t>component on site.</w:t>
      </w:r>
      <w:r w:rsidR="0047439E">
        <w:rPr>
          <w:rFonts w:eastAsia="Times New Roman" w:cs="Times New Roman"/>
        </w:rPr>
        <w:t xml:space="preserve"> </w:t>
      </w:r>
      <w:r w:rsidR="0047439E">
        <w:t>The capital grant funds awarded under Priority 4 are expected not to exceed $5 million for any single project over the life of the levy.</w:t>
      </w:r>
    </w:p>
    <w:p w14:paraId="40EB93B3" w14:textId="05405635" w:rsidR="003F722E" w:rsidRDefault="003F722E" w:rsidP="003F722E">
      <w:pPr>
        <w:contextualSpacing/>
        <w:rPr>
          <w:rFonts w:eastAsia="Calibri" w:cs="Calibri"/>
        </w:rPr>
      </w:pPr>
      <w:r w:rsidRPr="00D03F1F">
        <w:rPr>
          <w:rFonts w:eastAsia="Calibri" w:cs="Calibri"/>
        </w:rPr>
        <w:t xml:space="preserve"> </w:t>
      </w:r>
    </w:p>
    <w:p w14:paraId="1037E9DA" w14:textId="75AB2364" w:rsidR="00BD5075" w:rsidRDefault="00BD5075" w:rsidP="003F722E">
      <w:pPr>
        <w:contextualSpacing/>
      </w:pPr>
      <w:r>
        <w:t>It is expected that no single project or facility shall receive more than $5 million in total capital grant funds.</w:t>
      </w:r>
    </w:p>
    <w:p w14:paraId="41799842" w14:textId="77777777" w:rsidR="00BD5075" w:rsidRDefault="00BD5075" w:rsidP="003F722E">
      <w:pPr>
        <w:contextualSpacing/>
      </w:pPr>
    </w:p>
    <w:p w14:paraId="4E8DC091" w14:textId="691881FD" w:rsidR="003F722E" w:rsidRDefault="003F722E" w:rsidP="003F722E">
      <w:pPr>
        <w:contextualSpacing/>
        <w:rPr>
          <w:rFonts w:eastAsia="Calibri"/>
        </w:rPr>
      </w:pPr>
      <w:r w:rsidRPr="65049D61">
        <w:rPr>
          <w:rFonts w:eastAsia="Calibri" w:cs="Calibri"/>
        </w:rPr>
        <w:t>All funds will be invested in the form of a recoverable grant</w:t>
      </w:r>
      <w:r w:rsidR="009E6AE3">
        <w:rPr>
          <w:rFonts w:eastAsia="Calibri" w:cs="Calibri"/>
        </w:rPr>
        <w:t>,</w:t>
      </w:r>
      <w:r w:rsidRPr="65049D61">
        <w:rPr>
          <w:rFonts w:eastAsia="Calibri" w:cs="Calibri"/>
        </w:rPr>
        <w:t xml:space="preserve"> where there is no expectation of repayment unless the conditions of the performance term for use is not met</w:t>
      </w:r>
      <w:r w:rsidR="00EA0E47">
        <w:rPr>
          <w:rFonts w:eastAsia="Calibri" w:cs="Calibri"/>
        </w:rPr>
        <w:t>.</w:t>
      </w:r>
      <w:r w:rsidR="00791013">
        <w:rPr>
          <w:rFonts w:eastAsia="Calibri" w:cs="Calibri"/>
        </w:rPr>
        <w:t xml:space="preserve"> </w:t>
      </w:r>
      <w:r w:rsidRPr="65049D61">
        <w:rPr>
          <w:rFonts w:eastAsia="Calibri" w:cs="Calibri"/>
        </w:rPr>
        <w:t xml:space="preserve">Funds may be recoverable if there is a change of use, violation of the contract terms, or </w:t>
      </w:r>
      <w:r w:rsidR="009E6AE3">
        <w:rPr>
          <w:rFonts w:eastAsia="Calibri" w:cs="Calibri"/>
        </w:rPr>
        <w:t xml:space="preserve">a </w:t>
      </w:r>
      <w:r w:rsidRPr="65049D61">
        <w:rPr>
          <w:rFonts w:eastAsia="Calibri" w:cs="Calibri"/>
        </w:rPr>
        <w:t xml:space="preserve">sale of the building or facility. </w:t>
      </w:r>
      <w:r w:rsidR="00155F1C">
        <w:rPr>
          <w:rFonts w:eastAsia="Calibri" w:cs="Calibri"/>
        </w:rPr>
        <w:t>E</w:t>
      </w:r>
      <w:r w:rsidRPr="65049D61">
        <w:rPr>
          <w:rFonts w:eastAsia="Calibri" w:cs="Calibri"/>
        </w:rPr>
        <w:t>xception</w:t>
      </w:r>
      <w:r w:rsidR="00155F1C">
        <w:rPr>
          <w:rFonts w:eastAsia="Calibri" w:cs="Calibri"/>
        </w:rPr>
        <w:t xml:space="preserve">s can </w:t>
      </w:r>
      <w:r w:rsidRPr="65049D61">
        <w:rPr>
          <w:rFonts w:eastAsia="Calibri" w:cs="Calibri"/>
        </w:rPr>
        <w:t>be made if a loan structure is required to leverage other financing</w:t>
      </w:r>
      <w:r w:rsidR="00A527DF">
        <w:rPr>
          <w:rFonts w:eastAsia="Calibri" w:cs="Calibri"/>
        </w:rPr>
        <w:t>,</w:t>
      </w:r>
      <w:r w:rsidRPr="65049D61">
        <w:rPr>
          <w:rFonts w:eastAsia="Calibri" w:cs="Calibri"/>
        </w:rPr>
        <w:t xml:space="preserve"> such as tax credits</w:t>
      </w:r>
      <w:r w:rsidR="00CD35A0">
        <w:rPr>
          <w:rFonts w:eastAsia="Calibri" w:cs="Calibri"/>
        </w:rPr>
        <w:t xml:space="preserve">. </w:t>
      </w:r>
      <w:r w:rsidR="009E6AE3">
        <w:rPr>
          <w:rFonts w:eastAsia="Calibri" w:cs="Calibri"/>
        </w:rPr>
        <w:t>Such determinations</w:t>
      </w:r>
      <w:r w:rsidRPr="65049D61">
        <w:rPr>
          <w:rFonts w:eastAsia="Calibri" w:cs="Calibri"/>
        </w:rPr>
        <w:t xml:space="preserve"> will be made on a case</w:t>
      </w:r>
      <w:r w:rsidR="00FF1DCF">
        <w:rPr>
          <w:rFonts w:eastAsia="Calibri" w:cs="Calibri"/>
        </w:rPr>
        <w:t>-</w:t>
      </w:r>
      <w:r w:rsidRPr="65049D61">
        <w:rPr>
          <w:rFonts w:eastAsia="Calibri" w:cs="Calibri"/>
        </w:rPr>
        <w:t>by</w:t>
      </w:r>
      <w:r w:rsidR="00FF1DCF">
        <w:rPr>
          <w:rFonts w:eastAsia="Calibri" w:cs="Calibri"/>
        </w:rPr>
        <w:t>-</w:t>
      </w:r>
      <w:r w:rsidRPr="65049D61">
        <w:rPr>
          <w:rFonts w:eastAsia="Calibri" w:cs="Calibri"/>
        </w:rPr>
        <w:t>case basis.</w:t>
      </w:r>
    </w:p>
    <w:p w14:paraId="2F214BD3" w14:textId="77777777" w:rsidR="003F722E" w:rsidRDefault="003F722E" w:rsidP="003F722E">
      <w:pPr>
        <w:rPr>
          <w:rFonts w:eastAsia="Calibri"/>
        </w:rPr>
      </w:pPr>
    </w:p>
    <w:p w14:paraId="2B66ACA1" w14:textId="6C5790C5" w:rsidR="003F722E" w:rsidRPr="00220A4A" w:rsidRDefault="003F722E" w:rsidP="003F722E">
      <w:pPr>
        <w:contextualSpacing/>
        <w:rPr>
          <w:b/>
          <w:bCs/>
        </w:rPr>
      </w:pPr>
      <w:r w:rsidRPr="00220A4A">
        <w:rPr>
          <w:rFonts w:eastAsia="Calibri" w:cs="Calibri"/>
          <w:b/>
          <w:bCs/>
        </w:rPr>
        <w:t xml:space="preserve">Timeline </w:t>
      </w:r>
      <w:r w:rsidR="0055454A">
        <w:rPr>
          <w:rFonts w:eastAsia="Calibri" w:cs="Calibri"/>
          <w:b/>
          <w:bCs/>
        </w:rPr>
        <w:t>and</w:t>
      </w:r>
      <w:r w:rsidRPr="00220A4A">
        <w:rPr>
          <w:rFonts w:eastAsia="Calibri" w:cs="Calibri"/>
          <w:b/>
          <w:bCs/>
        </w:rPr>
        <w:t xml:space="preserve"> Allocations: </w:t>
      </w:r>
    </w:p>
    <w:p w14:paraId="2612AAA9" w14:textId="22AFF22E" w:rsidR="003F722E" w:rsidRDefault="00BA15D2" w:rsidP="003F722E">
      <w:pPr>
        <w:contextualSpacing/>
      </w:pPr>
      <w:r>
        <w:rPr>
          <w:rFonts w:eastAsia="Calibri" w:cs="Calibri"/>
        </w:rPr>
        <w:t>Expenditures through this capital program</w:t>
      </w:r>
      <w:r w:rsidR="003F722E" w:rsidRPr="00D03F1F">
        <w:rPr>
          <w:rFonts w:eastAsia="Calibri" w:cs="Calibri"/>
        </w:rPr>
        <w:t xml:space="preserve"> </w:t>
      </w:r>
      <w:r>
        <w:rPr>
          <w:rFonts w:eastAsia="Calibri" w:cs="Calibri"/>
        </w:rPr>
        <w:t>would be made possible through</w:t>
      </w:r>
      <w:r w:rsidR="003F722E" w:rsidRPr="00D03F1F">
        <w:rPr>
          <w:rFonts w:eastAsia="Calibri" w:cs="Calibri"/>
        </w:rPr>
        <w:t xml:space="preserve"> the realization of excess revenue forecasted over the levy term, not to exceed $50</w:t>
      </w:r>
      <w:r>
        <w:rPr>
          <w:rFonts w:eastAsia="Calibri" w:cs="Calibri"/>
        </w:rPr>
        <w:t xml:space="preserve"> million</w:t>
      </w:r>
      <w:r w:rsidR="00791013">
        <w:rPr>
          <w:rFonts w:eastAsia="Calibri" w:cs="Calibri"/>
        </w:rPr>
        <w:t xml:space="preserve">. </w:t>
      </w:r>
      <w:r>
        <w:rPr>
          <w:rFonts w:eastAsia="Calibri" w:cs="Calibri"/>
        </w:rPr>
        <w:t>Since</w:t>
      </w:r>
      <w:r w:rsidR="003F722E" w:rsidRPr="00D03F1F">
        <w:rPr>
          <w:rFonts w:eastAsia="Calibri" w:cs="Calibri"/>
        </w:rPr>
        <w:t xml:space="preserve"> forecasts can change substantially over the course of the levy term</w:t>
      </w:r>
      <w:r w:rsidR="004532F5">
        <w:rPr>
          <w:rFonts w:eastAsia="Calibri" w:cs="Calibri"/>
        </w:rPr>
        <w:t>,</w:t>
      </w:r>
      <w:r w:rsidR="003F722E" w:rsidRPr="00D03F1F">
        <w:rPr>
          <w:rFonts w:eastAsia="Calibri" w:cs="Calibri"/>
        </w:rPr>
        <w:t xml:space="preserve"> there is inherent risk </w:t>
      </w:r>
      <w:r w:rsidR="004532F5">
        <w:rPr>
          <w:rFonts w:eastAsia="Calibri" w:cs="Calibri"/>
        </w:rPr>
        <w:t xml:space="preserve">to other </w:t>
      </w:r>
      <w:r w:rsidR="004532F5" w:rsidRPr="00EA0E47">
        <w:rPr>
          <w:rFonts w:eastAsia="Calibri" w:cs="Calibri"/>
          <w:i/>
          <w:iCs/>
        </w:rPr>
        <w:t>Best Starts</w:t>
      </w:r>
      <w:r w:rsidR="004532F5">
        <w:rPr>
          <w:rFonts w:eastAsia="Calibri" w:cs="Calibri"/>
        </w:rPr>
        <w:t xml:space="preserve"> programming </w:t>
      </w:r>
      <w:r w:rsidR="003F722E" w:rsidRPr="00D03F1F">
        <w:rPr>
          <w:rFonts w:eastAsia="Calibri" w:cs="Calibri"/>
        </w:rPr>
        <w:t xml:space="preserve">in allocating too much </w:t>
      </w:r>
      <w:r w:rsidR="004532F5">
        <w:rPr>
          <w:rFonts w:eastAsia="Calibri" w:cs="Calibri"/>
        </w:rPr>
        <w:t xml:space="preserve">capital funding </w:t>
      </w:r>
      <w:r w:rsidR="003F722E" w:rsidRPr="00D03F1F">
        <w:rPr>
          <w:rFonts w:eastAsia="Calibri" w:cs="Calibri"/>
        </w:rPr>
        <w:t>too soon</w:t>
      </w:r>
      <w:r w:rsidR="00EA0E47">
        <w:rPr>
          <w:rFonts w:eastAsia="Calibri" w:cs="Calibri"/>
        </w:rPr>
        <w:t>.</w:t>
      </w:r>
      <w:r w:rsidR="00791013">
        <w:rPr>
          <w:rFonts w:eastAsia="Calibri" w:cs="Calibri"/>
        </w:rPr>
        <w:t xml:space="preserve"> </w:t>
      </w:r>
      <w:r w:rsidR="00C9681D">
        <w:rPr>
          <w:rFonts w:eastAsia="Calibri" w:cs="Calibri"/>
        </w:rPr>
        <w:t>To</w:t>
      </w:r>
      <w:r w:rsidR="003F722E" w:rsidRPr="00D03F1F">
        <w:rPr>
          <w:rFonts w:eastAsia="Calibri" w:cs="Calibri"/>
        </w:rPr>
        <w:t xml:space="preserve"> mitigate that </w:t>
      </w:r>
      <w:r w:rsidR="004532F5">
        <w:rPr>
          <w:rFonts w:eastAsia="Calibri" w:cs="Calibri"/>
        </w:rPr>
        <w:t>possibility</w:t>
      </w:r>
      <w:r w:rsidR="003F722E" w:rsidRPr="4BD402C6">
        <w:rPr>
          <w:rFonts w:eastAsia="Calibri" w:cs="Calibri"/>
        </w:rPr>
        <w:t>,</w:t>
      </w:r>
      <w:r w:rsidR="003F722E" w:rsidRPr="00D03F1F">
        <w:rPr>
          <w:rFonts w:eastAsia="Calibri" w:cs="Calibri"/>
        </w:rPr>
        <w:t xml:space="preserve"> the allocation of funds to </w:t>
      </w:r>
      <w:r w:rsidR="00CB563A">
        <w:rPr>
          <w:rFonts w:eastAsia="Calibri" w:cs="Calibri"/>
        </w:rPr>
        <w:t xml:space="preserve">support </w:t>
      </w:r>
      <w:r w:rsidR="005B6FA2">
        <w:rPr>
          <w:rFonts w:eastAsia="Calibri" w:cs="Calibri"/>
        </w:rPr>
        <w:t xml:space="preserve">capital </w:t>
      </w:r>
      <w:r w:rsidR="003F722E" w:rsidRPr="00D03F1F">
        <w:rPr>
          <w:rFonts w:eastAsia="Calibri" w:cs="Calibri"/>
        </w:rPr>
        <w:t xml:space="preserve">projects will fluctuate over the levy term. </w:t>
      </w:r>
      <w:r w:rsidR="00A74B7E" w:rsidRPr="00EA0E47">
        <w:rPr>
          <w:rFonts w:eastAsia="Calibri" w:cs="Calibri"/>
          <w:i/>
          <w:iCs/>
        </w:rPr>
        <w:t>Best Starts</w:t>
      </w:r>
      <w:r w:rsidR="003F722E" w:rsidRPr="00D03F1F">
        <w:rPr>
          <w:rFonts w:eastAsia="Calibri" w:cs="Calibri"/>
        </w:rPr>
        <w:t xml:space="preserve"> </w:t>
      </w:r>
      <w:r w:rsidR="003F722E">
        <w:rPr>
          <w:rFonts w:eastAsia="Calibri" w:cs="Calibri"/>
        </w:rPr>
        <w:t>will</w:t>
      </w:r>
      <w:r w:rsidR="003F722E" w:rsidRPr="00D03F1F">
        <w:rPr>
          <w:rFonts w:eastAsia="Calibri" w:cs="Calibri"/>
        </w:rPr>
        <w:t xml:space="preserve"> </w:t>
      </w:r>
      <w:r w:rsidR="00A74B7E">
        <w:rPr>
          <w:rFonts w:eastAsia="Calibri" w:cs="Calibri"/>
        </w:rPr>
        <w:t>maintain</w:t>
      </w:r>
      <w:r w:rsidR="00A74B7E" w:rsidRPr="00D03F1F">
        <w:rPr>
          <w:rFonts w:eastAsia="Calibri" w:cs="Calibri"/>
        </w:rPr>
        <w:t xml:space="preserve"> </w:t>
      </w:r>
      <w:r w:rsidR="003F722E" w:rsidRPr="00D03F1F">
        <w:rPr>
          <w:rFonts w:eastAsia="Calibri" w:cs="Calibri"/>
        </w:rPr>
        <w:t>a funding reserve</w:t>
      </w:r>
      <w:r w:rsidR="001F760B">
        <w:rPr>
          <w:rFonts w:eastAsia="Calibri" w:cs="Calibri"/>
        </w:rPr>
        <w:t xml:space="preserve"> </w:t>
      </w:r>
      <w:r w:rsidR="003F722E" w:rsidRPr="00D03F1F">
        <w:rPr>
          <w:rFonts w:eastAsia="Calibri" w:cs="Calibri"/>
        </w:rPr>
        <w:t xml:space="preserve">and monitor revenue forecasts over several years to ensure </w:t>
      </w:r>
      <w:r w:rsidR="00A74B7E">
        <w:rPr>
          <w:rFonts w:eastAsia="Calibri" w:cs="Calibri"/>
        </w:rPr>
        <w:t xml:space="preserve">that all </w:t>
      </w:r>
      <w:r w:rsidR="003F722E" w:rsidRPr="65049D61">
        <w:rPr>
          <w:rFonts w:eastAsia="Calibri" w:cs="Calibri"/>
          <w:i/>
          <w:iCs/>
        </w:rPr>
        <w:t>Best Starts</w:t>
      </w:r>
      <w:r w:rsidR="003F722E">
        <w:rPr>
          <w:rFonts w:eastAsia="Calibri" w:cs="Calibri"/>
          <w:i/>
        </w:rPr>
        <w:t xml:space="preserve"> </w:t>
      </w:r>
      <w:r w:rsidR="00F63FDD">
        <w:rPr>
          <w:rFonts w:eastAsia="Calibri" w:cs="Calibri"/>
        </w:rPr>
        <w:t xml:space="preserve">investment areas </w:t>
      </w:r>
      <w:r w:rsidR="00A74B7E">
        <w:rPr>
          <w:rFonts w:eastAsia="Calibri" w:cs="Calibri"/>
        </w:rPr>
        <w:t>continue to be</w:t>
      </w:r>
      <w:r w:rsidR="003F722E" w:rsidRPr="00D03F1F">
        <w:rPr>
          <w:rFonts w:eastAsia="Calibri" w:cs="Calibri"/>
        </w:rPr>
        <w:t xml:space="preserve"> funded at </w:t>
      </w:r>
      <w:r w:rsidR="00F63FDD">
        <w:rPr>
          <w:rFonts w:eastAsia="Calibri" w:cs="Calibri"/>
        </w:rPr>
        <w:t>the levels required by Ordinance 19267, avoiding the need to reduce funding to accommodate</w:t>
      </w:r>
      <w:r w:rsidR="003F722E" w:rsidRPr="00D03F1F">
        <w:rPr>
          <w:rFonts w:eastAsia="Calibri" w:cs="Calibri"/>
        </w:rPr>
        <w:t xml:space="preserve"> any grant commitments.</w:t>
      </w:r>
      <w:r w:rsidR="003F722E" w:rsidRPr="001F760B">
        <w:rPr>
          <w:rStyle w:val="FootnoteReference"/>
          <w:rFonts w:eastAsia="Calibri" w:cs="Calibri"/>
        </w:rPr>
        <w:t xml:space="preserve"> </w:t>
      </w:r>
      <w:r w:rsidR="001F760B">
        <w:rPr>
          <w:rStyle w:val="FootnoteReference"/>
          <w:rFonts w:eastAsia="Calibri" w:cs="Calibri"/>
        </w:rPr>
        <w:footnoteReference w:id="216"/>
      </w:r>
      <w:r w:rsidR="007B6D19">
        <w:rPr>
          <w:rStyle w:val="FootnoteReference"/>
          <w:rFonts w:eastAsia="Calibri" w:cs="Calibri"/>
        </w:rPr>
        <w:t>,</w:t>
      </w:r>
      <w:r w:rsidR="001F760B">
        <w:rPr>
          <w:rStyle w:val="FootnoteReference"/>
          <w:rFonts w:eastAsia="Calibri" w:cs="Calibri"/>
        </w:rPr>
        <w:footnoteReference w:id="217"/>
      </w:r>
      <w:r w:rsidR="003F722E" w:rsidRPr="00D03F1F">
        <w:rPr>
          <w:rFonts w:eastAsia="Calibri" w:cs="Calibri"/>
        </w:rPr>
        <w:t xml:space="preserve">  </w:t>
      </w:r>
    </w:p>
    <w:p w14:paraId="3529D3A9" w14:textId="73A31BAD" w:rsidR="003F722E" w:rsidRDefault="003F722E" w:rsidP="003F722E">
      <w:pPr>
        <w:contextualSpacing/>
      </w:pPr>
      <w:r w:rsidRPr="00D03F1F">
        <w:rPr>
          <w:rFonts w:eastAsia="Calibri" w:cs="Calibri"/>
        </w:rPr>
        <w:t xml:space="preserve"> </w:t>
      </w:r>
    </w:p>
    <w:p w14:paraId="205AF7E5" w14:textId="77777777" w:rsidR="004704DD" w:rsidRDefault="003F722E" w:rsidP="003F722E">
      <w:pPr>
        <w:contextualSpacing/>
        <w:rPr>
          <w:rFonts w:eastAsia="Calibri" w:cs="Calibri"/>
          <w:b/>
        </w:rPr>
      </w:pPr>
      <w:r w:rsidRPr="00111017">
        <w:rPr>
          <w:rFonts w:eastAsia="Calibri" w:cs="Calibri"/>
          <w:b/>
        </w:rPr>
        <w:t>Estimated Annual Spending Plan:</w:t>
      </w:r>
      <w:r w:rsidR="00254D4C">
        <w:rPr>
          <w:rFonts w:eastAsia="Calibri" w:cs="Calibri"/>
          <w:b/>
        </w:rPr>
        <w:t xml:space="preserve"> </w:t>
      </w:r>
    </w:p>
    <w:p w14:paraId="63A67D27" w14:textId="1E0B29B1" w:rsidR="003F722E" w:rsidRPr="004704DD" w:rsidRDefault="003F722E" w:rsidP="003F722E">
      <w:pPr>
        <w:contextualSpacing/>
        <w:rPr>
          <w:rFonts w:eastAsia="Calibri" w:cs="Calibri"/>
          <w:b/>
        </w:rPr>
      </w:pPr>
      <w:r w:rsidRPr="65049D61">
        <w:rPr>
          <w:rFonts w:eastAsia="Calibri" w:cs="Calibri"/>
        </w:rPr>
        <w:t xml:space="preserve">Each year, </w:t>
      </w:r>
      <w:r w:rsidR="00F63FDD">
        <w:rPr>
          <w:rFonts w:eastAsia="Calibri" w:cs="Calibri"/>
        </w:rPr>
        <w:t xml:space="preserve">capital grant </w:t>
      </w:r>
      <w:r w:rsidRPr="65049D61">
        <w:rPr>
          <w:rFonts w:eastAsia="Calibri" w:cs="Calibri"/>
        </w:rPr>
        <w:t xml:space="preserve">funds will be offered through a competitive procurement process not to exceed the estimated annual amount shown in </w:t>
      </w:r>
      <w:r w:rsidR="00DC63BD">
        <w:rPr>
          <w:rFonts w:eastAsia="Calibri" w:cs="Calibri"/>
        </w:rPr>
        <w:t>T</w:t>
      </w:r>
      <w:r w:rsidR="00FD5E93" w:rsidRPr="001E2516">
        <w:rPr>
          <w:rFonts w:eastAsia="Calibri" w:cs="Calibri"/>
        </w:rPr>
        <w:t xml:space="preserve">able </w:t>
      </w:r>
      <w:r w:rsidR="00665FE6">
        <w:rPr>
          <w:rFonts w:eastAsia="Calibri" w:cs="Calibri"/>
        </w:rPr>
        <w:t>1</w:t>
      </w:r>
      <w:r w:rsidR="00C16BA5">
        <w:rPr>
          <w:rFonts w:eastAsia="Calibri" w:cs="Calibri"/>
        </w:rPr>
        <w:t>2</w:t>
      </w:r>
      <w:r w:rsidRPr="65049D61">
        <w:rPr>
          <w:rFonts w:eastAsia="Calibri" w:cs="Calibri"/>
        </w:rPr>
        <w:t>. That amount will be based on revenue projections to ensure compliance</w:t>
      </w:r>
      <w:r w:rsidR="00EA0E47">
        <w:rPr>
          <w:rFonts w:eastAsia="Calibri" w:cs="Calibri"/>
        </w:rPr>
        <w:t>.</w:t>
      </w:r>
      <w:r w:rsidR="00791013">
        <w:rPr>
          <w:rFonts w:eastAsia="Calibri" w:cs="Calibri"/>
        </w:rPr>
        <w:t xml:space="preserve"> </w:t>
      </w:r>
      <w:r w:rsidR="00D174AB">
        <w:rPr>
          <w:rFonts w:eastAsia="Calibri" w:cs="Calibri"/>
        </w:rPr>
        <w:t>In</w:t>
      </w:r>
      <w:r w:rsidRPr="65049D61">
        <w:rPr>
          <w:rFonts w:eastAsia="Calibri" w:cs="Calibri"/>
        </w:rPr>
        <w:t xml:space="preserve"> </w:t>
      </w:r>
      <w:r w:rsidR="00DC63BD">
        <w:rPr>
          <w:rFonts w:eastAsia="Calibri" w:cs="Calibri"/>
        </w:rPr>
        <w:t>2022 and 2023</w:t>
      </w:r>
      <w:r w:rsidR="00D174AB">
        <w:rPr>
          <w:rFonts w:eastAsia="Calibri" w:cs="Calibri"/>
        </w:rPr>
        <w:t>,</w:t>
      </w:r>
      <w:r w:rsidRPr="65049D61">
        <w:rPr>
          <w:rFonts w:eastAsia="Calibri" w:cs="Calibri"/>
        </w:rPr>
        <w:t xml:space="preserve"> the annual estimated allocation will be made available only for Priority 1 and 2 projects</w:t>
      </w:r>
      <w:r w:rsidR="00DC63BD">
        <w:rPr>
          <w:rFonts w:eastAsia="Calibri" w:cs="Calibri"/>
        </w:rPr>
        <w:t>, specifically n</w:t>
      </w:r>
      <w:r w:rsidRPr="65049D61">
        <w:rPr>
          <w:rFonts w:eastAsia="Calibri" w:cs="Calibri"/>
        </w:rPr>
        <w:t xml:space="preserve">ew construction or renovation of existing property for new </w:t>
      </w:r>
      <w:r w:rsidRPr="65049D61">
        <w:rPr>
          <w:rFonts w:eastAsia="Calibri" w:cs="Calibri"/>
        </w:rPr>
        <w:lastRenderedPageBreak/>
        <w:t>community or recreational centers in locations where there are limited to no similar facilities available</w:t>
      </w:r>
      <w:r w:rsidR="00AB3874">
        <w:rPr>
          <w:rFonts w:eastAsia="Calibri" w:cs="Calibri"/>
        </w:rPr>
        <w:t>,</w:t>
      </w:r>
      <w:r w:rsidRPr="65049D61">
        <w:rPr>
          <w:rFonts w:eastAsia="Calibri" w:cs="Calibri"/>
        </w:rPr>
        <w:t xml:space="preserve"> and existing facility/building repairs</w:t>
      </w:r>
      <w:r w:rsidR="001D2B24">
        <w:rPr>
          <w:rFonts w:eastAsia="Calibri" w:cs="Calibri"/>
        </w:rPr>
        <w:t xml:space="preserve"> and </w:t>
      </w:r>
      <w:r w:rsidRPr="65049D61">
        <w:rPr>
          <w:rFonts w:eastAsia="Calibri" w:cs="Calibri"/>
        </w:rPr>
        <w:t xml:space="preserve">renovations to address critical health and safety issues. </w:t>
      </w:r>
      <w:r w:rsidR="00AB3874">
        <w:rPr>
          <w:rFonts w:eastAsia="Calibri" w:cs="Calibri"/>
        </w:rPr>
        <w:t xml:space="preserve">This </w:t>
      </w:r>
      <w:r w:rsidR="00DC63BD">
        <w:rPr>
          <w:rFonts w:eastAsia="Calibri" w:cs="Calibri"/>
        </w:rPr>
        <w:t>phased approach</w:t>
      </w:r>
      <w:r w:rsidR="00AB3874">
        <w:rPr>
          <w:rFonts w:eastAsia="Calibri" w:cs="Calibri"/>
        </w:rPr>
        <w:t xml:space="preserve"> will </w:t>
      </w:r>
      <w:r w:rsidR="00DC63BD">
        <w:rPr>
          <w:rFonts w:eastAsia="Calibri" w:cs="Calibri"/>
        </w:rPr>
        <w:t>make</w:t>
      </w:r>
      <w:r w:rsidR="00F15BDD">
        <w:rPr>
          <w:rFonts w:eastAsia="Calibri" w:cs="Calibri"/>
        </w:rPr>
        <w:t xml:space="preserve"> it possible for</w:t>
      </w:r>
      <w:r w:rsidR="00AB3874">
        <w:rPr>
          <w:rFonts w:eastAsia="Calibri" w:cs="Calibri"/>
        </w:rPr>
        <w:t xml:space="preserve"> new and improved </w:t>
      </w:r>
      <w:r w:rsidR="00AB3874" w:rsidRPr="65049D61">
        <w:rPr>
          <w:rFonts w:eastAsia="Calibri" w:cs="Calibri"/>
        </w:rPr>
        <w:t xml:space="preserve">facilities </w:t>
      </w:r>
      <w:r w:rsidR="00AB3874">
        <w:rPr>
          <w:rFonts w:eastAsia="Calibri" w:cs="Calibri"/>
        </w:rPr>
        <w:t xml:space="preserve">to </w:t>
      </w:r>
      <w:r w:rsidR="00AB3874" w:rsidRPr="65049D61">
        <w:rPr>
          <w:rFonts w:eastAsia="Calibri" w:cs="Calibri"/>
        </w:rPr>
        <w:t xml:space="preserve">host </w:t>
      </w:r>
      <w:r w:rsidR="00AB3874" w:rsidRPr="65049D61">
        <w:rPr>
          <w:rFonts w:eastAsia="Times New Roman" w:cs="Times New Roman"/>
          <w:i/>
          <w:iCs/>
        </w:rPr>
        <w:t>Best Starts</w:t>
      </w:r>
      <w:r w:rsidR="00AB3874" w:rsidRPr="65049D61">
        <w:rPr>
          <w:rFonts w:eastAsia="Times New Roman" w:cs="Times New Roman"/>
        </w:rPr>
        <w:t xml:space="preserve"> </w:t>
      </w:r>
      <w:r w:rsidR="00F15BDD">
        <w:rPr>
          <w:rFonts w:eastAsia="Times New Roman" w:cs="Times New Roman"/>
        </w:rPr>
        <w:t>programs</w:t>
      </w:r>
      <w:r w:rsidR="00AB3874" w:rsidRPr="65049D61">
        <w:rPr>
          <w:rFonts w:eastAsia="Calibri" w:cs="Calibri"/>
        </w:rPr>
        <w:t xml:space="preserve"> </w:t>
      </w:r>
      <w:r w:rsidR="008E2D62">
        <w:rPr>
          <w:rFonts w:eastAsia="Calibri" w:cs="Calibri"/>
        </w:rPr>
        <w:t xml:space="preserve">earlier in </w:t>
      </w:r>
      <w:r w:rsidR="00F15BDD" w:rsidRPr="00111017">
        <w:rPr>
          <w:rFonts w:eastAsia="Calibri" w:cs="Calibri"/>
          <w:i/>
          <w:iCs/>
        </w:rPr>
        <w:t>Best Starts’</w:t>
      </w:r>
      <w:r w:rsidR="00F15BDD">
        <w:rPr>
          <w:rFonts w:eastAsia="Calibri" w:cs="Calibri"/>
        </w:rPr>
        <w:t xml:space="preserve"> 2022-2027</w:t>
      </w:r>
      <w:r w:rsidR="008E2D62">
        <w:rPr>
          <w:rFonts w:eastAsia="Calibri" w:cs="Calibri"/>
        </w:rPr>
        <w:t xml:space="preserve"> </w:t>
      </w:r>
      <w:r w:rsidR="00F15BDD">
        <w:rPr>
          <w:rFonts w:eastAsia="Calibri" w:cs="Calibri"/>
        </w:rPr>
        <w:t>l</w:t>
      </w:r>
      <w:r w:rsidR="009764FC">
        <w:rPr>
          <w:rFonts w:eastAsia="Calibri" w:cs="Calibri"/>
        </w:rPr>
        <w:t>evy</w:t>
      </w:r>
      <w:r w:rsidR="008E2D62">
        <w:rPr>
          <w:rFonts w:eastAsia="Calibri" w:cs="Calibri"/>
        </w:rPr>
        <w:t>.</w:t>
      </w:r>
      <w:r w:rsidR="002A7D89">
        <w:rPr>
          <w:rFonts w:eastAsia="Calibri" w:cs="Calibri"/>
        </w:rPr>
        <w:t xml:space="preserve"> </w:t>
      </w:r>
    </w:p>
    <w:p w14:paraId="42E732F1" w14:textId="77777777" w:rsidR="00284BF6" w:rsidRDefault="00284BF6" w:rsidP="003F722E">
      <w:pPr>
        <w:contextualSpacing/>
        <w:rPr>
          <w:rFonts w:eastAsia="Calibri" w:cs="Calibri"/>
        </w:rPr>
      </w:pPr>
    </w:p>
    <w:p w14:paraId="2349E152" w14:textId="6958E69C" w:rsidR="005C26E8" w:rsidRDefault="005C26E8" w:rsidP="005C26E8">
      <w:pPr>
        <w:pStyle w:val="Caption"/>
        <w:keepNext/>
      </w:pPr>
      <w:r>
        <w:t xml:space="preserve">Table </w:t>
      </w:r>
      <w:fldSimple w:instr=" SEQ Table \* ARABIC ">
        <w:r w:rsidR="00B8538C">
          <w:rPr>
            <w:noProof/>
          </w:rPr>
          <w:t>12</w:t>
        </w:r>
      </w:fldSimple>
      <w:r w:rsidRPr="00B013F2">
        <w:t>: Estimated Annual Capital Grant</w:t>
      </w:r>
      <w:r w:rsidR="0027360E">
        <w:t>s</w:t>
      </w:r>
      <w:r w:rsidRPr="00B013F2">
        <w:t xml:space="preserve"> Program Spending Plan</w:t>
      </w:r>
    </w:p>
    <w:p w14:paraId="3EED31D6" w14:textId="6F9361C8" w:rsidR="005C7B53" w:rsidRDefault="79EC0405" w:rsidP="00A842BD">
      <w:r>
        <w:rPr>
          <w:noProof/>
        </w:rPr>
        <w:drawing>
          <wp:inline distT="0" distB="0" distL="0" distR="0" wp14:anchorId="041B1D83" wp14:editId="62899E89">
            <wp:extent cx="3648075" cy="2314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3648075" cy="2314575"/>
                    </a:xfrm>
                    <a:prstGeom prst="rect">
                      <a:avLst/>
                    </a:prstGeom>
                  </pic:spPr>
                </pic:pic>
              </a:graphicData>
            </a:graphic>
          </wp:inline>
        </w:drawing>
      </w:r>
    </w:p>
    <w:p w14:paraId="68C6E0FA" w14:textId="77777777" w:rsidR="00C16BA5" w:rsidRPr="005C7B53" w:rsidRDefault="00C16BA5" w:rsidP="00A842BD"/>
    <w:p w14:paraId="61F1B778" w14:textId="3E5C97F5" w:rsidR="00A858E7" w:rsidRDefault="00A23EC8" w:rsidP="00025030">
      <w:pPr>
        <w:pStyle w:val="Heading2"/>
        <w:numPr>
          <w:ilvl w:val="0"/>
          <w:numId w:val="26"/>
        </w:numPr>
      </w:pPr>
      <w:bookmarkStart w:id="89" w:name="_Technical_Assistance_and"/>
      <w:bookmarkStart w:id="90" w:name="_Toc85188551"/>
      <w:bookmarkEnd w:id="88"/>
      <w:bookmarkEnd w:id="89"/>
      <w:r>
        <w:t>Technical Assistance and Capacity Building</w:t>
      </w:r>
      <w:bookmarkEnd w:id="90"/>
      <w:r w:rsidR="12C5F3F6" w:rsidRPr="00A23EC8">
        <w:t xml:space="preserve"> </w:t>
      </w:r>
    </w:p>
    <w:p w14:paraId="1E3C4F0D" w14:textId="77777777" w:rsidR="00284BF6" w:rsidRPr="00284BF6" w:rsidRDefault="00284BF6" w:rsidP="00284BF6"/>
    <w:tbl>
      <w:tblPr>
        <w:tblStyle w:val="TableGrid"/>
        <w:tblpPr w:leftFromText="180" w:rightFromText="180" w:vertAnchor="text" w:horzAnchor="margin" w:tblpY="71"/>
        <w:tblW w:w="9510" w:type="dxa"/>
        <w:tblLook w:val="04A0" w:firstRow="1" w:lastRow="0" w:firstColumn="1" w:lastColumn="0" w:noHBand="0" w:noVBand="1"/>
      </w:tblPr>
      <w:tblGrid>
        <w:gridCol w:w="9510"/>
      </w:tblGrid>
      <w:tr w:rsidR="008634E4" w:rsidRPr="00D03F1F" w14:paraId="7FFA9D23" w14:textId="77777777" w:rsidTr="00620FD5">
        <w:trPr>
          <w:trHeight w:val="375"/>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F969C64" w14:textId="753B906D" w:rsidR="008634E4" w:rsidRPr="00C20529" w:rsidRDefault="008634E4" w:rsidP="00E71A46">
            <w:pPr>
              <w:contextualSpacing/>
              <w:rPr>
                <w:rFonts w:eastAsia="Calibri" w:cs="Calibri"/>
                <w:color w:val="000000" w:themeColor="text1"/>
                <w:sz w:val="28"/>
                <w:szCs w:val="28"/>
              </w:rPr>
            </w:pPr>
            <w:r w:rsidRPr="00B635FA">
              <w:rPr>
                <w:rFonts w:eastAsia="Calibri" w:cs="Calibri"/>
                <w:b/>
                <w:color w:val="000000" w:themeColor="text1"/>
                <w:sz w:val="28"/>
                <w:szCs w:val="28"/>
              </w:rPr>
              <w:t>Technical Assistance and Capacity Building</w:t>
            </w:r>
            <w:r w:rsidRPr="00B635FA">
              <w:rPr>
                <w:rFonts w:eastAsia="Calibri" w:cs="Calibri"/>
                <w:color w:val="000000" w:themeColor="text1"/>
                <w:sz w:val="28"/>
                <w:szCs w:val="28"/>
              </w:rPr>
              <w:t xml:space="preserve"> </w:t>
            </w:r>
          </w:p>
        </w:tc>
      </w:tr>
    </w:tbl>
    <w:tbl>
      <w:tblPr>
        <w:tblW w:w="9540" w:type="dxa"/>
        <w:tblLook w:val="04A0" w:firstRow="1" w:lastRow="0" w:firstColumn="1" w:lastColumn="0" w:noHBand="0" w:noVBand="1"/>
      </w:tblPr>
      <w:tblGrid>
        <w:gridCol w:w="975"/>
        <w:gridCol w:w="1191"/>
        <w:gridCol w:w="1192"/>
        <w:gridCol w:w="1192"/>
        <w:gridCol w:w="1192"/>
        <w:gridCol w:w="1192"/>
        <w:gridCol w:w="1192"/>
        <w:gridCol w:w="1414"/>
      </w:tblGrid>
      <w:tr w:rsidR="008B4452" w:rsidRPr="008B4452" w14:paraId="6530D005" w14:textId="77777777" w:rsidTr="00620FD5">
        <w:trPr>
          <w:trHeight w:val="261"/>
        </w:trPr>
        <w:tc>
          <w:tcPr>
            <w:tcW w:w="9540" w:type="dxa"/>
            <w:gridSpan w:val="8"/>
            <w:tcBorders>
              <w:top w:val="nil"/>
              <w:left w:val="nil"/>
              <w:bottom w:val="single" w:sz="12" w:space="0" w:color="FFD966"/>
              <w:right w:val="nil"/>
            </w:tcBorders>
            <w:shd w:val="clear" w:color="auto" w:fill="auto"/>
            <w:noWrap/>
            <w:vAlign w:val="bottom"/>
            <w:hideMark/>
          </w:tcPr>
          <w:p w14:paraId="42201E22" w14:textId="5392AC90" w:rsidR="008B4452" w:rsidRPr="008B4452" w:rsidRDefault="008B4452" w:rsidP="008B4452">
            <w:pPr>
              <w:spacing w:line="240" w:lineRule="auto"/>
              <w:rPr>
                <w:rFonts w:eastAsia="Times New Roman" w:cs="Calibri"/>
                <w:b/>
                <w:bCs/>
                <w:i/>
                <w:iCs/>
                <w:color w:val="000000"/>
              </w:rPr>
            </w:pPr>
            <w:r w:rsidRPr="008B4452">
              <w:rPr>
                <w:rFonts w:eastAsia="Times New Roman" w:cs="Calibri"/>
                <w:b/>
                <w:bCs/>
                <w:i/>
                <w:iCs/>
                <w:color w:val="000000"/>
              </w:rPr>
              <w:t>Funding Estimate:</w:t>
            </w:r>
          </w:p>
        </w:tc>
      </w:tr>
      <w:tr w:rsidR="008B4452" w:rsidRPr="008B4452" w14:paraId="2A99ECC9" w14:textId="77777777" w:rsidTr="00620FD5">
        <w:trPr>
          <w:trHeight w:val="348"/>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1CA94F92" w14:textId="77777777" w:rsidR="008B4452" w:rsidRPr="008B4452" w:rsidRDefault="008B4452" w:rsidP="008B4452">
            <w:pPr>
              <w:spacing w:line="240" w:lineRule="auto"/>
              <w:rPr>
                <w:rFonts w:eastAsia="Times New Roman" w:cs="Calibri"/>
                <w:b/>
                <w:bCs/>
                <w:i/>
                <w:iCs/>
              </w:rPr>
            </w:pPr>
            <w:r w:rsidRPr="008B4452">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265E6244" w14:textId="77777777" w:rsidR="008B4452" w:rsidRPr="008B4452" w:rsidRDefault="008B4452" w:rsidP="008B4452">
            <w:pPr>
              <w:spacing w:line="240" w:lineRule="auto"/>
              <w:jc w:val="right"/>
              <w:rPr>
                <w:rFonts w:eastAsia="Times New Roman" w:cs="Calibri"/>
              </w:rPr>
            </w:pPr>
            <w:r w:rsidRPr="008B4452">
              <w:rPr>
                <w:rFonts w:eastAsia="Times New Roman" w:cs="Calibri"/>
              </w:rPr>
              <w:t>2022</w:t>
            </w:r>
          </w:p>
        </w:tc>
        <w:tc>
          <w:tcPr>
            <w:tcW w:w="1192" w:type="dxa"/>
            <w:tcBorders>
              <w:top w:val="nil"/>
              <w:left w:val="nil"/>
              <w:bottom w:val="single" w:sz="8" w:space="0" w:color="FFD966"/>
              <w:right w:val="single" w:sz="8" w:space="0" w:color="FFD966"/>
            </w:tcBorders>
            <w:shd w:val="clear" w:color="000000" w:fill="D9E1F2"/>
            <w:noWrap/>
            <w:vAlign w:val="center"/>
            <w:hideMark/>
          </w:tcPr>
          <w:p w14:paraId="0DEC9676" w14:textId="77777777" w:rsidR="008B4452" w:rsidRPr="008B4452" w:rsidRDefault="008B4452" w:rsidP="008B4452">
            <w:pPr>
              <w:spacing w:line="240" w:lineRule="auto"/>
              <w:jc w:val="right"/>
              <w:rPr>
                <w:rFonts w:eastAsia="Times New Roman" w:cs="Calibri"/>
              </w:rPr>
            </w:pPr>
            <w:r w:rsidRPr="008B4452">
              <w:rPr>
                <w:rFonts w:eastAsia="Times New Roman" w:cs="Calibri"/>
              </w:rPr>
              <w:t>2023</w:t>
            </w:r>
          </w:p>
        </w:tc>
        <w:tc>
          <w:tcPr>
            <w:tcW w:w="1192" w:type="dxa"/>
            <w:tcBorders>
              <w:top w:val="nil"/>
              <w:left w:val="nil"/>
              <w:bottom w:val="single" w:sz="8" w:space="0" w:color="FFD966"/>
              <w:right w:val="single" w:sz="8" w:space="0" w:color="FFD966"/>
            </w:tcBorders>
            <w:shd w:val="clear" w:color="000000" w:fill="D9E1F2"/>
            <w:noWrap/>
            <w:vAlign w:val="center"/>
            <w:hideMark/>
          </w:tcPr>
          <w:p w14:paraId="4854D27B" w14:textId="77777777" w:rsidR="008B4452" w:rsidRPr="008B4452" w:rsidRDefault="008B4452" w:rsidP="008B4452">
            <w:pPr>
              <w:spacing w:line="240" w:lineRule="auto"/>
              <w:jc w:val="right"/>
              <w:rPr>
                <w:rFonts w:eastAsia="Times New Roman" w:cs="Calibri"/>
              </w:rPr>
            </w:pPr>
            <w:r w:rsidRPr="008B4452">
              <w:rPr>
                <w:rFonts w:eastAsia="Times New Roman" w:cs="Calibri"/>
              </w:rPr>
              <w:t>2024</w:t>
            </w:r>
          </w:p>
        </w:tc>
        <w:tc>
          <w:tcPr>
            <w:tcW w:w="1192" w:type="dxa"/>
            <w:tcBorders>
              <w:top w:val="nil"/>
              <w:left w:val="nil"/>
              <w:bottom w:val="single" w:sz="8" w:space="0" w:color="FFD966"/>
              <w:right w:val="single" w:sz="8" w:space="0" w:color="FFD966"/>
            </w:tcBorders>
            <w:shd w:val="clear" w:color="000000" w:fill="D9E1F2"/>
            <w:noWrap/>
            <w:vAlign w:val="center"/>
            <w:hideMark/>
          </w:tcPr>
          <w:p w14:paraId="791B9990" w14:textId="77777777" w:rsidR="008B4452" w:rsidRPr="008B4452" w:rsidRDefault="008B4452" w:rsidP="008B4452">
            <w:pPr>
              <w:spacing w:line="240" w:lineRule="auto"/>
              <w:jc w:val="right"/>
              <w:rPr>
                <w:rFonts w:eastAsia="Times New Roman" w:cs="Calibri"/>
              </w:rPr>
            </w:pPr>
            <w:r w:rsidRPr="008B4452">
              <w:rPr>
                <w:rFonts w:eastAsia="Times New Roman" w:cs="Calibri"/>
              </w:rPr>
              <w:t>2025</w:t>
            </w:r>
          </w:p>
        </w:tc>
        <w:tc>
          <w:tcPr>
            <w:tcW w:w="1192" w:type="dxa"/>
            <w:tcBorders>
              <w:top w:val="nil"/>
              <w:left w:val="nil"/>
              <w:bottom w:val="single" w:sz="8" w:space="0" w:color="FFD966"/>
              <w:right w:val="single" w:sz="8" w:space="0" w:color="FFD966"/>
            </w:tcBorders>
            <w:shd w:val="clear" w:color="000000" w:fill="D9E1F2"/>
            <w:noWrap/>
            <w:vAlign w:val="center"/>
            <w:hideMark/>
          </w:tcPr>
          <w:p w14:paraId="32DF2432" w14:textId="77777777" w:rsidR="008B4452" w:rsidRPr="008B4452" w:rsidRDefault="008B4452" w:rsidP="008B4452">
            <w:pPr>
              <w:spacing w:line="240" w:lineRule="auto"/>
              <w:jc w:val="right"/>
              <w:rPr>
                <w:rFonts w:eastAsia="Times New Roman" w:cs="Calibri"/>
              </w:rPr>
            </w:pPr>
            <w:r w:rsidRPr="008B4452">
              <w:rPr>
                <w:rFonts w:eastAsia="Times New Roman" w:cs="Calibri"/>
              </w:rPr>
              <w:t>2026</w:t>
            </w:r>
          </w:p>
        </w:tc>
        <w:tc>
          <w:tcPr>
            <w:tcW w:w="1192" w:type="dxa"/>
            <w:tcBorders>
              <w:top w:val="nil"/>
              <w:left w:val="nil"/>
              <w:bottom w:val="single" w:sz="8" w:space="0" w:color="FFD966"/>
              <w:right w:val="single" w:sz="8" w:space="0" w:color="FFD966"/>
            </w:tcBorders>
            <w:shd w:val="clear" w:color="000000" w:fill="D9E1F2"/>
            <w:noWrap/>
            <w:vAlign w:val="center"/>
            <w:hideMark/>
          </w:tcPr>
          <w:p w14:paraId="357C67CF" w14:textId="77777777" w:rsidR="008B4452" w:rsidRPr="008B4452" w:rsidRDefault="008B4452" w:rsidP="008B4452">
            <w:pPr>
              <w:spacing w:line="240" w:lineRule="auto"/>
              <w:jc w:val="right"/>
              <w:rPr>
                <w:rFonts w:eastAsia="Times New Roman" w:cs="Calibri"/>
              </w:rPr>
            </w:pPr>
            <w:r w:rsidRPr="008B4452">
              <w:rPr>
                <w:rFonts w:eastAsia="Times New Roman" w:cs="Calibri"/>
              </w:rPr>
              <w:t>2027</w:t>
            </w:r>
          </w:p>
        </w:tc>
        <w:tc>
          <w:tcPr>
            <w:tcW w:w="1414" w:type="dxa"/>
            <w:tcBorders>
              <w:top w:val="nil"/>
              <w:left w:val="nil"/>
              <w:bottom w:val="single" w:sz="8" w:space="0" w:color="FFD966"/>
              <w:right w:val="single" w:sz="12" w:space="0" w:color="FFD966"/>
            </w:tcBorders>
            <w:shd w:val="clear" w:color="000000" w:fill="D9E1F2"/>
            <w:noWrap/>
            <w:vAlign w:val="center"/>
            <w:hideMark/>
          </w:tcPr>
          <w:p w14:paraId="00A73B48" w14:textId="77777777" w:rsidR="008B4452" w:rsidRPr="008B4452" w:rsidRDefault="008B4452" w:rsidP="008B4452">
            <w:pPr>
              <w:spacing w:line="240" w:lineRule="auto"/>
              <w:jc w:val="right"/>
              <w:rPr>
                <w:rFonts w:eastAsia="Times New Roman" w:cs="Calibri"/>
                <w:b/>
                <w:bCs/>
                <w:i/>
                <w:iCs/>
              </w:rPr>
            </w:pPr>
            <w:r w:rsidRPr="008B4452">
              <w:rPr>
                <w:rFonts w:eastAsia="Times New Roman" w:cs="Calibri"/>
                <w:b/>
                <w:bCs/>
                <w:i/>
                <w:iCs/>
              </w:rPr>
              <w:t>Total</w:t>
            </w:r>
          </w:p>
        </w:tc>
      </w:tr>
      <w:tr w:rsidR="008B4452" w:rsidRPr="008B4452" w14:paraId="20E03B91" w14:textId="77777777" w:rsidTr="00620FD5">
        <w:trPr>
          <w:trHeight w:val="348"/>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6E1D9443" w14:textId="77777777" w:rsidR="008B4452" w:rsidRPr="008B4452" w:rsidRDefault="008B4452" w:rsidP="008B4452">
            <w:pPr>
              <w:spacing w:line="240" w:lineRule="auto"/>
              <w:rPr>
                <w:rFonts w:eastAsia="Times New Roman" w:cs="Calibri"/>
                <w:b/>
                <w:bCs/>
                <w:i/>
                <w:iCs/>
                <w:color w:val="000000"/>
              </w:rPr>
            </w:pPr>
            <w:r w:rsidRPr="008B4452">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7FCDD159"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$1,850,000 </w:t>
            </w:r>
          </w:p>
        </w:tc>
        <w:tc>
          <w:tcPr>
            <w:tcW w:w="1192" w:type="dxa"/>
            <w:tcBorders>
              <w:top w:val="nil"/>
              <w:left w:val="nil"/>
              <w:bottom w:val="single" w:sz="12" w:space="0" w:color="FFD966"/>
              <w:right w:val="single" w:sz="8" w:space="0" w:color="FFD966"/>
            </w:tcBorders>
            <w:shd w:val="clear" w:color="auto" w:fill="auto"/>
            <w:noWrap/>
            <w:vAlign w:val="center"/>
            <w:hideMark/>
          </w:tcPr>
          <w:p w14:paraId="15E5476F"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$1,900,000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17F229CB"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403A1AA0"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101C49B7"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28449FF0"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414" w:type="dxa"/>
            <w:tcBorders>
              <w:top w:val="nil"/>
              <w:left w:val="nil"/>
              <w:bottom w:val="single" w:sz="12" w:space="0" w:color="FFD966"/>
              <w:right w:val="single" w:sz="12" w:space="0" w:color="FFD966"/>
            </w:tcBorders>
            <w:shd w:val="clear" w:color="auto" w:fill="auto"/>
            <w:noWrap/>
            <w:vAlign w:val="center"/>
            <w:hideMark/>
          </w:tcPr>
          <w:p w14:paraId="6BB88557" w14:textId="77777777" w:rsidR="008B4452" w:rsidRPr="008B4452" w:rsidRDefault="008B4452" w:rsidP="008B4452">
            <w:pPr>
              <w:spacing w:line="240" w:lineRule="auto"/>
              <w:jc w:val="right"/>
              <w:rPr>
                <w:rFonts w:eastAsia="Times New Roman" w:cs="Calibri"/>
                <w:b/>
                <w:bCs/>
                <w:color w:val="000000"/>
              </w:rPr>
            </w:pPr>
            <w:r w:rsidRPr="008B4452">
              <w:rPr>
                <w:rFonts w:eastAsia="Times New Roman" w:cs="Calibri"/>
                <w:b/>
                <w:bCs/>
                <w:color w:val="000000"/>
              </w:rPr>
              <w:t xml:space="preserve">$11,750,000 </w:t>
            </w:r>
          </w:p>
        </w:tc>
      </w:tr>
    </w:tbl>
    <w:p w14:paraId="20018A4E" w14:textId="77777777" w:rsidR="008B4452" w:rsidRDefault="008B4452" w:rsidP="005F3393">
      <w:pPr>
        <w:contextualSpacing/>
        <w:rPr>
          <w:rFonts w:eastAsia="Calibri" w:cs="Calibri"/>
          <w:b/>
          <w:color w:val="000000" w:themeColor="text1"/>
        </w:rPr>
      </w:pPr>
    </w:p>
    <w:p w14:paraId="162833CC" w14:textId="0E495061" w:rsidR="71C471BA" w:rsidRPr="00D03F1F" w:rsidRDefault="71C471BA" w:rsidP="005F3393">
      <w:pPr>
        <w:contextualSpacing/>
        <w:rPr>
          <w:rFonts w:eastAsia="Calibri" w:cs="Calibri"/>
          <w:color w:val="000000" w:themeColor="text1"/>
        </w:rPr>
      </w:pPr>
      <w:r w:rsidRPr="00D03F1F">
        <w:rPr>
          <w:rFonts w:eastAsia="Calibri" w:cs="Calibri"/>
          <w:b/>
          <w:color w:val="000000" w:themeColor="text1"/>
        </w:rPr>
        <w:t>Description</w:t>
      </w:r>
      <w:r w:rsidR="008634E4">
        <w:rPr>
          <w:rFonts w:eastAsia="Calibri" w:cs="Calibri"/>
          <w:b/>
          <w:bCs/>
          <w:color w:val="000000" w:themeColor="text1"/>
        </w:rPr>
        <w:t>:</w:t>
      </w:r>
    </w:p>
    <w:p w14:paraId="589CFE8B" w14:textId="6BB509DB" w:rsidR="00745722" w:rsidRDefault="00D907AB" w:rsidP="00D907AB">
      <w:pPr>
        <w:contextualSpacing/>
        <w:rPr>
          <w:rFonts w:eastAsia="Calibri" w:cs="Calibri"/>
          <w:i/>
          <w:color w:val="000000" w:themeColor="text1"/>
        </w:rPr>
      </w:pPr>
      <w:r w:rsidRPr="00D03F1F">
        <w:rPr>
          <w:rFonts w:eastAsia="Calibri" w:cs="Calibri"/>
          <w:i/>
          <w:color w:val="000000" w:themeColor="text1"/>
        </w:rPr>
        <w:t>Best Starts</w:t>
      </w:r>
      <w:r w:rsidRPr="00D03F1F" w:rsidDel="00407361">
        <w:rPr>
          <w:rFonts w:eastAsia="Calibri" w:cs="Calibri"/>
          <w:color w:val="000000" w:themeColor="text1"/>
        </w:rPr>
        <w:t xml:space="preserve"> </w:t>
      </w:r>
      <w:r w:rsidRPr="00D03F1F">
        <w:rPr>
          <w:rFonts w:eastAsia="Calibri" w:cs="Calibri"/>
          <w:color w:val="000000" w:themeColor="text1"/>
        </w:rPr>
        <w:t xml:space="preserve">strives to </w:t>
      </w:r>
      <w:r w:rsidR="00CE3D67">
        <w:rPr>
          <w:rFonts w:eastAsia="Calibri" w:cs="Calibri"/>
          <w:color w:val="000000" w:themeColor="text1"/>
        </w:rPr>
        <w:t>partner with</w:t>
      </w:r>
      <w:r w:rsidRPr="00D03F1F">
        <w:rPr>
          <w:rFonts w:eastAsia="Calibri" w:cs="Calibri"/>
          <w:color w:val="000000" w:themeColor="text1"/>
        </w:rPr>
        <w:t xml:space="preserve"> organizations that serve, and are led by, their own communities. Community-led organizations are best</w:t>
      </w:r>
      <w:r w:rsidRPr="00D03F1F" w:rsidDel="00BC1254">
        <w:rPr>
          <w:rFonts w:eastAsia="Calibri" w:cs="Calibri"/>
          <w:color w:val="000000" w:themeColor="text1"/>
        </w:rPr>
        <w:t xml:space="preserve"> </w:t>
      </w:r>
      <w:r>
        <w:rPr>
          <w:rFonts w:eastAsia="Calibri" w:cs="Calibri"/>
          <w:color w:val="000000" w:themeColor="text1"/>
        </w:rPr>
        <w:t>positioned</w:t>
      </w:r>
      <w:r w:rsidRPr="00D03F1F">
        <w:rPr>
          <w:rFonts w:eastAsia="Calibri" w:cs="Calibri"/>
          <w:color w:val="000000" w:themeColor="text1"/>
        </w:rPr>
        <w:t xml:space="preserve"> to design programs that will have positive impacts on the children, youth, and families in their communities. </w:t>
      </w:r>
      <w:r w:rsidRPr="00D03F1F">
        <w:rPr>
          <w:rFonts w:eastAsia="Calibri" w:cs="Calibri"/>
          <w:i/>
          <w:color w:val="000000" w:themeColor="text1"/>
        </w:rPr>
        <w:t>Best Starts</w:t>
      </w:r>
      <w:r w:rsidRPr="00D03F1F">
        <w:rPr>
          <w:rFonts w:eastAsia="Calibri" w:cs="Calibri"/>
          <w:color w:val="000000" w:themeColor="text1"/>
        </w:rPr>
        <w:t xml:space="preserve"> recognizes that many organizations, and the communities they serve, have historically experienced barriers to accessing funding opportunities from government agencies such as King County. To address this, </w:t>
      </w:r>
      <w:r w:rsidRPr="00D03F1F">
        <w:rPr>
          <w:rFonts w:eastAsia="Calibri" w:cs="Calibri"/>
          <w:i/>
          <w:color w:val="000000" w:themeColor="text1"/>
        </w:rPr>
        <w:t>Best Starts</w:t>
      </w:r>
      <w:r w:rsidRPr="00D03F1F">
        <w:rPr>
          <w:rFonts w:eastAsia="Calibri" w:cs="Calibri"/>
          <w:color w:val="000000" w:themeColor="text1"/>
        </w:rPr>
        <w:t xml:space="preserve"> provides technical assistance to remove linguistic, cultural, and procedural barriers that might prevent qualified organizations from seeking </w:t>
      </w:r>
      <w:r w:rsidRPr="00321800">
        <w:rPr>
          <w:rFonts w:eastAsia="Calibri" w:cs="Calibri"/>
          <w:i/>
          <w:iCs/>
          <w:color w:val="000000" w:themeColor="text1"/>
        </w:rPr>
        <w:t>Best Starts</w:t>
      </w:r>
      <w:r w:rsidRPr="00D03F1F">
        <w:rPr>
          <w:rFonts w:eastAsia="Calibri" w:cs="Calibri"/>
          <w:color w:val="000000" w:themeColor="text1"/>
        </w:rPr>
        <w:t xml:space="preserve"> funding</w:t>
      </w:r>
      <w:r w:rsidR="00EA0E47">
        <w:rPr>
          <w:rFonts w:eastAsia="Calibri" w:cs="Calibri"/>
          <w:color w:val="000000" w:themeColor="text1"/>
        </w:rPr>
        <w:t>.</w:t>
      </w:r>
      <w:r w:rsidR="00791013">
        <w:rPr>
          <w:rFonts w:eastAsia="Calibri" w:cs="Calibri"/>
          <w:color w:val="000000" w:themeColor="text1"/>
        </w:rPr>
        <w:t xml:space="preserve"> </w:t>
      </w:r>
    </w:p>
    <w:p w14:paraId="7CC7C5FE" w14:textId="77777777" w:rsidR="00745722" w:rsidRPr="00D03F1F" w:rsidRDefault="00745722" w:rsidP="00D907AB">
      <w:pPr>
        <w:contextualSpacing/>
        <w:rPr>
          <w:rFonts w:eastAsia="Calibri" w:cs="Calibri"/>
          <w:color w:val="000000" w:themeColor="text1"/>
        </w:rPr>
      </w:pPr>
    </w:p>
    <w:p w14:paraId="117A7624" w14:textId="7CD69805" w:rsidR="71C471BA" w:rsidRPr="00D03F1F" w:rsidRDefault="71C471BA" w:rsidP="005F3393">
      <w:pPr>
        <w:contextualSpacing/>
        <w:rPr>
          <w:rFonts w:eastAsia="Calibri" w:cs="Calibr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Technical Assistance (TA) offer</w:t>
      </w:r>
      <w:r w:rsidRPr="00D03F1F" w:rsidDel="00FB3DC8">
        <w:rPr>
          <w:rFonts w:eastAsia="Calibri" w:cs="Calibri"/>
          <w:color w:val="000000" w:themeColor="text1"/>
        </w:rPr>
        <w:t>s</w:t>
      </w:r>
      <w:r w:rsidRPr="00D03F1F">
        <w:rPr>
          <w:rFonts w:eastAsia="Calibri" w:cs="Calibri"/>
          <w:color w:val="000000" w:themeColor="text1"/>
        </w:rPr>
        <w:t xml:space="preserve"> </w:t>
      </w:r>
      <w:r w:rsidR="00D4314E" w:rsidRPr="00D03F1F">
        <w:rPr>
          <w:rFonts w:eastAsia="Calibri" w:cs="Calibri"/>
          <w:color w:val="000000" w:themeColor="text1"/>
        </w:rPr>
        <w:t xml:space="preserve">all applicants </w:t>
      </w:r>
      <w:r w:rsidRPr="00D03F1F">
        <w:rPr>
          <w:rFonts w:eastAsia="Calibri" w:cs="Calibri"/>
          <w:color w:val="000000" w:themeColor="text1"/>
        </w:rPr>
        <w:t xml:space="preserve">culturally responsive assistance </w:t>
      </w:r>
      <w:r w:rsidR="005976F2" w:rsidRPr="00D03F1F">
        <w:rPr>
          <w:rFonts w:eastAsia="Calibri" w:cs="Calibri"/>
          <w:color w:val="000000" w:themeColor="text1"/>
        </w:rPr>
        <w:t>on</w:t>
      </w:r>
      <w:r w:rsidRPr="00D03F1F">
        <w:rPr>
          <w:rFonts w:eastAsia="Calibri" w:cs="Calibri"/>
          <w:color w:val="000000" w:themeColor="text1"/>
        </w:rPr>
        <w:t xml:space="preserve"> proposal development and responses to RFP opportunities. </w:t>
      </w:r>
      <w:r w:rsidRPr="00D03F1F">
        <w:rPr>
          <w:rFonts w:eastAsia="Calibri" w:cs="Calibri"/>
          <w:i/>
          <w:color w:val="000000" w:themeColor="text1"/>
        </w:rPr>
        <w:t>Best Starts</w:t>
      </w:r>
      <w:r w:rsidRPr="00D03F1F">
        <w:rPr>
          <w:rFonts w:eastAsia="Calibri" w:cs="Calibri"/>
          <w:color w:val="000000" w:themeColor="text1"/>
        </w:rPr>
        <w:t xml:space="preserve"> </w:t>
      </w:r>
      <w:r w:rsidR="006E0353">
        <w:rPr>
          <w:rFonts w:eastAsia="Calibri" w:cs="Calibri"/>
          <w:color w:val="000000" w:themeColor="text1"/>
        </w:rPr>
        <w:t>recruit</w:t>
      </w:r>
      <w:r w:rsidR="00984064">
        <w:rPr>
          <w:rFonts w:eastAsia="Calibri" w:cs="Calibri"/>
          <w:color w:val="000000" w:themeColor="text1"/>
        </w:rPr>
        <w:t>s</w:t>
      </w:r>
      <w:r w:rsidR="006E0353">
        <w:rPr>
          <w:rFonts w:eastAsia="Calibri" w:cs="Calibri"/>
          <w:color w:val="000000" w:themeColor="text1"/>
        </w:rPr>
        <w:t xml:space="preserve"> and retain</w:t>
      </w:r>
      <w:r w:rsidR="00984064">
        <w:rPr>
          <w:rFonts w:eastAsia="Calibri" w:cs="Calibri"/>
          <w:color w:val="000000" w:themeColor="text1"/>
        </w:rPr>
        <w:t>s</w:t>
      </w:r>
      <w:r w:rsidR="006E0353">
        <w:rPr>
          <w:rFonts w:eastAsia="Calibri" w:cs="Calibri"/>
          <w:color w:val="000000" w:themeColor="text1"/>
        </w:rPr>
        <w:t xml:space="preserve"> </w:t>
      </w:r>
      <w:r w:rsidRPr="00D03F1F">
        <w:rPr>
          <w:rFonts w:eastAsia="Calibri" w:cs="Calibri"/>
          <w:color w:val="000000" w:themeColor="text1"/>
        </w:rPr>
        <w:t xml:space="preserve">TA providers </w:t>
      </w:r>
      <w:r w:rsidR="006E0353">
        <w:rPr>
          <w:rFonts w:eastAsia="Calibri" w:cs="Calibri"/>
          <w:color w:val="000000" w:themeColor="text1"/>
        </w:rPr>
        <w:t xml:space="preserve">that </w:t>
      </w:r>
      <w:r w:rsidRPr="00D03F1F">
        <w:rPr>
          <w:rFonts w:eastAsia="Calibri" w:cs="Calibri"/>
          <w:color w:val="000000" w:themeColor="text1"/>
        </w:rPr>
        <w:t>represent a wide range of skills, expertise, and language abilities. They</w:t>
      </w:r>
      <w:r w:rsidR="006E0353">
        <w:rPr>
          <w:rFonts w:eastAsia="Calibri" w:cs="Calibri"/>
          <w:color w:val="000000" w:themeColor="text1"/>
        </w:rPr>
        <w:t xml:space="preserve"> </w:t>
      </w:r>
      <w:r w:rsidRPr="00D03F1F">
        <w:rPr>
          <w:rFonts w:eastAsia="Calibri" w:cs="Calibri"/>
          <w:color w:val="000000" w:themeColor="text1"/>
        </w:rPr>
        <w:t xml:space="preserve">help applicants determine </w:t>
      </w:r>
      <w:r w:rsidR="00BB64DD">
        <w:rPr>
          <w:rFonts w:eastAsia="Calibri" w:cs="Calibri"/>
          <w:color w:val="000000" w:themeColor="text1"/>
        </w:rPr>
        <w:t>whether</w:t>
      </w:r>
      <w:r w:rsidRPr="00D03F1F" w:rsidDel="006E0353">
        <w:rPr>
          <w:rFonts w:eastAsia="Calibri" w:cs="Calibri"/>
          <w:color w:val="000000" w:themeColor="text1"/>
        </w:rPr>
        <w:t xml:space="preserve"> </w:t>
      </w:r>
      <w:r w:rsidRPr="00D03F1F">
        <w:rPr>
          <w:rFonts w:eastAsia="Calibri" w:cs="Calibri"/>
          <w:color w:val="000000" w:themeColor="text1"/>
        </w:rPr>
        <w:t xml:space="preserve">programs are an appropriate fit for </w:t>
      </w:r>
      <w:r w:rsidR="00555E94" w:rsidRPr="00D03F1F">
        <w:rPr>
          <w:rFonts w:eastAsia="Calibri" w:cs="Calibri"/>
          <w:i/>
          <w:color w:val="000000" w:themeColor="text1"/>
        </w:rPr>
        <w:t>Best Starts</w:t>
      </w:r>
      <w:r w:rsidR="00555E94" w:rsidRPr="00D03F1F">
        <w:rPr>
          <w:rFonts w:eastAsia="Calibri" w:cs="Calibri"/>
          <w:color w:val="000000" w:themeColor="text1"/>
        </w:rPr>
        <w:t xml:space="preserve"> </w:t>
      </w:r>
      <w:r w:rsidRPr="00D03F1F">
        <w:rPr>
          <w:rFonts w:eastAsia="Calibri" w:cs="Calibri"/>
          <w:color w:val="000000" w:themeColor="text1"/>
        </w:rPr>
        <w:t xml:space="preserve">RFPs, help applicants navigate the proposal </w:t>
      </w:r>
      <w:r w:rsidRPr="00D03F1F">
        <w:rPr>
          <w:rFonts w:eastAsia="Calibri" w:cs="Calibri"/>
          <w:color w:val="000000" w:themeColor="text1"/>
        </w:rPr>
        <w:lastRenderedPageBreak/>
        <w:t xml:space="preserve">process, review drafts, refine budgets, and support </w:t>
      </w:r>
      <w:r w:rsidR="46CF4AB6" w:rsidRPr="3AE67144">
        <w:rPr>
          <w:rFonts w:eastAsia="Calibri" w:cs="Calibri"/>
          <w:color w:val="000000" w:themeColor="text1"/>
        </w:rPr>
        <w:t xml:space="preserve">applicants </w:t>
      </w:r>
      <w:r w:rsidR="00275698" w:rsidRPr="00D03F1F">
        <w:rPr>
          <w:rFonts w:eastAsia="Calibri" w:cs="Calibri"/>
          <w:color w:val="000000" w:themeColor="text1"/>
        </w:rPr>
        <w:t xml:space="preserve">to </w:t>
      </w:r>
      <w:r w:rsidRPr="00D03F1F">
        <w:rPr>
          <w:rFonts w:eastAsia="Calibri" w:cs="Calibri"/>
          <w:color w:val="000000" w:themeColor="text1"/>
        </w:rPr>
        <w:t xml:space="preserve">authentically </w:t>
      </w:r>
      <w:r w:rsidR="00275698" w:rsidRPr="00D03F1F">
        <w:rPr>
          <w:rFonts w:eastAsia="Calibri" w:cs="Calibri"/>
          <w:color w:val="000000" w:themeColor="text1"/>
        </w:rPr>
        <w:t xml:space="preserve">share </w:t>
      </w:r>
      <w:r w:rsidRPr="00D03F1F">
        <w:rPr>
          <w:rFonts w:eastAsia="Calibri" w:cs="Calibri"/>
          <w:color w:val="000000" w:themeColor="text1"/>
        </w:rPr>
        <w:t>their stories of success and impact.</w:t>
      </w:r>
    </w:p>
    <w:p w14:paraId="2061A706" w14:textId="77777777" w:rsidR="008F6EF1" w:rsidRPr="00D03F1F" w:rsidRDefault="008F6EF1" w:rsidP="005F3393">
      <w:pPr>
        <w:contextualSpacing/>
        <w:rPr>
          <w:rFonts w:eastAsia="Calibri" w:cs="Calibri"/>
          <w:i/>
          <w:color w:val="000000" w:themeColor="text1"/>
        </w:rPr>
      </w:pPr>
    </w:p>
    <w:p w14:paraId="03F4D0DD" w14:textId="1008F320" w:rsidR="71C471BA" w:rsidRPr="00D03F1F" w:rsidRDefault="005E68E2" w:rsidP="005F3393">
      <w:pPr>
        <w:contextualSpacing/>
        <w:rPr>
          <w:rFonts w:eastAsia="Calibri" w:cs="Calibr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w:t>
      </w:r>
      <w:r w:rsidR="71C471BA" w:rsidRPr="00D03F1F">
        <w:rPr>
          <w:rFonts w:eastAsia="Calibri" w:cs="Calibri"/>
          <w:color w:val="000000" w:themeColor="text1"/>
        </w:rPr>
        <w:t>Capacity Building Support (CB) offer</w:t>
      </w:r>
      <w:r w:rsidR="71C471BA" w:rsidRPr="00D03F1F" w:rsidDel="006E0353">
        <w:rPr>
          <w:rFonts w:eastAsia="Calibri" w:cs="Calibri"/>
          <w:color w:val="000000" w:themeColor="text1"/>
        </w:rPr>
        <w:t>s</w:t>
      </w:r>
      <w:r w:rsidR="71C471BA" w:rsidRPr="00D03F1F">
        <w:rPr>
          <w:rFonts w:eastAsia="Calibri" w:cs="Calibri"/>
          <w:color w:val="000000" w:themeColor="text1"/>
        </w:rPr>
        <w:t xml:space="preserve"> provision and co-creation of information, tools, resources to strengthen</w:t>
      </w:r>
      <w:r w:rsidR="006600E1" w:rsidRPr="00D03F1F">
        <w:rPr>
          <w:rFonts w:eastAsia="Calibri" w:cs="Calibri"/>
          <w:color w:val="000000" w:themeColor="text1"/>
        </w:rPr>
        <w:t xml:space="preserve"> the infrastructure of</w:t>
      </w:r>
      <w:r w:rsidR="71C471BA" w:rsidRPr="00D03F1F">
        <w:rPr>
          <w:rFonts w:eastAsia="Calibri" w:cs="Calibri"/>
          <w:color w:val="000000" w:themeColor="text1"/>
        </w:rPr>
        <w:t xml:space="preserve"> </w:t>
      </w:r>
      <w:r w:rsidR="00D55BB7" w:rsidRPr="00D03F1F">
        <w:rPr>
          <w:rFonts w:eastAsia="Calibri" w:cs="Calibri"/>
          <w:i/>
          <w:color w:val="000000" w:themeColor="text1"/>
        </w:rPr>
        <w:t>Best</w:t>
      </w:r>
      <w:r w:rsidR="006600E1" w:rsidRPr="00D03F1F">
        <w:rPr>
          <w:rFonts w:eastAsia="Calibri" w:cs="Calibri"/>
          <w:i/>
          <w:color w:val="000000" w:themeColor="text1"/>
        </w:rPr>
        <w:t xml:space="preserve"> Starts</w:t>
      </w:r>
      <w:r w:rsidR="71C471BA" w:rsidRPr="00D03F1F">
        <w:rPr>
          <w:rFonts w:eastAsia="Calibri" w:cs="Calibri"/>
          <w:color w:val="000000" w:themeColor="text1"/>
        </w:rPr>
        <w:t>-awarded organization</w:t>
      </w:r>
      <w:r w:rsidR="00485DA3" w:rsidRPr="00D03F1F">
        <w:rPr>
          <w:rFonts w:eastAsia="Calibri" w:cs="Calibri"/>
          <w:color w:val="000000" w:themeColor="text1"/>
        </w:rPr>
        <w:t>s</w:t>
      </w:r>
      <w:r w:rsidR="000C0B2B">
        <w:rPr>
          <w:rFonts w:eastAsia="Calibri" w:cs="Calibri"/>
          <w:color w:val="000000" w:themeColor="text1"/>
        </w:rPr>
        <w:t xml:space="preserve">, and </w:t>
      </w:r>
      <w:r w:rsidR="000F1CDE">
        <w:rPr>
          <w:rFonts w:eastAsia="Calibri" w:cs="Calibri"/>
          <w:color w:val="000000" w:themeColor="text1"/>
        </w:rPr>
        <w:t xml:space="preserve">opportunities for areas with service gaps to </w:t>
      </w:r>
      <w:r w:rsidR="003E203E">
        <w:rPr>
          <w:rFonts w:eastAsia="Calibri" w:cs="Calibri"/>
          <w:color w:val="000000" w:themeColor="text1"/>
        </w:rPr>
        <w:t>build capacity</w:t>
      </w:r>
      <w:r w:rsidR="71C471BA" w:rsidRPr="00D03F1F">
        <w:rPr>
          <w:rFonts w:eastAsia="Calibri" w:cs="Calibri"/>
          <w:color w:val="000000" w:themeColor="text1"/>
        </w:rPr>
        <w:t xml:space="preserve">. </w:t>
      </w:r>
      <w:r w:rsidR="71C471BA" w:rsidRPr="00D03F1F">
        <w:rPr>
          <w:rFonts w:eastAsia="Calibri" w:cs="Calibri"/>
          <w:i/>
          <w:color w:val="000000" w:themeColor="text1"/>
        </w:rPr>
        <w:t>Best Starts</w:t>
      </w:r>
      <w:r w:rsidR="71C471BA" w:rsidRPr="00D03F1F" w:rsidDel="00E90C79">
        <w:rPr>
          <w:rFonts w:eastAsia="Calibri" w:cs="Calibri"/>
          <w:color w:val="000000" w:themeColor="text1"/>
        </w:rPr>
        <w:t xml:space="preserve"> </w:t>
      </w:r>
      <w:r w:rsidR="71C471BA" w:rsidRPr="10A3FFFA">
        <w:rPr>
          <w:rFonts w:eastAsia="Calibri" w:cs="Calibri"/>
          <w:color w:val="000000" w:themeColor="text1"/>
        </w:rPr>
        <w:t>match</w:t>
      </w:r>
      <w:r w:rsidR="6DFFCC19" w:rsidRPr="10A3FFFA">
        <w:rPr>
          <w:rFonts w:eastAsia="Calibri" w:cs="Calibri"/>
          <w:color w:val="000000" w:themeColor="text1"/>
        </w:rPr>
        <w:t>es</w:t>
      </w:r>
      <w:r w:rsidR="71C471BA" w:rsidRPr="00D03F1F">
        <w:rPr>
          <w:rFonts w:eastAsia="Calibri" w:cs="Calibri"/>
          <w:color w:val="000000" w:themeColor="text1"/>
        </w:rPr>
        <w:t xml:space="preserve"> </w:t>
      </w:r>
      <w:r w:rsidR="00612E1D">
        <w:rPr>
          <w:rFonts w:eastAsia="Calibri" w:cs="Calibri"/>
          <w:color w:val="000000" w:themeColor="text1"/>
        </w:rPr>
        <w:t>organizations</w:t>
      </w:r>
      <w:r w:rsidR="71C471BA" w:rsidRPr="00D03F1F">
        <w:rPr>
          <w:rFonts w:eastAsia="Calibri" w:cs="Calibri"/>
          <w:color w:val="000000" w:themeColor="text1"/>
        </w:rPr>
        <w:t xml:space="preserve"> with capacity building consultants</w:t>
      </w:r>
      <w:r w:rsidR="006B13F2" w:rsidRPr="00D03F1F">
        <w:rPr>
          <w:rFonts w:eastAsia="Calibri" w:cs="Calibri"/>
          <w:color w:val="000000" w:themeColor="text1"/>
        </w:rPr>
        <w:t xml:space="preserve"> </w:t>
      </w:r>
      <w:r w:rsidR="3E68C828" w:rsidRPr="10A3FFFA">
        <w:rPr>
          <w:rFonts w:eastAsia="Calibri" w:cs="Calibri"/>
          <w:color w:val="000000" w:themeColor="text1"/>
        </w:rPr>
        <w:t>(“</w:t>
      </w:r>
      <w:r w:rsidR="00801386">
        <w:rPr>
          <w:rFonts w:eastAsia="Calibri" w:cs="Calibri"/>
          <w:color w:val="000000" w:themeColor="text1"/>
        </w:rPr>
        <w:t>c</w:t>
      </w:r>
      <w:r w:rsidR="3E68C828" w:rsidRPr="10A3FFFA">
        <w:rPr>
          <w:rFonts w:eastAsia="Calibri" w:cs="Calibri"/>
          <w:color w:val="000000" w:themeColor="text1"/>
        </w:rPr>
        <w:t xml:space="preserve">apacity </w:t>
      </w:r>
      <w:r w:rsidR="00801386">
        <w:rPr>
          <w:rFonts w:eastAsia="Calibri" w:cs="Calibri"/>
          <w:color w:val="000000" w:themeColor="text1"/>
        </w:rPr>
        <w:t>b</w:t>
      </w:r>
      <w:r w:rsidR="3E68C828" w:rsidRPr="10A3FFFA">
        <w:rPr>
          <w:rFonts w:eastAsia="Calibri" w:cs="Calibri"/>
          <w:color w:val="000000" w:themeColor="text1"/>
        </w:rPr>
        <w:t>uilders</w:t>
      </w:r>
      <w:r w:rsidR="3E68C828" w:rsidRPr="62443495">
        <w:rPr>
          <w:rFonts w:eastAsia="Calibri" w:cs="Calibri"/>
          <w:color w:val="000000" w:themeColor="text1"/>
        </w:rPr>
        <w:t>”)</w:t>
      </w:r>
      <w:r w:rsidR="006B13F2" w:rsidRPr="10A3FFFA">
        <w:rPr>
          <w:rFonts w:eastAsia="Calibri" w:cs="Calibri"/>
          <w:color w:val="000000" w:themeColor="text1"/>
        </w:rPr>
        <w:t xml:space="preserve"> </w:t>
      </w:r>
      <w:r w:rsidR="006B13F2" w:rsidRPr="00D03F1F">
        <w:rPr>
          <w:rFonts w:eastAsia="Calibri" w:cs="Calibri"/>
          <w:color w:val="000000" w:themeColor="text1"/>
        </w:rPr>
        <w:t>according to their needs</w:t>
      </w:r>
      <w:r w:rsidR="71C471BA" w:rsidRPr="00D03F1F">
        <w:rPr>
          <w:rFonts w:eastAsia="Calibri" w:cs="Calibri"/>
          <w:color w:val="000000" w:themeColor="text1"/>
        </w:rPr>
        <w:t xml:space="preserve">. </w:t>
      </w:r>
      <w:r w:rsidR="2B7F490B" w:rsidRPr="10A3FFFA">
        <w:rPr>
          <w:rFonts w:eastAsia="Calibri" w:cs="Calibri"/>
          <w:color w:val="000000" w:themeColor="text1"/>
        </w:rPr>
        <w:t xml:space="preserve">Capacity builders offer individualized, responsive coaching and training to support organizations’ capabilities. </w:t>
      </w:r>
      <w:r w:rsidR="71C471BA" w:rsidRPr="00D03F1F">
        <w:rPr>
          <w:rFonts w:eastAsia="Calibri" w:cs="Calibri"/>
          <w:color w:val="000000" w:themeColor="text1"/>
        </w:rPr>
        <w:t>Areas of support</w:t>
      </w:r>
      <w:r w:rsidR="71C471BA" w:rsidRPr="00D03F1F" w:rsidDel="006B13F2">
        <w:rPr>
          <w:rFonts w:eastAsia="Calibri" w:cs="Calibri"/>
          <w:color w:val="000000" w:themeColor="text1"/>
        </w:rPr>
        <w:t xml:space="preserve"> </w:t>
      </w:r>
      <w:r w:rsidR="71C471BA" w:rsidRPr="00D03F1F">
        <w:rPr>
          <w:rFonts w:eastAsia="Calibri" w:cs="Calibri"/>
          <w:color w:val="000000" w:themeColor="text1"/>
        </w:rPr>
        <w:t xml:space="preserve">include financial management, human resources, data and evaluation, IT, marketing, board governance, equity and social justice, legal services, and organizational development. </w:t>
      </w:r>
      <w:r w:rsidR="71C471BA" w:rsidRPr="00D03F1F">
        <w:rPr>
          <w:rFonts w:eastAsia="Calibri" w:cs="Calibri"/>
          <w:i/>
          <w:color w:val="000000" w:themeColor="text1"/>
        </w:rPr>
        <w:t>Best Starts</w:t>
      </w:r>
      <w:r w:rsidR="00850242" w:rsidRPr="00D03F1F">
        <w:rPr>
          <w:rFonts w:eastAsia="Calibri" w:cs="Calibri"/>
          <w:color w:val="000000" w:themeColor="text1"/>
        </w:rPr>
        <w:t xml:space="preserve"> </w:t>
      </w:r>
      <w:r w:rsidR="00870FFB">
        <w:rPr>
          <w:rFonts w:eastAsia="Calibri" w:cs="Calibri"/>
          <w:color w:val="000000" w:themeColor="text1"/>
        </w:rPr>
        <w:t>also</w:t>
      </w:r>
      <w:r w:rsidR="71C471BA" w:rsidRPr="00D03F1F">
        <w:rPr>
          <w:rFonts w:eastAsia="Calibri" w:cs="Calibri"/>
          <w:color w:val="000000" w:themeColor="text1"/>
        </w:rPr>
        <w:t xml:space="preserve"> offer</w:t>
      </w:r>
      <w:r w:rsidR="00870FFB">
        <w:rPr>
          <w:rFonts w:eastAsia="Calibri" w:cs="Calibri"/>
          <w:color w:val="000000" w:themeColor="text1"/>
        </w:rPr>
        <w:t>s</w:t>
      </w:r>
      <w:r w:rsidR="71C471BA" w:rsidRPr="00D03F1F">
        <w:rPr>
          <w:rFonts w:eastAsia="Calibri" w:cs="Calibri"/>
          <w:color w:val="000000" w:themeColor="text1"/>
        </w:rPr>
        <w:t xml:space="preserve"> small grants </w:t>
      </w:r>
      <w:r w:rsidR="00982EE7" w:rsidRPr="00D03F1F">
        <w:rPr>
          <w:rFonts w:eastAsia="Calibri" w:cs="Calibri"/>
          <w:color w:val="000000" w:themeColor="text1"/>
        </w:rPr>
        <w:t xml:space="preserve">that make </w:t>
      </w:r>
      <w:r w:rsidR="00DD54FE" w:rsidRPr="00D03F1F">
        <w:rPr>
          <w:rFonts w:eastAsia="Calibri" w:cs="Calibri"/>
          <w:color w:val="000000" w:themeColor="text1"/>
        </w:rPr>
        <w:t xml:space="preserve">fiscal, evaluation and programmatic systems </w:t>
      </w:r>
      <w:r w:rsidR="0050351E">
        <w:rPr>
          <w:rFonts w:eastAsia="Calibri" w:cs="Calibri"/>
          <w:color w:val="000000" w:themeColor="text1"/>
        </w:rPr>
        <w:t>of</w:t>
      </w:r>
      <w:r w:rsidR="00171DAE" w:rsidRPr="00171DAE">
        <w:rPr>
          <w:rFonts w:eastAsia="Calibri" w:cs="Calibri"/>
          <w:i/>
          <w:color w:val="000000" w:themeColor="text1"/>
        </w:rPr>
        <w:t xml:space="preserve"> </w:t>
      </w:r>
      <w:r w:rsidR="00171DAE" w:rsidRPr="00B635FA">
        <w:rPr>
          <w:rFonts w:eastAsia="Calibri" w:cs="Calibri"/>
          <w:i/>
          <w:color w:val="000000" w:themeColor="text1"/>
        </w:rPr>
        <w:t>Best Starts</w:t>
      </w:r>
      <w:r w:rsidR="00171DAE" w:rsidRPr="62443495">
        <w:rPr>
          <w:rFonts w:eastAsia="Calibri" w:cs="Calibri"/>
          <w:color w:val="000000" w:themeColor="text1"/>
        </w:rPr>
        <w:t>-awarded organizations</w:t>
      </w:r>
      <w:r w:rsidR="00DD54FE" w:rsidRPr="00D03F1F">
        <w:rPr>
          <w:rFonts w:eastAsia="Calibri" w:cs="Calibri"/>
          <w:color w:val="000000" w:themeColor="text1"/>
        </w:rPr>
        <w:t xml:space="preserve"> stronger by </w:t>
      </w:r>
      <w:r w:rsidR="005C51BB" w:rsidRPr="00D03F1F">
        <w:rPr>
          <w:rFonts w:eastAsia="Calibri" w:cs="Calibri"/>
          <w:color w:val="000000" w:themeColor="text1"/>
        </w:rPr>
        <w:t>secur</w:t>
      </w:r>
      <w:r w:rsidR="003A22DD" w:rsidRPr="00D03F1F">
        <w:rPr>
          <w:rFonts w:eastAsia="Calibri" w:cs="Calibri"/>
          <w:color w:val="000000" w:themeColor="text1"/>
        </w:rPr>
        <w:t>ing</w:t>
      </w:r>
      <w:r w:rsidR="005C51BB" w:rsidRPr="00D03F1F">
        <w:rPr>
          <w:rFonts w:eastAsia="Calibri" w:cs="Calibri"/>
          <w:color w:val="000000" w:themeColor="text1"/>
        </w:rPr>
        <w:t xml:space="preserve"> </w:t>
      </w:r>
      <w:r w:rsidR="71C471BA" w:rsidRPr="00D03F1F">
        <w:rPr>
          <w:rFonts w:eastAsia="Calibri" w:cs="Calibri"/>
          <w:color w:val="000000" w:themeColor="text1"/>
        </w:rPr>
        <w:t>resources such as IT equipment, databases, and software</w:t>
      </w:r>
      <w:r w:rsidR="003A22DD" w:rsidRPr="00D03F1F">
        <w:rPr>
          <w:rFonts w:eastAsia="Calibri" w:cs="Calibri"/>
          <w:color w:val="000000" w:themeColor="text1"/>
        </w:rPr>
        <w:t>.</w:t>
      </w:r>
    </w:p>
    <w:p w14:paraId="7379AE32" w14:textId="77777777" w:rsidR="00104385" w:rsidRPr="00D03F1F" w:rsidRDefault="00104385" w:rsidP="005F3393">
      <w:pPr>
        <w:contextualSpacing/>
        <w:rPr>
          <w:rFonts w:eastAsia="Calibri" w:cs="Calibri"/>
          <w:color w:val="000000" w:themeColor="text1"/>
        </w:rPr>
      </w:pPr>
    </w:p>
    <w:p w14:paraId="3D686477" w14:textId="55278705" w:rsidR="00562A9D" w:rsidRPr="005F4433" w:rsidRDefault="00562A9D" w:rsidP="005F3393">
      <w:pPr>
        <w:contextualSpacing/>
        <w:rPr>
          <w:rFonts w:eastAsia="Calibri" w:cs="Calibri"/>
          <w:b/>
          <w:color w:val="000000" w:themeColor="text1"/>
        </w:rPr>
      </w:pPr>
      <w:r w:rsidRPr="005F4433">
        <w:rPr>
          <w:rFonts w:eastAsia="Calibri" w:cs="Calibri"/>
          <w:b/>
          <w:color w:val="000000" w:themeColor="text1"/>
        </w:rPr>
        <w:t xml:space="preserve">Planned Refinements in </w:t>
      </w:r>
      <w:r w:rsidR="005B3FA5" w:rsidRPr="005906DD">
        <w:rPr>
          <w:rFonts w:eastAsia="Times New Roman" w:cs="Calibri"/>
          <w:b/>
          <w:i/>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464BA591" w14:textId="02BE7996" w:rsidR="003450E8" w:rsidRDefault="6826C260" w:rsidP="003450E8">
      <w:pPr>
        <w:rPr>
          <w:rFonts w:cs="Calibri"/>
          <w:bCs/>
        </w:rPr>
      </w:pPr>
      <w:r w:rsidRPr="71D2A87E">
        <w:rPr>
          <w:rFonts w:eastAsia="Calibri" w:cs="Calibri"/>
          <w:i/>
          <w:iCs/>
          <w:color w:val="000000" w:themeColor="text1"/>
        </w:rPr>
        <w:t>Best Starts</w:t>
      </w:r>
      <w:r w:rsidRPr="003450E8">
        <w:rPr>
          <w:rFonts w:eastAsia="Calibri" w:cs="Calibri"/>
          <w:color w:val="000000" w:themeColor="text1"/>
        </w:rPr>
        <w:t xml:space="preserve"> </w:t>
      </w:r>
      <w:r w:rsidR="27CDC532">
        <w:rPr>
          <w:rFonts w:eastAsia="Calibri" w:cs="Calibri"/>
          <w:color w:val="000000" w:themeColor="text1"/>
        </w:rPr>
        <w:t>will include</w:t>
      </w:r>
      <w:r w:rsidR="73D859DA" w:rsidRPr="003450E8">
        <w:rPr>
          <w:rFonts w:eastAsia="Calibri" w:cs="Calibri"/>
          <w:color w:val="000000" w:themeColor="text1"/>
        </w:rPr>
        <w:t xml:space="preserve"> additional </w:t>
      </w:r>
      <w:r w:rsidR="53665643" w:rsidRPr="003450E8">
        <w:rPr>
          <w:rFonts w:eastAsia="Calibri" w:cs="Calibri"/>
          <w:color w:val="000000" w:themeColor="text1"/>
        </w:rPr>
        <w:t xml:space="preserve">capacity building supports </w:t>
      </w:r>
      <w:r w:rsidR="63B3E0C6">
        <w:rPr>
          <w:rFonts w:eastAsia="Calibri" w:cs="Calibri"/>
          <w:color w:val="000000" w:themeColor="text1"/>
        </w:rPr>
        <w:t xml:space="preserve">to </w:t>
      </w:r>
      <w:r w:rsidR="0051189C">
        <w:rPr>
          <w:rFonts w:eastAsia="Calibri" w:cs="Calibri"/>
          <w:color w:val="000000" w:themeColor="text1"/>
        </w:rPr>
        <w:t>support community</w:t>
      </w:r>
      <w:r w:rsidR="00080C91">
        <w:rPr>
          <w:rFonts w:eastAsia="Calibri" w:cs="Calibri"/>
          <w:color w:val="000000" w:themeColor="text1"/>
        </w:rPr>
        <w:t>-</w:t>
      </w:r>
      <w:r w:rsidR="0051189C">
        <w:rPr>
          <w:rFonts w:eastAsia="Calibri" w:cs="Calibri"/>
          <w:color w:val="000000" w:themeColor="text1"/>
        </w:rPr>
        <w:t>based coalitions to identify needs</w:t>
      </w:r>
      <w:r w:rsidR="53665643" w:rsidRPr="003450E8">
        <w:rPr>
          <w:rFonts w:eastAsia="Calibri" w:cs="Calibri"/>
          <w:color w:val="000000" w:themeColor="text1"/>
        </w:rPr>
        <w:t xml:space="preserve"> in areas of King County that currently do not have </w:t>
      </w:r>
      <w:r w:rsidR="2211628F" w:rsidRPr="003450E8">
        <w:rPr>
          <w:rFonts w:eastAsia="Calibri" w:cs="Calibri"/>
          <w:color w:val="000000" w:themeColor="text1"/>
        </w:rPr>
        <w:t xml:space="preserve">infrastructure </w:t>
      </w:r>
      <w:r w:rsidR="53665643" w:rsidRPr="003450E8">
        <w:rPr>
          <w:rFonts w:eastAsia="Calibri" w:cs="Calibri"/>
          <w:color w:val="000000" w:themeColor="text1"/>
        </w:rPr>
        <w:t>to provide services to their residents</w:t>
      </w:r>
      <w:r w:rsidR="00EA0E47">
        <w:rPr>
          <w:rFonts w:eastAsia="Calibri" w:cs="Calibri"/>
          <w:color w:val="000000" w:themeColor="text1"/>
        </w:rPr>
        <w:t>.</w:t>
      </w:r>
      <w:r w:rsidR="00791013">
        <w:rPr>
          <w:rFonts w:eastAsia="Calibri" w:cs="Calibri"/>
          <w:color w:val="000000" w:themeColor="text1"/>
        </w:rPr>
        <w:t xml:space="preserve"> </w:t>
      </w:r>
      <w:r w:rsidR="66E44DFA">
        <w:rPr>
          <w:rFonts w:eastAsia="Calibri" w:cs="Calibri"/>
          <w:color w:val="000000" w:themeColor="text1"/>
        </w:rPr>
        <w:t>Per Ordinance 19267</w:t>
      </w:r>
      <w:r w:rsidR="00C54DD7">
        <w:rPr>
          <w:rFonts w:eastAsia="Calibri" w:cs="Calibri"/>
          <w:color w:val="000000" w:themeColor="text1"/>
        </w:rPr>
        <w:t>,</w:t>
      </w:r>
      <w:r w:rsidR="00BF3646">
        <w:rPr>
          <w:rFonts w:eastAsia="Calibri" w:cs="Calibri"/>
          <w:color w:val="000000" w:themeColor="text1"/>
        </w:rPr>
        <w:t xml:space="preserve"> </w:t>
      </w:r>
      <w:r w:rsidR="5BE1AA03">
        <w:rPr>
          <w:rFonts w:eastAsia="Calibri" w:cs="Calibri"/>
          <w:color w:val="000000" w:themeColor="text1"/>
        </w:rPr>
        <w:t>t</w:t>
      </w:r>
      <w:r w:rsidR="53665643" w:rsidRPr="003450E8">
        <w:rPr>
          <w:rFonts w:eastAsia="Calibri" w:cs="Calibri"/>
          <w:color w:val="000000" w:themeColor="text1"/>
        </w:rPr>
        <w:t xml:space="preserve">his </w:t>
      </w:r>
      <w:r w:rsidR="5BE1AA03">
        <w:rPr>
          <w:rFonts w:eastAsia="Calibri" w:cs="Calibri"/>
          <w:color w:val="000000" w:themeColor="text1"/>
        </w:rPr>
        <w:t xml:space="preserve">includes </w:t>
      </w:r>
      <w:r w:rsidR="00C54DD7">
        <w:rPr>
          <w:rFonts w:cs="Calibri"/>
        </w:rPr>
        <w:t>$1</w:t>
      </w:r>
      <w:r w:rsidR="00C54DD7" w:rsidRPr="00FF1F88">
        <w:rPr>
          <w:rFonts w:cs="Calibri"/>
        </w:rPr>
        <w:t xml:space="preserve"> </w:t>
      </w:r>
      <w:r w:rsidR="5BE1AA03" w:rsidRPr="00FF1F88">
        <w:rPr>
          <w:rFonts w:cs="Calibri"/>
        </w:rPr>
        <w:t>million per year for capacity building grant</w:t>
      </w:r>
      <w:r w:rsidR="00C54DD7">
        <w:rPr>
          <w:rFonts w:cs="Calibri"/>
        </w:rPr>
        <w:t>s that provide</w:t>
      </w:r>
      <w:r w:rsidR="5BE1AA03" w:rsidRPr="00FF1F88">
        <w:rPr>
          <w:rFonts w:cs="Calibri"/>
        </w:rPr>
        <w:t xml:space="preserve"> support to grantees to assist with the development of </w:t>
      </w:r>
      <w:r w:rsidR="00C54DD7">
        <w:rPr>
          <w:rFonts w:cs="Calibri"/>
        </w:rPr>
        <w:t>organi</w:t>
      </w:r>
      <w:r w:rsidR="00EA174A">
        <w:rPr>
          <w:rFonts w:cs="Calibri"/>
        </w:rPr>
        <w:t xml:space="preserve">zations </w:t>
      </w:r>
      <w:r w:rsidR="5BE1AA03" w:rsidRPr="00FF1F88">
        <w:rPr>
          <w:rFonts w:cs="Calibri"/>
        </w:rPr>
        <w:t>in geographic locations lacking services or service infrastructure</w:t>
      </w:r>
      <w:r w:rsidR="461DFFCA" w:rsidRPr="2D71CCAF">
        <w:rPr>
          <w:rFonts w:cs="Calibri"/>
          <w:b/>
          <w:bCs/>
        </w:rPr>
        <w:t>.</w:t>
      </w:r>
      <w:r w:rsidRPr="241420B3">
        <w:rPr>
          <w:rStyle w:val="FootnoteReference"/>
          <w:rFonts w:eastAsia="Calibri" w:cs="Calibri"/>
          <w:color w:val="000000" w:themeColor="text1"/>
        </w:rPr>
        <w:footnoteReference w:id="218"/>
      </w:r>
      <w:r w:rsidR="461DFFCA" w:rsidRPr="2D71CCAF">
        <w:rPr>
          <w:rFonts w:cs="Calibri"/>
          <w:b/>
          <w:bCs/>
        </w:rPr>
        <w:t xml:space="preserve"> </w:t>
      </w:r>
      <w:r w:rsidR="461DFFCA" w:rsidRPr="2D71CCAF">
        <w:rPr>
          <w:rFonts w:cs="Calibri"/>
        </w:rPr>
        <w:t>T</w:t>
      </w:r>
      <w:r w:rsidR="7DE106F7" w:rsidRPr="2D71CCAF">
        <w:rPr>
          <w:rFonts w:cs="Calibri"/>
        </w:rPr>
        <w:t>o achieve this</w:t>
      </w:r>
      <w:r w:rsidR="00C54DD7">
        <w:rPr>
          <w:rFonts w:cs="Calibri"/>
        </w:rPr>
        <w:t>,</w:t>
      </w:r>
      <w:r w:rsidR="7DE106F7" w:rsidRPr="2D71CCAF">
        <w:rPr>
          <w:rFonts w:cs="Calibri"/>
        </w:rPr>
        <w:t xml:space="preserve"> </w:t>
      </w:r>
      <w:r w:rsidR="7DE106F7" w:rsidRPr="71D2A87E">
        <w:rPr>
          <w:rFonts w:cs="Calibri"/>
          <w:i/>
          <w:iCs/>
        </w:rPr>
        <w:t>Best Starts</w:t>
      </w:r>
      <w:r w:rsidR="7DE106F7" w:rsidRPr="2D71CCAF">
        <w:rPr>
          <w:rFonts w:cs="Calibri"/>
        </w:rPr>
        <w:t xml:space="preserve"> </w:t>
      </w:r>
      <w:r w:rsidR="02DD1975" w:rsidRPr="71D2A87E">
        <w:rPr>
          <w:rFonts w:cs="Calibri"/>
        </w:rPr>
        <w:t>plans to</w:t>
      </w:r>
      <w:r w:rsidR="7DE106F7" w:rsidRPr="2D71CCAF">
        <w:rPr>
          <w:rFonts w:cs="Calibri"/>
        </w:rPr>
        <w:t>:</w:t>
      </w:r>
    </w:p>
    <w:p w14:paraId="5665E85E" w14:textId="3B9E6E84" w:rsidR="00C70115" w:rsidRPr="00B635FA" w:rsidRDefault="00C70115" w:rsidP="009230D5">
      <w:pPr>
        <w:pStyle w:val="ListParagraph"/>
        <w:numPr>
          <w:ilvl w:val="0"/>
          <w:numId w:val="21"/>
        </w:numPr>
        <w:rPr>
          <w:rFonts w:eastAsia="Calibri Light" w:cs="Calibri"/>
          <w:b/>
        </w:rPr>
      </w:pPr>
      <w:r>
        <w:rPr>
          <w:rFonts w:eastAsia="Calibri Light" w:cs="Calibri"/>
          <w:bCs/>
        </w:rPr>
        <w:t>Use data to identify communities lacking services or service infrastructure</w:t>
      </w:r>
      <w:r w:rsidR="4FD302DD" w:rsidRPr="192C7D82">
        <w:rPr>
          <w:rFonts w:eastAsia="Calibri Light" w:cs="Calibri"/>
        </w:rPr>
        <w:t>.</w:t>
      </w:r>
    </w:p>
    <w:p w14:paraId="7DD3AA1F" w14:textId="39E8186A" w:rsidR="006A6943" w:rsidRPr="0073541C" w:rsidRDefault="00AB018B" w:rsidP="009230D5">
      <w:pPr>
        <w:pStyle w:val="ListParagraph"/>
        <w:numPr>
          <w:ilvl w:val="0"/>
          <w:numId w:val="21"/>
        </w:numPr>
        <w:rPr>
          <w:rFonts w:eastAsia="Calibri Light" w:cs="Calibri"/>
          <w:b/>
        </w:rPr>
      </w:pPr>
      <w:r>
        <w:rPr>
          <w:rFonts w:eastAsia="Calibri Light" w:cs="Calibri"/>
          <w:bCs/>
        </w:rPr>
        <w:t>P</w:t>
      </w:r>
      <w:r w:rsidR="00EB03AB">
        <w:rPr>
          <w:rFonts w:eastAsia="Calibri Light" w:cs="Calibri"/>
          <w:bCs/>
        </w:rPr>
        <w:t xml:space="preserve">artner with </w:t>
      </w:r>
      <w:r>
        <w:rPr>
          <w:rFonts w:eastAsia="Calibri Light" w:cs="Calibri"/>
          <w:bCs/>
        </w:rPr>
        <w:t xml:space="preserve">communities </w:t>
      </w:r>
      <w:r w:rsidR="00EB03AB">
        <w:rPr>
          <w:rFonts w:eastAsia="Calibri Light" w:cs="Calibri"/>
          <w:bCs/>
        </w:rPr>
        <w:t xml:space="preserve">identified as lacking </w:t>
      </w:r>
      <w:r w:rsidR="00306688">
        <w:rPr>
          <w:rFonts w:eastAsia="Calibri Light" w:cs="Calibri"/>
          <w:bCs/>
        </w:rPr>
        <w:t>services or service infrastr</w:t>
      </w:r>
      <w:r w:rsidR="0073541C">
        <w:rPr>
          <w:rFonts w:eastAsia="Calibri Light" w:cs="Calibri"/>
          <w:bCs/>
        </w:rPr>
        <w:t xml:space="preserve">ucture using data to inform </w:t>
      </w:r>
      <w:r w:rsidR="75E70FEE" w:rsidRPr="4187408D">
        <w:rPr>
          <w:rFonts w:eastAsia="Calibri Light" w:cs="Calibri"/>
        </w:rPr>
        <w:t>decisions</w:t>
      </w:r>
      <w:r w:rsidR="18A86EC7" w:rsidRPr="192C7D82">
        <w:rPr>
          <w:rFonts w:eastAsia="Calibri Light" w:cs="Calibri"/>
        </w:rPr>
        <w:t>.</w:t>
      </w:r>
      <w:r w:rsidR="0073541C" w:rsidRPr="4187408D">
        <w:rPr>
          <w:rFonts w:eastAsia="Calibri Light" w:cs="Calibri"/>
        </w:rPr>
        <w:t xml:space="preserve"> </w:t>
      </w:r>
    </w:p>
    <w:p w14:paraId="377ACD2C" w14:textId="6FE13D76" w:rsidR="0073541C" w:rsidRPr="0073541C" w:rsidRDefault="0073541C" w:rsidP="009230D5">
      <w:pPr>
        <w:pStyle w:val="ListParagraph"/>
        <w:numPr>
          <w:ilvl w:val="0"/>
          <w:numId w:val="21"/>
        </w:numPr>
        <w:rPr>
          <w:rFonts w:eastAsia="Calibri Light" w:cs="Calibri"/>
          <w:b/>
        </w:rPr>
      </w:pPr>
      <w:r>
        <w:rPr>
          <w:rFonts w:eastAsia="Calibri Light" w:cs="Calibri"/>
          <w:bCs/>
        </w:rPr>
        <w:t>Partner with local coalitions</w:t>
      </w:r>
      <w:r w:rsidR="00C70115">
        <w:rPr>
          <w:rFonts w:eastAsia="Calibri Light" w:cs="Calibri"/>
          <w:bCs/>
        </w:rPr>
        <w:t xml:space="preserve"> in identified communities</w:t>
      </w:r>
      <w:r>
        <w:rPr>
          <w:rFonts w:eastAsia="Calibri Light" w:cs="Calibri"/>
          <w:bCs/>
        </w:rPr>
        <w:t xml:space="preserve"> to plan </w:t>
      </w:r>
      <w:r w:rsidR="00C70115">
        <w:rPr>
          <w:rFonts w:eastAsia="Calibri Light" w:cs="Calibri"/>
          <w:bCs/>
        </w:rPr>
        <w:t>for enhanced capacity</w:t>
      </w:r>
      <w:r w:rsidR="162DDF40" w:rsidRPr="4187408D">
        <w:rPr>
          <w:rFonts w:eastAsia="Calibri Light" w:cs="Calibri"/>
        </w:rPr>
        <w:t>.</w:t>
      </w:r>
    </w:p>
    <w:p w14:paraId="5695ACC2" w14:textId="70FCBDFC" w:rsidR="0073541C" w:rsidRPr="006A6943" w:rsidRDefault="00D520CC" w:rsidP="009230D5">
      <w:pPr>
        <w:pStyle w:val="ListParagraph"/>
        <w:numPr>
          <w:ilvl w:val="0"/>
          <w:numId w:val="21"/>
        </w:numPr>
        <w:rPr>
          <w:rFonts w:eastAsia="Calibri Light" w:cs="Calibri"/>
          <w:b/>
        </w:rPr>
      </w:pPr>
      <w:r>
        <w:rPr>
          <w:rFonts w:eastAsia="Calibri Light" w:cs="Calibri"/>
          <w:bCs/>
        </w:rPr>
        <w:t>Complete outreach to areas identified as lacking infrastructure and services to best understand needs</w:t>
      </w:r>
      <w:r w:rsidR="6B6CE972" w:rsidRPr="192C7D82">
        <w:rPr>
          <w:rFonts w:eastAsia="Calibri Light" w:cs="Calibri"/>
        </w:rPr>
        <w:t>.</w:t>
      </w:r>
    </w:p>
    <w:p w14:paraId="4C93FF3D" w14:textId="77777777" w:rsidR="00104385" w:rsidRPr="00D03F1F" w:rsidRDefault="00104385" w:rsidP="005F3393">
      <w:pPr>
        <w:contextualSpacing/>
        <w:rPr>
          <w:rFonts w:eastAsia="Calibri" w:cs="Calibri"/>
          <w:b/>
          <w:bCs/>
          <w:color w:val="000000" w:themeColor="text1"/>
        </w:rPr>
      </w:pPr>
    </w:p>
    <w:p w14:paraId="055B4027" w14:textId="3BEDE020" w:rsidR="003450E8" w:rsidRPr="008C5C39" w:rsidRDefault="71C471BA" w:rsidP="003450E8">
      <w:pPr>
        <w:contextualSpacing/>
        <w:rPr>
          <w:rFonts w:eastAsia="MS Mincho" w:cs="Calibri"/>
          <w:color w:val="000000" w:themeColor="text1"/>
        </w:rPr>
      </w:pPr>
      <w:r w:rsidRPr="00D03F1F">
        <w:rPr>
          <w:rFonts w:eastAsia="Calibri" w:cs="Calibri"/>
          <w:b/>
          <w:color w:val="000000" w:themeColor="text1"/>
        </w:rPr>
        <w:t xml:space="preserve">Rationale </w:t>
      </w:r>
      <w:r w:rsidR="000711F4">
        <w:rPr>
          <w:rFonts w:eastAsia="Calibri" w:cs="Calibri"/>
          <w:b/>
          <w:color w:val="000000" w:themeColor="text1"/>
        </w:rPr>
        <w:t>for Increased Investment</w:t>
      </w:r>
      <w:r w:rsidR="00254D4C">
        <w:rPr>
          <w:rFonts w:eastAsia="Calibri" w:cs="Calibri"/>
          <w:b/>
          <w:color w:val="000000" w:themeColor="text1"/>
        </w:rPr>
        <w:t xml:space="preserve">: </w:t>
      </w:r>
      <w:r w:rsidR="00600F0B" w:rsidRPr="00D03F1F">
        <w:rPr>
          <w:rFonts w:eastAsia="Calibri" w:cs="Calibri"/>
          <w:color w:val="000000" w:themeColor="text1"/>
        </w:rPr>
        <w:t xml:space="preserve">Technical assistance and capacity building programming within the first </w:t>
      </w:r>
      <w:r w:rsidR="00600F0B" w:rsidRPr="71D2A87E">
        <w:rPr>
          <w:rFonts w:eastAsia="Calibri" w:cs="Calibri"/>
          <w:i/>
          <w:iCs/>
          <w:color w:val="000000" w:themeColor="text1"/>
        </w:rPr>
        <w:t xml:space="preserve">Best Starts </w:t>
      </w:r>
      <w:r w:rsidR="00600F0B" w:rsidRPr="00D03F1F">
        <w:rPr>
          <w:rFonts w:eastAsia="Calibri" w:cs="Calibri"/>
          <w:color w:val="000000" w:themeColor="text1"/>
        </w:rPr>
        <w:t>levy was innovative for a public initiative</w:t>
      </w:r>
      <w:r w:rsidR="0026291A">
        <w:rPr>
          <w:rFonts w:eastAsia="Calibri" w:cs="Calibri"/>
          <w:color w:val="000000" w:themeColor="text1"/>
        </w:rPr>
        <w:t>. I</w:t>
      </w:r>
      <w:r w:rsidR="15C5932B" w:rsidRPr="00D03F1F">
        <w:rPr>
          <w:rFonts w:eastAsia="Calibri" w:cs="Calibri"/>
          <w:color w:val="000000" w:themeColor="text1"/>
        </w:rPr>
        <w:t>ncreasing funding will allow the addition of a new type of capacity building</w:t>
      </w:r>
      <w:r w:rsidR="0026291A">
        <w:rPr>
          <w:rFonts w:eastAsia="Calibri" w:cs="Calibri"/>
          <w:color w:val="000000" w:themeColor="text1"/>
        </w:rPr>
        <w:t>:</w:t>
      </w:r>
      <w:r w:rsidR="15C5932B" w:rsidRPr="00D03F1F">
        <w:rPr>
          <w:rFonts w:eastAsia="Calibri" w:cs="Calibri"/>
          <w:color w:val="000000" w:themeColor="text1"/>
        </w:rPr>
        <w:t xml:space="preserve"> to create new organizations where there are currently none serving a need</w:t>
      </w:r>
      <w:r w:rsidR="0026291A">
        <w:rPr>
          <w:rFonts w:eastAsia="Calibri" w:cs="Calibri"/>
          <w:color w:val="000000" w:themeColor="text1"/>
        </w:rPr>
        <w:t>,</w:t>
      </w:r>
      <w:r w:rsidR="15C5932B" w:rsidRPr="00D03F1F">
        <w:rPr>
          <w:rFonts w:eastAsia="Calibri" w:cs="Calibri"/>
          <w:color w:val="000000" w:themeColor="text1"/>
        </w:rPr>
        <w:t xml:space="preserve"> or</w:t>
      </w:r>
      <w:r w:rsidR="0026291A">
        <w:rPr>
          <w:rFonts w:eastAsia="Calibri" w:cs="Calibri"/>
          <w:color w:val="000000" w:themeColor="text1"/>
        </w:rPr>
        <w:t xml:space="preserve"> to</w:t>
      </w:r>
      <w:r w:rsidR="15C5932B" w:rsidRPr="00D03F1F">
        <w:rPr>
          <w:rFonts w:eastAsia="Calibri" w:cs="Calibri"/>
          <w:color w:val="000000" w:themeColor="text1"/>
        </w:rPr>
        <w:t xml:space="preserve"> help organizations g</w:t>
      </w:r>
      <w:r w:rsidR="5DE7D4B1" w:rsidRPr="00D03F1F">
        <w:rPr>
          <w:rFonts w:eastAsia="Calibri" w:cs="Calibri"/>
          <w:color w:val="000000" w:themeColor="text1"/>
        </w:rPr>
        <w:t>row to serve a previously underserved area</w:t>
      </w:r>
      <w:r w:rsidR="00600F0B" w:rsidRPr="00D03F1F">
        <w:rPr>
          <w:rFonts w:eastAsia="Calibri" w:cs="Calibri"/>
          <w:color w:val="000000" w:themeColor="text1"/>
        </w:rPr>
        <w:t>.</w:t>
      </w:r>
      <w:r w:rsidR="00600F0B" w:rsidRPr="00D03F1F">
        <w:rPr>
          <w:rFonts w:eastAsia="MS Mincho" w:cs="Calibri"/>
          <w:color w:val="000000" w:themeColor="text1"/>
        </w:rPr>
        <w:t xml:space="preserve"> </w:t>
      </w:r>
      <w:r w:rsidR="00600F0B" w:rsidRPr="00D03F1F">
        <w:rPr>
          <w:rFonts w:eastAsia="Calibri" w:cs="Calibri"/>
          <w:color w:val="000000" w:themeColor="text1"/>
        </w:rPr>
        <w:t xml:space="preserve">Through surveys, listening sessions, and other forms of feedback, </w:t>
      </w:r>
      <w:r w:rsidR="00600F0B" w:rsidRPr="71D2A87E">
        <w:rPr>
          <w:rFonts w:eastAsia="Calibri" w:cs="Calibri"/>
          <w:i/>
          <w:iCs/>
          <w:color w:val="000000" w:themeColor="text1"/>
        </w:rPr>
        <w:t>Best Starts</w:t>
      </w:r>
      <w:r w:rsidR="00600F0B" w:rsidRPr="00D03F1F">
        <w:rPr>
          <w:rFonts w:eastAsia="Calibri" w:cs="Calibri"/>
          <w:color w:val="000000" w:themeColor="text1"/>
        </w:rPr>
        <w:t xml:space="preserve"> </w:t>
      </w:r>
      <w:r w:rsidR="00600F0B" w:rsidRPr="71D2A87E">
        <w:rPr>
          <w:rFonts w:eastAsia="Calibri" w:cs="Calibri"/>
          <w:color w:val="000000" w:themeColor="text1"/>
        </w:rPr>
        <w:t xml:space="preserve">staff </w:t>
      </w:r>
      <w:r w:rsidR="00600F0B" w:rsidRPr="00D03F1F">
        <w:rPr>
          <w:rFonts w:eastAsia="Calibri" w:cs="Calibri"/>
          <w:color w:val="000000" w:themeColor="text1"/>
        </w:rPr>
        <w:t xml:space="preserve">learned that </w:t>
      </w:r>
      <w:r w:rsidR="006D2179">
        <w:rPr>
          <w:rFonts w:eastAsia="Calibri" w:cs="Calibri"/>
          <w:color w:val="000000" w:themeColor="text1"/>
        </w:rPr>
        <w:t xml:space="preserve">partners highly value </w:t>
      </w:r>
      <w:r w:rsidR="00600F0B" w:rsidRPr="00D03F1F">
        <w:rPr>
          <w:rFonts w:eastAsia="Calibri" w:cs="Calibri"/>
          <w:color w:val="000000" w:themeColor="text1"/>
        </w:rPr>
        <w:t>this support for community-based organizations (CBOs)</w:t>
      </w:r>
      <w:r w:rsidR="00600F0B" w:rsidRPr="00D03F1F">
        <w:rPr>
          <w:rFonts w:eastAsia="MS Mincho" w:cs="Calibri"/>
          <w:color w:val="000000" w:themeColor="text1"/>
        </w:rPr>
        <w:t>.</w:t>
      </w:r>
      <w:r w:rsidR="00600F0B" w:rsidRPr="00D03F1F">
        <w:rPr>
          <w:rStyle w:val="FootnoteReference"/>
          <w:rFonts w:eastAsia="MS Mincho" w:cs="Calibri"/>
          <w:color w:val="000000" w:themeColor="text1"/>
        </w:rPr>
        <w:footnoteReference w:id="219"/>
      </w:r>
      <w:r w:rsidR="00600F0B">
        <w:rPr>
          <w:rFonts w:eastAsia="MS Mincho" w:cs="Calibri"/>
          <w:color w:val="000000" w:themeColor="text1"/>
        </w:rPr>
        <w:t xml:space="preserve"> </w:t>
      </w:r>
      <w:r w:rsidR="53665643" w:rsidRPr="00D03F1F">
        <w:rPr>
          <w:rFonts w:eastAsia="Calibri" w:cs="Calibri"/>
          <w:color w:val="000000" w:themeColor="text1"/>
        </w:rPr>
        <w:t xml:space="preserve">Technical assistance provided during the first </w:t>
      </w:r>
      <w:r w:rsidR="6B51EA11" w:rsidRPr="71D2A87E">
        <w:rPr>
          <w:rFonts w:eastAsia="Calibri" w:cs="Calibri"/>
          <w:i/>
          <w:iCs/>
          <w:color w:val="000000" w:themeColor="text1"/>
        </w:rPr>
        <w:t>Best Starts</w:t>
      </w:r>
      <w:r w:rsidR="6B51EA11" w:rsidRPr="00D03F1F">
        <w:rPr>
          <w:rFonts w:eastAsia="Calibri" w:cs="Calibri"/>
          <w:color w:val="000000" w:themeColor="text1"/>
        </w:rPr>
        <w:t xml:space="preserve"> </w:t>
      </w:r>
      <w:r w:rsidR="53665643" w:rsidRPr="00D03F1F">
        <w:rPr>
          <w:rFonts w:eastAsia="Calibri" w:cs="Calibri"/>
          <w:color w:val="000000" w:themeColor="text1"/>
        </w:rPr>
        <w:t xml:space="preserve">levy </w:t>
      </w:r>
      <w:r w:rsidR="76D89956" w:rsidRPr="00D03F1F">
        <w:rPr>
          <w:rFonts w:eastAsia="Calibri" w:cs="Calibri"/>
          <w:color w:val="000000" w:themeColor="text1"/>
        </w:rPr>
        <w:t>improved</w:t>
      </w:r>
      <w:r w:rsidR="53665643" w:rsidRPr="00D03F1F">
        <w:rPr>
          <w:rFonts w:eastAsia="Calibri" w:cs="Calibri"/>
          <w:color w:val="000000" w:themeColor="text1"/>
        </w:rPr>
        <w:t xml:space="preserve"> access to funding opportunities for </w:t>
      </w:r>
      <w:r w:rsidR="006D2179">
        <w:rPr>
          <w:rFonts w:eastAsia="Calibri" w:cs="Calibri"/>
          <w:color w:val="000000" w:themeColor="text1"/>
        </w:rPr>
        <w:t>CBOs</w:t>
      </w:r>
      <w:r w:rsidR="53665643" w:rsidRPr="00D03F1F">
        <w:rPr>
          <w:rFonts w:eastAsia="Calibri" w:cs="Calibri"/>
          <w:color w:val="000000" w:themeColor="text1"/>
        </w:rPr>
        <w:t xml:space="preserve">. An assessment of </w:t>
      </w:r>
      <w:r w:rsidR="53665643" w:rsidRPr="71D2A87E">
        <w:rPr>
          <w:rFonts w:eastAsia="Calibri" w:cs="Calibri"/>
          <w:i/>
          <w:iCs/>
          <w:color w:val="000000" w:themeColor="text1"/>
        </w:rPr>
        <w:t>Best Starts</w:t>
      </w:r>
      <w:r w:rsidR="53665643" w:rsidRPr="00D03F1F">
        <w:rPr>
          <w:rFonts w:eastAsia="Calibri" w:cs="Calibri"/>
          <w:color w:val="000000" w:themeColor="text1"/>
        </w:rPr>
        <w:t xml:space="preserve"> TA found that 40</w:t>
      </w:r>
      <w:r w:rsidR="00C54DD7">
        <w:rPr>
          <w:rFonts w:eastAsia="Calibri" w:cs="Calibri"/>
          <w:color w:val="000000" w:themeColor="text1"/>
        </w:rPr>
        <w:t xml:space="preserve"> percent</w:t>
      </w:r>
      <w:r w:rsidR="53665643" w:rsidRPr="00D03F1F">
        <w:rPr>
          <w:rFonts w:eastAsia="Calibri" w:cs="Calibri"/>
          <w:color w:val="000000" w:themeColor="text1"/>
        </w:rPr>
        <w:t xml:space="preserve"> of organizations that received TA had never applied for King County funding. In addition, 62</w:t>
      </w:r>
      <w:r w:rsidR="00C54DD7">
        <w:rPr>
          <w:rFonts w:eastAsia="Calibri" w:cs="Calibri"/>
          <w:color w:val="000000" w:themeColor="text1"/>
        </w:rPr>
        <w:t xml:space="preserve"> percent</w:t>
      </w:r>
      <w:r w:rsidR="53665643" w:rsidRPr="00D03F1F">
        <w:rPr>
          <w:rFonts w:eastAsia="Calibri" w:cs="Calibri"/>
          <w:color w:val="000000" w:themeColor="text1"/>
        </w:rPr>
        <w:t xml:space="preserve"> of organizations that used technical assistance were awarded funding for at least one proposal, compared to 53</w:t>
      </w:r>
      <w:r w:rsidR="00C54DD7">
        <w:rPr>
          <w:rFonts w:eastAsia="Calibri" w:cs="Calibri"/>
          <w:color w:val="000000" w:themeColor="text1"/>
        </w:rPr>
        <w:t xml:space="preserve"> percent</w:t>
      </w:r>
      <w:r w:rsidR="53665643" w:rsidRPr="00D03F1F">
        <w:rPr>
          <w:rFonts w:eastAsia="Calibri" w:cs="Calibri"/>
          <w:color w:val="000000" w:themeColor="text1"/>
        </w:rPr>
        <w:t xml:space="preserve"> for organizations that did not receive technical assistance. </w:t>
      </w:r>
      <w:r w:rsidR="000942F9" w:rsidRPr="00D03F1F">
        <w:rPr>
          <w:rStyle w:val="FootnoteReference"/>
          <w:rFonts w:eastAsia="Calibri" w:cs="Calibri"/>
          <w:color w:val="000000" w:themeColor="text1"/>
        </w:rPr>
        <w:footnoteReference w:id="220"/>
      </w:r>
    </w:p>
    <w:p w14:paraId="28E198A7" w14:textId="77777777" w:rsidR="005A664A" w:rsidRDefault="005A664A" w:rsidP="005F3393">
      <w:pPr>
        <w:contextualSpacing/>
        <w:rPr>
          <w:rFonts w:eastAsia="Calibri" w:cs="Calibri"/>
          <w:color w:val="000000" w:themeColor="text1"/>
        </w:rPr>
      </w:pPr>
    </w:p>
    <w:p w14:paraId="04A8A780" w14:textId="2E4DF3E0" w:rsidR="003342FD" w:rsidRPr="00D03F1F" w:rsidRDefault="00A33D5A" w:rsidP="005F3393">
      <w:pPr>
        <w:contextualSpacing/>
        <w:rPr>
          <w:rFonts w:eastAsia="Calibri" w:cs="Calibri"/>
          <w:color w:val="000000" w:themeColor="text1"/>
        </w:rPr>
      </w:pPr>
      <w:r>
        <w:rPr>
          <w:rFonts w:eastAsia="Calibri" w:cs="Calibri"/>
          <w:b/>
          <w:color w:val="000000" w:themeColor="text1"/>
        </w:rPr>
        <w:t>Anticipated</w:t>
      </w:r>
      <w:r w:rsidR="001E743F" w:rsidRPr="00D03F1F">
        <w:rPr>
          <w:rFonts w:eastAsia="Calibri" w:cs="Calibri"/>
          <w:b/>
          <w:color w:val="000000" w:themeColor="text1"/>
        </w:rPr>
        <w:t xml:space="preserve"> </w:t>
      </w:r>
      <w:r w:rsidR="71C471BA" w:rsidRPr="00D03F1F">
        <w:rPr>
          <w:rFonts w:eastAsia="Calibri" w:cs="Calibri"/>
          <w:b/>
          <w:color w:val="000000" w:themeColor="text1"/>
        </w:rPr>
        <w:t>Timeline</w:t>
      </w:r>
      <w:r>
        <w:rPr>
          <w:rFonts w:eastAsia="Calibri" w:cs="Calibri"/>
          <w:b/>
          <w:color w:val="000000" w:themeColor="text1"/>
        </w:rPr>
        <w:t>:</w:t>
      </w:r>
    </w:p>
    <w:p w14:paraId="3A5F412F" w14:textId="313850AD" w:rsidR="00411C4E" w:rsidRPr="00D03F1F" w:rsidRDefault="009861D7" w:rsidP="009230D5">
      <w:pPr>
        <w:pStyle w:val="ListParagraph"/>
        <w:numPr>
          <w:ilvl w:val="0"/>
          <w:numId w:val="12"/>
        </w:numPr>
        <w:rPr>
          <w:rFonts w:asciiTheme="minorHAnsi" w:eastAsiaTheme="minorEastAsia" w:hAnsiTheme="minorHAnsi"/>
          <w:color w:val="000000" w:themeColor="text1"/>
        </w:rPr>
      </w:pPr>
      <w:r w:rsidRPr="00D03F1F">
        <w:rPr>
          <w:rFonts w:eastAsia="Calibri" w:cs="Calibri"/>
          <w:color w:val="000000" w:themeColor="text1"/>
        </w:rPr>
        <w:lastRenderedPageBreak/>
        <w:t xml:space="preserve">Release </w:t>
      </w:r>
      <w:r w:rsidR="00955F6A">
        <w:rPr>
          <w:rFonts w:eastAsia="Calibri" w:cs="Calibri"/>
          <w:color w:val="000000" w:themeColor="text1"/>
        </w:rPr>
        <w:t>an</w:t>
      </w:r>
      <w:r w:rsidRPr="00D03F1F">
        <w:rPr>
          <w:rFonts w:eastAsia="Calibri" w:cs="Calibri"/>
          <w:color w:val="000000" w:themeColor="text1"/>
        </w:rPr>
        <w:t xml:space="preserve"> </w:t>
      </w:r>
      <w:r w:rsidR="71C471BA" w:rsidRPr="00D03F1F">
        <w:rPr>
          <w:rFonts w:eastAsia="Calibri" w:cs="Calibri"/>
          <w:color w:val="000000" w:themeColor="text1"/>
        </w:rPr>
        <w:t xml:space="preserve">RFQ </w:t>
      </w:r>
      <w:r w:rsidR="00A540EF">
        <w:rPr>
          <w:rFonts w:eastAsia="Calibri" w:cs="Calibri"/>
          <w:color w:val="000000" w:themeColor="text1"/>
        </w:rPr>
        <w:t xml:space="preserve">in </w:t>
      </w:r>
      <w:r w:rsidR="009E2DFA">
        <w:rPr>
          <w:rFonts w:eastAsia="Calibri" w:cs="Calibri"/>
          <w:color w:val="000000" w:themeColor="text1"/>
        </w:rPr>
        <w:t>Q4 2021 to identify</w:t>
      </w:r>
      <w:r w:rsidR="71C471BA" w:rsidRPr="00D03F1F">
        <w:rPr>
          <w:rFonts w:eastAsia="Calibri" w:cs="Calibri"/>
          <w:color w:val="000000" w:themeColor="text1"/>
        </w:rPr>
        <w:t xml:space="preserve"> contractors </w:t>
      </w:r>
      <w:r w:rsidRPr="00D03F1F">
        <w:rPr>
          <w:rFonts w:eastAsia="Calibri" w:cs="Calibri"/>
          <w:color w:val="000000" w:themeColor="text1"/>
        </w:rPr>
        <w:t xml:space="preserve">for </w:t>
      </w:r>
      <w:r w:rsidR="71C471BA" w:rsidRPr="00D03F1F">
        <w:rPr>
          <w:rFonts w:eastAsia="Calibri" w:cs="Calibri"/>
          <w:color w:val="000000" w:themeColor="text1"/>
        </w:rPr>
        <w:t>provi</w:t>
      </w:r>
      <w:r w:rsidRPr="00D03F1F">
        <w:rPr>
          <w:rFonts w:eastAsia="Calibri" w:cs="Calibri"/>
          <w:color w:val="000000" w:themeColor="text1"/>
        </w:rPr>
        <w:t>sion of</w:t>
      </w:r>
      <w:r w:rsidR="71C471BA" w:rsidRPr="00D03F1F">
        <w:rPr>
          <w:rFonts w:eastAsia="Calibri" w:cs="Calibri"/>
          <w:color w:val="000000" w:themeColor="text1"/>
        </w:rPr>
        <w:t xml:space="preserve"> technical assistance and capacity building</w:t>
      </w:r>
      <w:r w:rsidR="00A540EF">
        <w:rPr>
          <w:rFonts w:eastAsia="Calibri" w:cs="Calibri"/>
          <w:color w:val="000000" w:themeColor="text1"/>
        </w:rPr>
        <w:t xml:space="preserve">, </w:t>
      </w:r>
      <w:r w:rsidR="57CCD9EB" w:rsidRPr="5F209BC9">
        <w:rPr>
          <w:rFonts w:eastAsia="Calibri" w:cs="Calibri"/>
          <w:color w:val="000000" w:themeColor="text1"/>
        </w:rPr>
        <w:t>including</w:t>
      </w:r>
      <w:r w:rsidR="00A540EF">
        <w:rPr>
          <w:rFonts w:eastAsia="Calibri" w:cs="Calibri"/>
          <w:color w:val="000000" w:themeColor="text1"/>
        </w:rPr>
        <w:t xml:space="preserve"> contractors with a</w:t>
      </w:r>
      <w:r w:rsidR="57CCD9EB" w:rsidRPr="5F209BC9">
        <w:rPr>
          <w:rFonts w:eastAsia="Calibri" w:cs="Calibri"/>
          <w:color w:val="000000" w:themeColor="text1"/>
        </w:rPr>
        <w:t xml:space="preserve"> new </w:t>
      </w:r>
      <w:r w:rsidR="00A540EF">
        <w:rPr>
          <w:rFonts w:eastAsia="Calibri" w:cs="Calibri"/>
          <w:color w:val="000000" w:themeColor="text1"/>
        </w:rPr>
        <w:t xml:space="preserve">area of </w:t>
      </w:r>
      <w:r w:rsidR="57CCD9EB" w:rsidRPr="5F209BC9">
        <w:rPr>
          <w:rFonts w:eastAsia="Calibri" w:cs="Calibri"/>
          <w:color w:val="000000" w:themeColor="text1"/>
        </w:rPr>
        <w:t>expertise in standing up new organizations</w:t>
      </w:r>
      <w:r w:rsidR="00A540EF">
        <w:rPr>
          <w:rFonts w:eastAsia="Calibri" w:cs="Calibri"/>
          <w:color w:val="000000" w:themeColor="text1"/>
        </w:rPr>
        <w:t xml:space="preserve">, </w:t>
      </w:r>
      <w:r w:rsidR="71C471BA" w:rsidRPr="00D03F1F">
        <w:rPr>
          <w:rFonts w:eastAsia="Calibri" w:cs="Calibri"/>
          <w:color w:val="000000" w:themeColor="text1"/>
        </w:rPr>
        <w:t>to ensure these services are available at the start of 2022</w:t>
      </w:r>
      <w:r w:rsidR="006A39FA">
        <w:rPr>
          <w:rFonts w:eastAsia="Calibri" w:cs="Calibri"/>
          <w:color w:val="000000" w:themeColor="text1"/>
        </w:rPr>
        <w:t>.</w:t>
      </w:r>
      <w:r w:rsidR="00791013">
        <w:rPr>
          <w:rFonts w:eastAsia="Calibri" w:cs="Calibri"/>
          <w:color w:val="000000" w:themeColor="text1"/>
        </w:rPr>
        <w:t xml:space="preserve"> </w:t>
      </w:r>
    </w:p>
    <w:p w14:paraId="6BA18EF8" w14:textId="52355057" w:rsidR="006A2CFD" w:rsidRPr="00DC07CA" w:rsidRDefault="00411C4E" w:rsidP="002B2509">
      <w:pPr>
        <w:pStyle w:val="ListParagraph"/>
        <w:numPr>
          <w:ilvl w:val="0"/>
          <w:numId w:val="12"/>
        </w:numPr>
        <w:rPr>
          <w:rFonts w:eastAsia="Calibri" w:cs="Calibri"/>
          <w:color w:val="000000" w:themeColor="text1"/>
        </w:rPr>
      </w:pPr>
      <w:r w:rsidRPr="00D03F1F">
        <w:rPr>
          <w:rFonts w:eastAsia="Calibri" w:cs="Calibri"/>
          <w:color w:val="000000" w:themeColor="text1"/>
        </w:rPr>
        <w:t>Offer</w:t>
      </w:r>
      <w:r w:rsidR="71C471BA" w:rsidRPr="00D03F1F">
        <w:rPr>
          <w:rFonts w:eastAsia="Calibri" w:cs="Calibri"/>
          <w:color w:val="000000" w:themeColor="text1"/>
        </w:rPr>
        <w:t xml:space="preserve"> small </w:t>
      </w:r>
      <w:r w:rsidR="00966740">
        <w:rPr>
          <w:rFonts w:eastAsia="Calibri" w:cs="Calibri"/>
          <w:color w:val="000000" w:themeColor="text1"/>
        </w:rPr>
        <w:t>awards</w:t>
      </w:r>
      <w:r w:rsidR="71C471BA" w:rsidRPr="00D03F1F">
        <w:rPr>
          <w:rFonts w:eastAsia="Calibri" w:cs="Calibri"/>
          <w:color w:val="000000" w:themeColor="text1"/>
        </w:rPr>
        <w:t xml:space="preserve"> directly to </w:t>
      </w:r>
      <w:r w:rsidR="71C471BA" w:rsidRPr="00D03F1F">
        <w:rPr>
          <w:rFonts w:eastAsia="Calibri" w:cs="Calibri"/>
          <w:i/>
          <w:color w:val="000000" w:themeColor="text1"/>
        </w:rPr>
        <w:t>Best Starts</w:t>
      </w:r>
      <w:r w:rsidR="005F55C0" w:rsidRPr="00D03F1F">
        <w:rPr>
          <w:rFonts w:eastAsia="Calibri" w:cs="Calibri"/>
          <w:color w:val="000000" w:themeColor="text1"/>
        </w:rPr>
        <w:t>-funded organization</w:t>
      </w:r>
      <w:r w:rsidR="00E87124" w:rsidRPr="00D03F1F">
        <w:rPr>
          <w:rFonts w:eastAsia="Calibri" w:cs="Calibri"/>
          <w:color w:val="000000" w:themeColor="text1"/>
        </w:rPr>
        <w:t>s</w:t>
      </w:r>
      <w:r w:rsidR="71C471BA" w:rsidRPr="00D03F1F" w:rsidDel="005F55C0">
        <w:rPr>
          <w:rFonts w:eastAsia="Calibri" w:cs="Calibri"/>
          <w:color w:val="000000" w:themeColor="text1"/>
        </w:rPr>
        <w:t xml:space="preserve"> </w:t>
      </w:r>
      <w:r w:rsidR="71C471BA" w:rsidRPr="00D03F1F" w:rsidDel="004771C3">
        <w:rPr>
          <w:rFonts w:eastAsia="Calibri" w:cs="Calibri"/>
          <w:color w:val="000000" w:themeColor="text1"/>
        </w:rPr>
        <w:t xml:space="preserve">at least </w:t>
      </w:r>
      <w:r w:rsidR="5712396A" w:rsidRPr="1A2FA211">
        <w:rPr>
          <w:rFonts w:eastAsia="Calibri" w:cs="Calibri"/>
          <w:color w:val="000000" w:themeColor="text1"/>
        </w:rPr>
        <w:t>twice</w:t>
      </w:r>
      <w:r w:rsidRPr="1A2FA211" w:rsidDel="71C471BA">
        <w:rPr>
          <w:rFonts w:eastAsia="Calibri" w:cs="Calibri"/>
          <w:color w:val="000000" w:themeColor="text1"/>
        </w:rPr>
        <w:t xml:space="preserve"> </w:t>
      </w:r>
      <w:r w:rsidR="00A74A73" w:rsidRPr="00D03F1F">
        <w:rPr>
          <w:rFonts w:eastAsia="Calibri" w:cs="Calibri"/>
          <w:color w:val="000000" w:themeColor="text1"/>
        </w:rPr>
        <w:t xml:space="preserve">over the course of the </w:t>
      </w:r>
      <w:r w:rsidR="71C471BA" w:rsidRPr="00D03F1F">
        <w:rPr>
          <w:rFonts w:eastAsia="Calibri" w:cs="Calibri"/>
          <w:color w:val="000000" w:themeColor="text1"/>
        </w:rPr>
        <w:t xml:space="preserve">2022-2027 </w:t>
      </w:r>
      <w:r w:rsidR="009B1DF3" w:rsidRPr="00D03F1F">
        <w:rPr>
          <w:rFonts w:eastAsia="Calibri" w:cs="Calibri"/>
          <w:i/>
          <w:color w:val="000000" w:themeColor="text1"/>
        </w:rPr>
        <w:t>Best Starts</w:t>
      </w:r>
      <w:r w:rsidR="009B1DF3" w:rsidRPr="00D03F1F">
        <w:rPr>
          <w:rFonts w:eastAsia="Calibri" w:cs="Calibri"/>
          <w:color w:val="000000" w:themeColor="text1"/>
        </w:rPr>
        <w:t xml:space="preserve"> </w:t>
      </w:r>
      <w:r w:rsidR="71C471BA" w:rsidRPr="00D03F1F">
        <w:rPr>
          <w:rFonts w:eastAsia="Calibri" w:cs="Calibri"/>
          <w:color w:val="000000" w:themeColor="text1"/>
        </w:rPr>
        <w:t>levy</w:t>
      </w:r>
      <w:r w:rsidR="00C27526">
        <w:rPr>
          <w:rFonts w:eastAsia="Calibri" w:cs="Calibri"/>
          <w:color w:val="000000" w:themeColor="text1"/>
        </w:rPr>
        <w:t>, anticipated for 2023 and 2025</w:t>
      </w:r>
      <w:r w:rsidR="71C471BA" w:rsidRPr="00D03F1F">
        <w:rPr>
          <w:rFonts w:eastAsia="Calibri" w:cs="Calibri"/>
          <w:color w:val="000000" w:themeColor="text1"/>
        </w:rPr>
        <w:t>.</w:t>
      </w:r>
    </w:p>
    <w:p w14:paraId="22945E2B" w14:textId="773F3F59" w:rsidR="00EF0C78" w:rsidRDefault="00FB197C" w:rsidP="00025030">
      <w:pPr>
        <w:pStyle w:val="Heading2"/>
        <w:numPr>
          <w:ilvl w:val="0"/>
          <w:numId w:val="26"/>
        </w:numPr>
      </w:pPr>
      <w:bookmarkStart w:id="91" w:name="_Data_and_Evaluation"/>
      <w:bookmarkStart w:id="92" w:name="_Toc85188552"/>
      <w:bookmarkEnd w:id="91"/>
      <w:r>
        <w:t xml:space="preserve">Data and </w:t>
      </w:r>
      <w:r w:rsidR="00A53413">
        <w:t>Evaluation</w:t>
      </w:r>
      <w:bookmarkEnd w:id="92"/>
      <w:r w:rsidR="00A53413">
        <w:t xml:space="preserve"> </w:t>
      </w:r>
    </w:p>
    <w:p w14:paraId="12FFBBFE" w14:textId="77777777" w:rsidR="00690710" w:rsidRPr="00B16F3D" w:rsidRDefault="00690710" w:rsidP="00690710">
      <w:pPr>
        <w:rPr>
          <w:b/>
          <w:bCs/>
        </w:rPr>
      </w:pPr>
    </w:p>
    <w:p w14:paraId="6C05E880" w14:textId="5CD28971" w:rsidR="00432F70" w:rsidRPr="00B16F3D" w:rsidRDefault="00462214" w:rsidP="00B16F3D">
      <w:pPr>
        <w:rPr>
          <w:b/>
          <w:bCs/>
        </w:rPr>
      </w:pPr>
      <w:r w:rsidRPr="00B16F3D">
        <w:rPr>
          <w:b/>
          <w:bCs/>
        </w:rPr>
        <w:t xml:space="preserve">Measuring </w:t>
      </w:r>
      <w:r w:rsidR="00FB155B" w:rsidRPr="00354EFE">
        <w:rPr>
          <w:rFonts w:cs="Times New Roman"/>
          <w:b/>
          <w:i/>
        </w:rPr>
        <w:t>Best Starts</w:t>
      </w:r>
      <w:r w:rsidRPr="00B16F3D">
        <w:rPr>
          <w:b/>
          <w:bCs/>
        </w:rPr>
        <w:t xml:space="preserve"> Strategy and Program Performance</w:t>
      </w:r>
    </w:p>
    <w:p w14:paraId="19131C4A" w14:textId="47E64293" w:rsidR="00D74027" w:rsidRPr="00E479E8" w:rsidRDefault="115BDA28" w:rsidP="00E479E8">
      <w:pPr>
        <w:contextualSpacing/>
        <w:rPr>
          <w:rFonts w:cs="Calibri"/>
        </w:rPr>
      </w:pPr>
      <w:r w:rsidRPr="00D03F1F">
        <w:rPr>
          <w:rFonts w:cs="Calibri"/>
        </w:rPr>
        <w:t>Th</w:t>
      </w:r>
      <w:r w:rsidR="3DDFD563" w:rsidRPr="00D03F1F">
        <w:rPr>
          <w:rFonts w:cs="Calibri"/>
        </w:rPr>
        <w:t>is</w:t>
      </w:r>
      <w:r w:rsidRPr="00D03F1F">
        <w:rPr>
          <w:rFonts w:cs="Calibri"/>
        </w:rPr>
        <w:t xml:space="preserve"> section presents the overarching principles and approaches that will guide the evaluation and performance measurement of </w:t>
      </w:r>
      <w:r w:rsidR="42241DFF" w:rsidRPr="00D03F1F">
        <w:rPr>
          <w:rFonts w:cs="Calibri"/>
        </w:rPr>
        <w:t xml:space="preserve">the renewed </w:t>
      </w:r>
      <w:r w:rsidR="659938BE" w:rsidRPr="71D2A87E">
        <w:rPr>
          <w:rFonts w:cs="Calibri"/>
          <w:i/>
          <w:iCs/>
        </w:rPr>
        <w:t>Best Starts</w:t>
      </w:r>
      <w:r w:rsidRPr="71D2A87E">
        <w:rPr>
          <w:rFonts w:cs="Calibri"/>
          <w:i/>
          <w:iCs/>
        </w:rPr>
        <w:t xml:space="preserve"> for Kids</w:t>
      </w:r>
      <w:r w:rsidR="004F003E">
        <w:rPr>
          <w:rFonts w:cs="Calibri"/>
        </w:rPr>
        <w:t xml:space="preserve"> levy.</w:t>
      </w:r>
      <w:r w:rsidRPr="00D03F1F">
        <w:rPr>
          <w:rFonts w:cs="Calibri"/>
        </w:rPr>
        <w:t xml:space="preserve"> The </w:t>
      </w:r>
      <w:r w:rsidR="659938BE" w:rsidRPr="71D2A87E">
        <w:rPr>
          <w:rFonts w:cs="Calibri"/>
          <w:i/>
          <w:iCs/>
        </w:rPr>
        <w:t>Best Starts</w:t>
      </w:r>
      <w:r w:rsidRPr="00D03F1F">
        <w:rPr>
          <w:rFonts w:cs="Calibri"/>
        </w:rPr>
        <w:t xml:space="preserve"> Evaluation and Performance Measurement Framework </w:t>
      </w:r>
      <w:r w:rsidR="00682274">
        <w:rPr>
          <w:rFonts w:cs="Calibri"/>
        </w:rPr>
        <w:t xml:space="preserve">for 2022-2027 </w:t>
      </w:r>
      <w:r w:rsidR="5DF8E711" w:rsidRPr="00D03F1F">
        <w:rPr>
          <w:rFonts w:cs="Calibri"/>
        </w:rPr>
        <w:t xml:space="preserve">continues and </w:t>
      </w:r>
      <w:r w:rsidRPr="00D03F1F">
        <w:rPr>
          <w:rFonts w:cs="Calibri"/>
        </w:rPr>
        <w:t>builds on</w:t>
      </w:r>
      <w:r w:rsidR="10DA6943" w:rsidRPr="00D03F1F">
        <w:rPr>
          <w:rFonts w:cs="Calibri"/>
        </w:rPr>
        <w:t xml:space="preserve"> the </w:t>
      </w:r>
      <w:r w:rsidR="00682274">
        <w:rPr>
          <w:rFonts w:cs="Calibri"/>
        </w:rPr>
        <w:t xml:space="preserve">levy’s </w:t>
      </w:r>
      <w:r w:rsidR="004D9423" w:rsidRPr="00D03F1F">
        <w:rPr>
          <w:rFonts w:cs="Calibri"/>
        </w:rPr>
        <w:t>existing evaluation and performance measurement framework</w:t>
      </w:r>
      <w:r w:rsidR="00AB6E4B">
        <w:rPr>
          <w:rFonts w:cs="Calibri"/>
        </w:rPr>
        <w:t>.</w:t>
      </w:r>
      <w:r w:rsidR="00D90375" w:rsidRPr="00D03F1F">
        <w:rPr>
          <w:rStyle w:val="FootnoteReference"/>
          <w:rFonts w:cs="Calibri"/>
        </w:rPr>
        <w:footnoteReference w:id="221"/>
      </w:r>
      <w:r w:rsidR="3557B03E" w:rsidRPr="00D03F1F">
        <w:rPr>
          <w:rFonts w:cs="Calibri"/>
        </w:rPr>
        <w:t xml:space="preserve"> </w:t>
      </w:r>
    </w:p>
    <w:tbl>
      <w:tblPr>
        <w:tblStyle w:val="TableGrid"/>
        <w:tblpPr w:leftFromText="180" w:rightFromText="180" w:vertAnchor="text" w:horzAnchor="margin" w:tblpY="406"/>
        <w:tblW w:w="9510" w:type="dxa"/>
        <w:tblLook w:val="04A0" w:firstRow="1" w:lastRow="0" w:firstColumn="1" w:lastColumn="0" w:noHBand="0" w:noVBand="1"/>
      </w:tblPr>
      <w:tblGrid>
        <w:gridCol w:w="9510"/>
      </w:tblGrid>
      <w:tr w:rsidR="00C53D38" w:rsidRPr="00D03F1F" w14:paraId="01D232B1" w14:textId="77777777" w:rsidTr="00373352">
        <w:trPr>
          <w:trHeight w:val="375"/>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FCE20EE" w14:textId="2BEBBB6B" w:rsidR="00C53D38" w:rsidRPr="00C20529" w:rsidRDefault="00FB197C" w:rsidP="00B240AF">
            <w:pPr>
              <w:contextualSpacing/>
              <w:rPr>
                <w:rFonts w:eastAsia="Calibri" w:cs="Calibri"/>
                <w:color w:val="000000" w:themeColor="text1"/>
                <w:sz w:val="28"/>
                <w:szCs w:val="28"/>
              </w:rPr>
            </w:pPr>
            <w:r>
              <w:rPr>
                <w:rFonts w:eastAsia="Calibri" w:cs="Calibri"/>
                <w:b/>
                <w:color w:val="000000" w:themeColor="text1"/>
                <w:sz w:val="28"/>
                <w:szCs w:val="28"/>
              </w:rPr>
              <w:t>Data and Evaluation</w:t>
            </w:r>
            <w:r w:rsidR="00C53D38" w:rsidRPr="00B635FA">
              <w:rPr>
                <w:rFonts w:eastAsia="Calibri" w:cs="Calibri"/>
                <w:color w:val="000000" w:themeColor="text1"/>
                <w:sz w:val="28"/>
                <w:szCs w:val="28"/>
              </w:rPr>
              <w:t xml:space="preserve"> </w:t>
            </w:r>
          </w:p>
        </w:tc>
      </w:tr>
    </w:tbl>
    <w:p w14:paraId="71087C5F" w14:textId="77777777" w:rsidR="00682274" w:rsidRPr="003C7835" w:rsidRDefault="00682274" w:rsidP="005F3393">
      <w:pPr>
        <w:contextualSpacing/>
        <w:rPr>
          <w:rFonts w:cs="Calibri"/>
        </w:rPr>
      </w:pPr>
    </w:p>
    <w:tbl>
      <w:tblPr>
        <w:tblW w:w="9540" w:type="dxa"/>
        <w:tblLook w:val="04A0" w:firstRow="1" w:lastRow="0" w:firstColumn="1" w:lastColumn="0" w:noHBand="0" w:noVBand="1"/>
      </w:tblPr>
      <w:tblGrid>
        <w:gridCol w:w="974"/>
        <w:gridCol w:w="1190"/>
        <w:gridCol w:w="1189"/>
        <w:gridCol w:w="1189"/>
        <w:gridCol w:w="1189"/>
        <w:gridCol w:w="1189"/>
        <w:gridCol w:w="1189"/>
        <w:gridCol w:w="1431"/>
      </w:tblGrid>
      <w:tr w:rsidR="007126B7" w:rsidRPr="007126B7" w14:paraId="56C1E5BA" w14:textId="77777777" w:rsidTr="00C53D38">
        <w:trPr>
          <w:trHeight w:val="322"/>
        </w:trPr>
        <w:tc>
          <w:tcPr>
            <w:tcW w:w="9540" w:type="dxa"/>
            <w:gridSpan w:val="8"/>
            <w:tcBorders>
              <w:top w:val="nil"/>
              <w:left w:val="nil"/>
              <w:bottom w:val="single" w:sz="12" w:space="0" w:color="FFD966"/>
              <w:right w:val="nil"/>
            </w:tcBorders>
            <w:shd w:val="clear" w:color="auto" w:fill="auto"/>
            <w:noWrap/>
            <w:vAlign w:val="bottom"/>
            <w:hideMark/>
          </w:tcPr>
          <w:p w14:paraId="532BEA21" w14:textId="77777777" w:rsidR="007126B7" w:rsidRPr="007126B7" w:rsidRDefault="007126B7" w:rsidP="007126B7">
            <w:pPr>
              <w:spacing w:line="240" w:lineRule="auto"/>
              <w:rPr>
                <w:rFonts w:eastAsia="Times New Roman" w:cs="Calibri"/>
                <w:b/>
                <w:bCs/>
                <w:i/>
                <w:iCs/>
                <w:color w:val="000000"/>
              </w:rPr>
            </w:pPr>
            <w:r w:rsidRPr="007126B7">
              <w:rPr>
                <w:rFonts w:eastAsia="Times New Roman" w:cs="Calibri"/>
                <w:b/>
                <w:bCs/>
                <w:i/>
                <w:iCs/>
                <w:color w:val="000000"/>
              </w:rPr>
              <w:t>Funding Estimate:</w:t>
            </w:r>
          </w:p>
        </w:tc>
      </w:tr>
      <w:tr w:rsidR="007126B7" w:rsidRPr="007126B7" w14:paraId="36F580D9" w14:textId="77777777" w:rsidTr="00C53D38">
        <w:trPr>
          <w:trHeight w:val="430"/>
        </w:trPr>
        <w:tc>
          <w:tcPr>
            <w:tcW w:w="974" w:type="dxa"/>
            <w:tcBorders>
              <w:top w:val="nil"/>
              <w:left w:val="single" w:sz="12" w:space="0" w:color="FFD966"/>
              <w:bottom w:val="single" w:sz="8" w:space="0" w:color="FFD966"/>
              <w:right w:val="single" w:sz="8" w:space="0" w:color="FFD966"/>
            </w:tcBorders>
            <w:shd w:val="clear" w:color="000000" w:fill="D9E1F2"/>
            <w:noWrap/>
            <w:vAlign w:val="center"/>
            <w:hideMark/>
          </w:tcPr>
          <w:p w14:paraId="6797066E" w14:textId="77777777" w:rsidR="007126B7" w:rsidRPr="007126B7" w:rsidRDefault="007126B7" w:rsidP="007126B7">
            <w:pPr>
              <w:spacing w:line="240" w:lineRule="auto"/>
              <w:rPr>
                <w:rFonts w:eastAsia="Times New Roman" w:cs="Calibri"/>
                <w:b/>
                <w:bCs/>
                <w:i/>
                <w:iCs/>
              </w:rPr>
            </w:pPr>
            <w:r w:rsidRPr="007126B7">
              <w:rPr>
                <w:rFonts w:eastAsia="Times New Roman" w:cs="Calibri"/>
                <w:b/>
                <w:bCs/>
                <w:i/>
                <w:iCs/>
              </w:rPr>
              <w:t>Year</w:t>
            </w:r>
          </w:p>
        </w:tc>
        <w:tc>
          <w:tcPr>
            <w:tcW w:w="1190" w:type="dxa"/>
            <w:tcBorders>
              <w:top w:val="nil"/>
              <w:left w:val="nil"/>
              <w:bottom w:val="single" w:sz="8" w:space="0" w:color="FFD966"/>
              <w:right w:val="single" w:sz="8" w:space="0" w:color="FFD966"/>
            </w:tcBorders>
            <w:shd w:val="clear" w:color="000000" w:fill="D9E1F2"/>
            <w:noWrap/>
            <w:vAlign w:val="center"/>
            <w:hideMark/>
          </w:tcPr>
          <w:p w14:paraId="27DE9F73" w14:textId="77777777" w:rsidR="007126B7" w:rsidRPr="007126B7" w:rsidRDefault="007126B7" w:rsidP="007126B7">
            <w:pPr>
              <w:spacing w:line="240" w:lineRule="auto"/>
              <w:jc w:val="right"/>
              <w:rPr>
                <w:rFonts w:eastAsia="Times New Roman" w:cs="Calibri"/>
              </w:rPr>
            </w:pPr>
            <w:r w:rsidRPr="007126B7">
              <w:rPr>
                <w:rFonts w:eastAsia="Times New Roman" w:cs="Calibri"/>
              </w:rPr>
              <w:t>2022</w:t>
            </w:r>
          </w:p>
        </w:tc>
        <w:tc>
          <w:tcPr>
            <w:tcW w:w="1189" w:type="dxa"/>
            <w:tcBorders>
              <w:top w:val="nil"/>
              <w:left w:val="nil"/>
              <w:bottom w:val="single" w:sz="8" w:space="0" w:color="FFD966"/>
              <w:right w:val="single" w:sz="8" w:space="0" w:color="FFD966"/>
            </w:tcBorders>
            <w:shd w:val="clear" w:color="000000" w:fill="D9E1F2"/>
            <w:noWrap/>
            <w:vAlign w:val="center"/>
            <w:hideMark/>
          </w:tcPr>
          <w:p w14:paraId="2297D16D" w14:textId="77777777" w:rsidR="007126B7" w:rsidRPr="007126B7" w:rsidRDefault="007126B7" w:rsidP="007126B7">
            <w:pPr>
              <w:spacing w:line="240" w:lineRule="auto"/>
              <w:jc w:val="right"/>
              <w:rPr>
                <w:rFonts w:eastAsia="Times New Roman" w:cs="Calibri"/>
              </w:rPr>
            </w:pPr>
            <w:r w:rsidRPr="007126B7">
              <w:rPr>
                <w:rFonts w:eastAsia="Times New Roman" w:cs="Calibri"/>
              </w:rPr>
              <w:t>2023</w:t>
            </w:r>
          </w:p>
        </w:tc>
        <w:tc>
          <w:tcPr>
            <w:tcW w:w="1189" w:type="dxa"/>
            <w:tcBorders>
              <w:top w:val="nil"/>
              <w:left w:val="nil"/>
              <w:bottom w:val="single" w:sz="8" w:space="0" w:color="FFD966"/>
              <w:right w:val="single" w:sz="8" w:space="0" w:color="FFD966"/>
            </w:tcBorders>
            <w:shd w:val="clear" w:color="000000" w:fill="D9E1F2"/>
            <w:noWrap/>
            <w:vAlign w:val="center"/>
            <w:hideMark/>
          </w:tcPr>
          <w:p w14:paraId="354A037D" w14:textId="77777777" w:rsidR="007126B7" w:rsidRPr="007126B7" w:rsidRDefault="007126B7" w:rsidP="007126B7">
            <w:pPr>
              <w:spacing w:line="240" w:lineRule="auto"/>
              <w:jc w:val="right"/>
              <w:rPr>
                <w:rFonts w:eastAsia="Times New Roman" w:cs="Calibri"/>
              </w:rPr>
            </w:pPr>
            <w:r w:rsidRPr="007126B7">
              <w:rPr>
                <w:rFonts w:eastAsia="Times New Roman" w:cs="Calibri"/>
              </w:rPr>
              <w:t>2024</w:t>
            </w:r>
          </w:p>
        </w:tc>
        <w:tc>
          <w:tcPr>
            <w:tcW w:w="1189" w:type="dxa"/>
            <w:tcBorders>
              <w:top w:val="nil"/>
              <w:left w:val="nil"/>
              <w:bottom w:val="single" w:sz="8" w:space="0" w:color="FFD966"/>
              <w:right w:val="single" w:sz="8" w:space="0" w:color="FFD966"/>
            </w:tcBorders>
            <w:shd w:val="clear" w:color="000000" w:fill="D9E1F2"/>
            <w:noWrap/>
            <w:vAlign w:val="center"/>
            <w:hideMark/>
          </w:tcPr>
          <w:p w14:paraId="7374916C" w14:textId="77777777" w:rsidR="007126B7" w:rsidRPr="007126B7" w:rsidRDefault="007126B7" w:rsidP="007126B7">
            <w:pPr>
              <w:spacing w:line="240" w:lineRule="auto"/>
              <w:jc w:val="right"/>
              <w:rPr>
                <w:rFonts w:eastAsia="Times New Roman" w:cs="Calibri"/>
              </w:rPr>
            </w:pPr>
            <w:r w:rsidRPr="007126B7">
              <w:rPr>
                <w:rFonts w:eastAsia="Times New Roman" w:cs="Calibri"/>
              </w:rPr>
              <w:t>2025</w:t>
            </w:r>
          </w:p>
        </w:tc>
        <w:tc>
          <w:tcPr>
            <w:tcW w:w="1189" w:type="dxa"/>
            <w:tcBorders>
              <w:top w:val="nil"/>
              <w:left w:val="nil"/>
              <w:bottom w:val="single" w:sz="8" w:space="0" w:color="FFD966"/>
              <w:right w:val="single" w:sz="8" w:space="0" w:color="FFD966"/>
            </w:tcBorders>
            <w:shd w:val="clear" w:color="000000" w:fill="D9E1F2"/>
            <w:noWrap/>
            <w:vAlign w:val="center"/>
            <w:hideMark/>
          </w:tcPr>
          <w:p w14:paraId="59FBD338" w14:textId="77777777" w:rsidR="007126B7" w:rsidRPr="007126B7" w:rsidRDefault="007126B7" w:rsidP="007126B7">
            <w:pPr>
              <w:spacing w:line="240" w:lineRule="auto"/>
              <w:jc w:val="right"/>
              <w:rPr>
                <w:rFonts w:eastAsia="Times New Roman" w:cs="Calibri"/>
              </w:rPr>
            </w:pPr>
            <w:r w:rsidRPr="007126B7">
              <w:rPr>
                <w:rFonts w:eastAsia="Times New Roman" w:cs="Calibri"/>
              </w:rPr>
              <w:t>2026</w:t>
            </w:r>
          </w:p>
        </w:tc>
        <w:tc>
          <w:tcPr>
            <w:tcW w:w="1189" w:type="dxa"/>
            <w:tcBorders>
              <w:top w:val="nil"/>
              <w:left w:val="nil"/>
              <w:bottom w:val="single" w:sz="8" w:space="0" w:color="FFD966"/>
              <w:right w:val="single" w:sz="8" w:space="0" w:color="FFD966"/>
            </w:tcBorders>
            <w:shd w:val="clear" w:color="000000" w:fill="D9E1F2"/>
            <w:noWrap/>
            <w:vAlign w:val="center"/>
            <w:hideMark/>
          </w:tcPr>
          <w:p w14:paraId="2CE2F645" w14:textId="77777777" w:rsidR="007126B7" w:rsidRPr="007126B7" w:rsidRDefault="007126B7" w:rsidP="007126B7">
            <w:pPr>
              <w:spacing w:line="240" w:lineRule="auto"/>
              <w:jc w:val="right"/>
              <w:rPr>
                <w:rFonts w:eastAsia="Times New Roman" w:cs="Calibri"/>
              </w:rPr>
            </w:pPr>
            <w:r w:rsidRPr="007126B7">
              <w:rPr>
                <w:rFonts w:eastAsia="Times New Roman" w:cs="Calibri"/>
              </w:rPr>
              <w:t>2027</w:t>
            </w:r>
          </w:p>
        </w:tc>
        <w:tc>
          <w:tcPr>
            <w:tcW w:w="1431" w:type="dxa"/>
            <w:tcBorders>
              <w:top w:val="nil"/>
              <w:left w:val="nil"/>
              <w:bottom w:val="single" w:sz="8" w:space="0" w:color="FFD966"/>
              <w:right w:val="single" w:sz="12" w:space="0" w:color="FFD966"/>
            </w:tcBorders>
            <w:shd w:val="clear" w:color="000000" w:fill="D9E1F2"/>
            <w:noWrap/>
            <w:vAlign w:val="center"/>
            <w:hideMark/>
          </w:tcPr>
          <w:p w14:paraId="1A0E7043" w14:textId="77777777" w:rsidR="007126B7" w:rsidRPr="007126B7" w:rsidRDefault="007126B7" w:rsidP="007126B7">
            <w:pPr>
              <w:spacing w:line="240" w:lineRule="auto"/>
              <w:jc w:val="right"/>
              <w:rPr>
                <w:rFonts w:eastAsia="Times New Roman" w:cs="Calibri"/>
                <w:b/>
                <w:bCs/>
                <w:i/>
                <w:iCs/>
              </w:rPr>
            </w:pPr>
            <w:r w:rsidRPr="007126B7">
              <w:rPr>
                <w:rFonts w:eastAsia="Times New Roman" w:cs="Calibri"/>
                <w:b/>
                <w:bCs/>
                <w:i/>
                <w:iCs/>
              </w:rPr>
              <w:t>Total</w:t>
            </w:r>
          </w:p>
        </w:tc>
      </w:tr>
      <w:tr w:rsidR="007126B7" w:rsidRPr="007126B7" w14:paraId="6EF8EC8E" w14:textId="77777777" w:rsidTr="00C53D38">
        <w:trPr>
          <w:trHeight w:val="430"/>
        </w:trPr>
        <w:tc>
          <w:tcPr>
            <w:tcW w:w="974" w:type="dxa"/>
            <w:tcBorders>
              <w:top w:val="nil"/>
              <w:left w:val="single" w:sz="12" w:space="0" w:color="FFD966"/>
              <w:bottom w:val="single" w:sz="12" w:space="0" w:color="FFD966"/>
              <w:right w:val="single" w:sz="8" w:space="0" w:color="FFD966"/>
            </w:tcBorders>
            <w:shd w:val="clear" w:color="auto" w:fill="auto"/>
            <w:noWrap/>
            <w:vAlign w:val="center"/>
            <w:hideMark/>
          </w:tcPr>
          <w:p w14:paraId="035CDBC1" w14:textId="77777777" w:rsidR="007126B7" w:rsidRPr="007126B7" w:rsidRDefault="007126B7" w:rsidP="007126B7">
            <w:pPr>
              <w:spacing w:line="240" w:lineRule="auto"/>
              <w:rPr>
                <w:rFonts w:eastAsia="Times New Roman" w:cs="Calibri"/>
                <w:b/>
                <w:bCs/>
                <w:i/>
                <w:iCs/>
                <w:color w:val="000000"/>
              </w:rPr>
            </w:pPr>
            <w:r w:rsidRPr="007126B7">
              <w:rPr>
                <w:rFonts w:eastAsia="Times New Roman" w:cs="Calibri"/>
                <w:b/>
                <w:bCs/>
                <w:i/>
                <w:iCs/>
                <w:color w:val="000000"/>
              </w:rPr>
              <w:t>Amount</w:t>
            </w:r>
          </w:p>
        </w:tc>
        <w:tc>
          <w:tcPr>
            <w:tcW w:w="1190" w:type="dxa"/>
            <w:tcBorders>
              <w:top w:val="nil"/>
              <w:left w:val="nil"/>
              <w:bottom w:val="single" w:sz="12" w:space="0" w:color="FFD966"/>
              <w:right w:val="single" w:sz="8" w:space="0" w:color="FFD966"/>
            </w:tcBorders>
            <w:shd w:val="clear" w:color="auto" w:fill="auto"/>
            <w:noWrap/>
            <w:vAlign w:val="center"/>
            <w:hideMark/>
          </w:tcPr>
          <w:p w14:paraId="1C672334"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$4,590,000 </w:t>
            </w:r>
          </w:p>
        </w:tc>
        <w:tc>
          <w:tcPr>
            <w:tcW w:w="1189" w:type="dxa"/>
            <w:tcBorders>
              <w:top w:val="nil"/>
              <w:left w:val="nil"/>
              <w:bottom w:val="single" w:sz="12" w:space="0" w:color="FFD966"/>
              <w:right w:val="single" w:sz="8" w:space="0" w:color="FFD966"/>
            </w:tcBorders>
            <w:shd w:val="clear" w:color="auto" w:fill="auto"/>
            <w:noWrap/>
            <w:vAlign w:val="center"/>
            <w:hideMark/>
          </w:tcPr>
          <w:p w14:paraId="3BBE3C2F"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$4,691,000 </w:t>
            </w:r>
          </w:p>
        </w:tc>
        <w:tc>
          <w:tcPr>
            <w:tcW w:w="1189" w:type="dxa"/>
            <w:tcBorders>
              <w:top w:val="nil"/>
              <w:left w:val="nil"/>
              <w:bottom w:val="single" w:sz="12" w:space="0" w:color="FFD966"/>
              <w:right w:val="single" w:sz="8" w:space="0" w:color="FFD966"/>
            </w:tcBorders>
            <w:shd w:val="clear" w:color="auto" w:fill="auto"/>
            <w:noWrap/>
            <w:vAlign w:val="center"/>
            <w:hideMark/>
          </w:tcPr>
          <w:p w14:paraId="0C17BD0E"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$4,794,000 </w:t>
            </w:r>
          </w:p>
        </w:tc>
        <w:tc>
          <w:tcPr>
            <w:tcW w:w="1189" w:type="dxa"/>
            <w:tcBorders>
              <w:top w:val="nil"/>
              <w:left w:val="nil"/>
              <w:bottom w:val="single" w:sz="12" w:space="0" w:color="FFD966"/>
              <w:right w:val="single" w:sz="8" w:space="0" w:color="FFD966"/>
            </w:tcBorders>
            <w:shd w:val="clear" w:color="auto" w:fill="auto"/>
            <w:noWrap/>
            <w:vAlign w:val="center"/>
            <w:hideMark/>
          </w:tcPr>
          <w:p w14:paraId="05BC7DBC"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$4,900,000 </w:t>
            </w:r>
          </w:p>
        </w:tc>
        <w:tc>
          <w:tcPr>
            <w:tcW w:w="1189" w:type="dxa"/>
            <w:tcBorders>
              <w:top w:val="nil"/>
              <w:left w:val="nil"/>
              <w:bottom w:val="single" w:sz="12" w:space="0" w:color="FFD966"/>
              <w:right w:val="single" w:sz="8" w:space="0" w:color="FFD966"/>
            </w:tcBorders>
            <w:shd w:val="clear" w:color="auto" w:fill="auto"/>
            <w:noWrap/>
            <w:vAlign w:val="center"/>
            <w:hideMark/>
          </w:tcPr>
          <w:p w14:paraId="2B3038E4"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$5,007,000 </w:t>
            </w:r>
          </w:p>
        </w:tc>
        <w:tc>
          <w:tcPr>
            <w:tcW w:w="1189" w:type="dxa"/>
            <w:tcBorders>
              <w:top w:val="nil"/>
              <w:left w:val="nil"/>
              <w:bottom w:val="single" w:sz="12" w:space="0" w:color="FFD966"/>
              <w:right w:val="single" w:sz="8" w:space="0" w:color="FFD966"/>
            </w:tcBorders>
            <w:shd w:val="clear" w:color="auto" w:fill="auto"/>
            <w:noWrap/>
            <w:vAlign w:val="center"/>
            <w:hideMark/>
          </w:tcPr>
          <w:p w14:paraId="74034104"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$5,118,000 </w:t>
            </w:r>
          </w:p>
        </w:tc>
        <w:tc>
          <w:tcPr>
            <w:tcW w:w="1431" w:type="dxa"/>
            <w:tcBorders>
              <w:top w:val="nil"/>
              <w:left w:val="nil"/>
              <w:bottom w:val="single" w:sz="12" w:space="0" w:color="FFD966"/>
              <w:right w:val="single" w:sz="12" w:space="0" w:color="FFD966"/>
            </w:tcBorders>
            <w:shd w:val="clear" w:color="auto" w:fill="auto"/>
            <w:noWrap/>
            <w:vAlign w:val="center"/>
            <w:hideMark/>
          </w:tcPr>
          <w:p w14:paraId="3BE22D84" w14:textId="77777777" w:rsidR="007126B7" w:rsidRPr="007126B7" w:rsidRDefault="007126B7" w:rsidP="007126B7">
            <w:pPr>
              <w:spacing w:line="240" w:lineRule="auto"/>
              <w:jc w:val="right"/>
              <w:rPr>
                <w:rFonts w:eastAsia="Times New Roman" w:cs="Calibri"/>
                <w:b/>
                <w:bCs/>
                <w:color w:val="000000"/>
              </w:rPr>
            </w:pPr>
            <w:r w:rsidRPr="007126B7">
              <w:rPr>
                <w:rFonts w:eastAsia="Times New Roman" w:cs="Calibri"/>
                <w:b/>
                <w:bCs/>
                <w:color w:val="000000"/>
              </w:rPr>
              <w:t xml:space="preserve">$29,100,000 </w:t>
            </w:r>
          </w:p>
        </w:tc>
      </w:tr>
    </w:tbl>
    <w:p w14:paraId="59130C54" w14:textId="77777777" w:rsidR="00D90375" w:rsidRPr="00D03F1F" w:rsidRDefault="00D90375" w:rsidP="005F3393">
      <w:pPr>
        <w:contextualSpacing/>
        <w:rPr>
          <w:rFonts w:cs="Calibri"/>
        </w:rPr>
      </w:pPr>
    </w:p>
    <w:p w14:paraId="6CB144EF" w14:textId="3C3B98B3" w:rsidR="00D90375" w:rsidRDefault="00FB155B" w:rsidP="005F3393">
      <w:pPr>
        <w:contextualSpacing/>
        <w:rPr>
          <w:rFonts w:cs="Calibri"/>
        </w:rPr>
      </w:pPr>
      <w:r w:rsidRPr="00D03F1F">
        <w:rPr>
          <w:rFonts w:cs="Calibri"/>
          <w:i/>
        </w:rPr>
        <w:t>Best Starts</w:t>
      </w:r>
      <w:r w:rsidR="00D90375" w:rsidRPr="00D03F1F">
        <w:rPr>
          <w:rFonts w:cs="Calibri"/>
        </w:rPr>
        <w:t xml:space="preserve"> </w:t>
      </w:r>
      <w:r w:rsidR="00682274">
        <w:rPr>
          <w:rFonts w:cs="Calibri"/>
        </w:rPr>
        <w:t>evaluation investments</w:t>
      </w:r>
      <w:r w:rsidR="00D90375" w:rsidRPr="00D03F1F">
        <w:rPr>
          <w:rFonts w:cs="Calibri"/>
        </w:rPr>
        <w:t xml:space="preserve"> </w:t>
      </w:r>
      <w:r w:rsidR="0008128B">
        <w:rPr>
          <w:rFonts w:cs="Calibri"/>
        </w:rPr>
        <w:t>funds</w:t>
      </w:r>
      <w:r w:rsidR="00D90375" w:rsidRPr="00D03F1F">
        <w:rPr>
          <w:rFonts w:cs="Calibri"/>
        </w:rPr>
        <w:t xml:space="preserve"> </w:t>
      </w:r>
      <w:r w:rsidR="0083547E">
        <w:rPr>
          <w:rFonts w:cs="Calibri"/>
        </w:rPr>
        <w:t xml:space="preserve">a team of </w:t>
      </w:r>
      <w:r w:rsidR="0083547E">
        <w:rPr>
          <w:rFonts w:eastAsia="Times New Roman"/>
        </w:rPr>
        <w:t>highly technical</w:t>
      </w:r>
      <w:r w:rsidR="5B22F5E4">
        <w:rPr>
          <w:rFonts w:eastAsia="Times New Roman"/>
        </w:rPr>
        <w:t xml:space="preserve"> and </w:t>
      </w:r>
      <w:r w:rsidR="0083547E">
        <w:rPr>
          <w:rFonts w:eastAsia="Times New Roman"/>
        </w:rPr>
        <w:t>skilled staff</w:t>
      </w:r>
      <w:r w:rsidR="0083547E" w:rsidRPr="00D03F1F">
        <w:rPr>
          <w:rFonts w:cs="Calibri"/>
        </w:rPr>
        <w:t xml:space="preserve">, </w:t>
      </w:r>
      <w:r w:rsidR="0083547E">
        <w:rPr>
          <w:rFonts w:eastAsia="Times New Roman"/>
        </w:rPr>
        <w:t>the development and maintenance of robust</w:t>
      </w:r>
      <w:r w:rsidR="00D90375">
        <w:rPr>
          <w:rFonts w:eastAsia="Times New Roman"/>
        </w:rPr>
        <w:t xml:space="preserve"> data </w:t>
      </w:r>
      <w:r w:rsidR="0083547E">
        <w:rPr>
          <w:rFonts w:eastAsia="Times New Roman"/>
        </w:rPr>
        <w:t>systems</w:t>
      </w:r>
      <w:r w:rsidR="0083547E" w:rsidRPr="00D03F1F">
        <w:rPr>
          <w:rFonts w:cs="Calibri"/>
        </w:rPr>
        <w:t>,</w:t>
      </w:r>
      <w:r w:rsidR="00D90375" w:rsidRPr="00D03F1F">
        <w:rPr>
          <w:rFonts w:cs="Calibri"/>
        </w:rPr>
        <w:t xml:space="preserve"> and </w:t>
      </w:r>
      <w:r w:rsidR="0083547E">
        <w:rPr>
          <w:rFonts w:eastAsia="Times New Roman"/>
        </w:rPr>
        <w:t xml:space="preserve">partnerships with external evaluators with deep expertise. With this investment, </w:t>
      </w:r>
      <w:r w:rsidR="0083547E">
        <w:rPr>
          <w:rFonts w:eastAsia="Times New Roman"/>
          <w:i/>
          <w:iCs/>
        </w:rPr>
        <w:t>Best Starts</w:t>
      </w:r>
      <w:r w:rsidR="0083547E">
        <w:rPr>
          <w:rFonts w:eastAsia="Times New Roman"/>
        </w:rPr>
        <w:t xml:space="preserve"> will continue to develop insight that enables providers, communities</w:t>
      </w:r>
      <w:r w:rsidR="00487E74">
        <w:rPr>
          <w:rFonts w:eastAsia="Times New Roman"/>
        </w:rPr>
        <w:t>,</w:t>
      </w:r>
      <w:r w:rsidR="0083547E">
        <w:rPr>
          <w:rFonts w:eastAsia="Times New Roman"/>
        </w:rPr>
        <w:t xml:space="preserve"> and policymakers to make more data-informed decisions and engage in continuous quality improvement</w:t>
      </w:r>
      <w:r w:rsidR="00D90375" w:rsidRPr="00D03F1F">
        <w:rPr>
          <w:rFonts w:cs="Calibri"/>
        </w:rPr>
        <w:t xml:space="preserve">. This includes </w:t>
      </w:r>
      <w:r w:rsidR="00DE45E8">
        <w:rPr>
          <w:rFonts w:cs="Calibri"/>
        </w:rPr>
        <w:t xml:space="preserve">data </w:t>
      </w:r>
      <w:r w:rsidR="00DE27AB">
        <w:rPr>
          <w:rFonts w:cs="Calibri"/>
        </w:rPr>
        <w:t>collection and reporting assistance for providers</w:t>
      </w:r>
      <w:r w:rsidR="00D90375" w:rsidRPr="00D03F1F">
        <w:rPr>
          <w:rFonts w:cs="Calibri"/>
        </w:rPr>
        <w:t xml:space="preserve"> to increase the capacity of community-based organizations to </w:t>
      </w:r>
      <w:r w:rsidR="18840474" w:rsidRPr="5605244A">
        <w:rPr>
          <w:rFonts w:cs="Calibri"/>
        </w:rPr>
        <w:t xml:space="preserve">collect data, conduct evaluation and </w:t>
      </w:r>
      <w:r w:rsidR="00D90375" w:rsidRPr="00D03F1F">
        <w:rPr>
          <w:rFonts w:cs="Calibri"/>
        </w:rPr>
        <w:t xml:space="preserve">make data-informed decisions. </w:t>
      </w:r>
    </w:p>
    <w:p w14:paraId="1270AA86" w14:textId="77777777" w:rsidR="00AF23CF" w:rsidRPr="00D03F1F" w:rsidRDefault="00AF23CF" w:rsidP="005F3393">
      <w:pPr>
        <w:contextualSpacing/>
        <w:rPr>
          <w:rFonts w:eastAsia="Arial" w:cs="Calibri"/>
        </w:rPr>
      </w:pPr>
    </w:p>
    <w:p w14:paraId="438D0E90" w14:textId="1ED6F32E" w:rsidR="00AF23CF" w:rsidRPr="004529B6" w:rsidRDefault="00AF23CF" w:rsidP="00AF23CF">
      <w:pPr>
        <w:rPr>
          <w:b/>
          <w:bCs/>
        </w:rPr>
      </w:pPr>
      <w:r w:rsidRPr="004529B6">
        <w:rPr>
          <w:b/>
          <w:bCs/>
        </w:rPr>
        <w:t xml:space="preserve">Engagement with Key Stakeholders </w:t>
      </w:r>
    </w:p>
    <w:p w14:paraId="1269AF26" w14:textId="5B9E1496" w:rsidR="00E02CC4" w:rsidRDefault="00AF23CF" w:rsidP="00ED33FA">
      <w:pPr>
        <w:contextualSpacing/>
        <w:rPr>
          <w:b/>
          <w:bCs/>
        </w:rPr>
      </w:pPr>
      <w:r w:rsidRPr="71D2A87E">
        <w:rPr>
          <w:rFonts w:cs="Calibri"/>
          <w:i/>
          <w:iCs/>
        </w:rPr>
        <w:t>Best Starts</w:t>
      </w:r>
      <w:r w:rsidRPr="00D03F1F">
        <w:rPr>
          <w:rFonts w:cs="Calibri"/>
        </w:rPr>
        <w:t xml:space="preserve"> </w:t>
      </w:r>
      <w:r w:rsidRPr="71D2A87E">
        <w:rPr>
          <w:rFonts w:cs="Calibri"/>
        </w:rPr>
        <w:t xml:space="preserve">data and evaluation </w:t>
      </w:r>
      <w:r w:rsidRPr="00D03F1F">
        <w:rPr>
          <w:rFonts w:cs="Calibri"/>
        </w:rPr>
        <w:t xml:space="preserve">staff </w:t>
      </w:r>
      <w:r>
        <w:rPr>
          <w:rFonts w:cs="Calibri"/>
        </w:rPr>
        <w:t>work closely with an E</w:t>
      </w:r>
      <w:r w:rsidRPr="00D03F1F">
        <w:rPr>
          <w:rFonts w:cs="Calibri"/>
        </w:rPr>
        <w:t xml:space="preserve">valuation </w:t>
      </w:r>
      <w:r>
        <w:rPr>
          <w:rFonts w:cs="Calibri"/>
        </w:rPr>
        <w:t>A</w:t>
      </w:r>
      <w:r w:rsidRPr="00D03F1F">
        <w:rPr>
          <w:rFonts w:cs="Calibri"/>
        </w:rPr>
        <w:t xml:space="preserve">dvisory </w:t>
      </w:r>
      <w:r>
        <w:rPr>
          <w:rFonts w:cs="Calibri"/>
        </w:rPr>
        <w:t>G</w:t>
      </w:r>
      <w:r w:rsidRPr="00D03F1F">
        <w:rPr>
          <w:rFonts w:cs="Calibri"/>
        </w:rPr>
        <w:t>roup, comprise</w:t>
      </w:r>
      <w:r>
        <w:rPr>
          <w:rFonts w:cs="Calibri"/>
        </w:rPr>
        <w:t xml:space="preserve">d of </w:t>
      </w:r>
      <w:r w:rsidRPr="00D03F1F">
        <w:rPr>
          <w:rFonts w:cs="Calibri"/>
        </w:rPr>
        <w:t>Children and Youth Advisory Board</w:t>
      </w:r>
      <w:r>
        <w:rPr>
          <w:rFonts w:cs="Calibri"/>
        </w:rPr>
        <w:t xml:space="preserve"> members </w:t>
      </w:r>
      <w:r w:rsidRPr="00D03F1F">
        <w:rPr>
          <w:rFonts w:cs="Calibri"/>
        </w:rPr>
        <w:t xml:space="preserve">and </w:t>
      </w:r>
      <w:r w:rsidRPr="71D2A87E">
        <w:rPr>
          <w:rFonts w:cs="Calibri"/>
          <w:i/>
          <w:iCs/>
        </w:rPr>
        <w:t>Best Starts</w:t>
      </w:r>
      <w:r w:rsidRPr="00D03F1F">
        <w:rPr>
          <w:rFonts w:cs="Calibri"/>
        </w:rPr>
        <w:t xml:space="preserve"> partners and stakeholders. COO evaluation activities </w:t>
      </w:r>
      <w:r w:rsidR="00C275D3">
        <w:rPr>
          <w:rFonts w:cs="Calibri"/>
        </w:rPr>
        <w:t xml:space="preserve">have and </w:t>
      </w:r>
      <w:r w:rsidRPr="00D03F1F">
        <w:rPr>
          <w:rFonts w:cs="Calibri"/>
        </w:rPr>
        <w:t xml:space="preserve">will </w:t>
      </w:r>
      <w:r w:rsidR="00C275D3">
        <w:rPr>
          <w:rFonts w:cs="Calibri"/>
        </w:rPr>
        <w:t>continue to</w:t>
      </w:r>
      <w:r w:rsidRPr="00D03F1F">
        <w:rPr>
          <w:rFonts w:cs="Calibri"/>
        </w:rPr>
        <w:t xml:space="preserve"> be guided by the </w:t>
      </w:r>
      <w:r w:rsidR="00CA7458">
        <w:rPr>
          <w:rFonts w:cs="Calibri"/>
        </w:rPr>
        <w:t>exis</w:t>
      </w:r>
      <w:r w:rsidR="00CF0532">
        <w:rPr>
          <w:rFonts w:cs="Calibri"/>
        </w:rPr>
        <w:t>ting</w:t>
      </w:r>
      <w:r w:rsidRPr="00D03F1F">
        <w:rPr>
          <w:rFonts w:cs="Calibri"/>
        </w:rPr>
        <w:t xml:space="preserve"> COO Evaluation Advisory Group. </w:t>
      </w:r>
      <w:r>
        <w:rPr>
          <w:rFonts w:cs="Calibri"/>
        </w:rPr>
        <w:t xml:space="preserve">Community engagement </w:t>
      </w:r>
      <w:r w:rsidR="000A349D">
        <w:rPr>
          <w:rFonts w:cs="Calibri"/>
        </w:rPr>
        <w:t>to inform</w:t>
      </w:r>
      <w:r w:rsidR="005A02A7">
        <w:rPr>
          <w:rFonts w:cs="Calibri"/>
        </w:rPr>
        <w:t xml:space="preserve"> the </w:t>
      </w:r>
      <w:r w:rsidR="001525C7">
        <w:rPr>
          <w:rFonts w:cs="Calibri"/>
        </w:rPr>
        <w:t xml:space="preserve">updates to the </w:t>
      </w:r>
      <w:r w:rsidR="001525C7" w:rsidRPr="00BF3646">
        <w:rPr>
          <w:rFonts w:cs="Calibri"/>
          <w:i/>
          <w:iCs/>
        </w:rPr>
        <w:t>Best Starts</w:t>
      </w:r>
      <w:r w:rsidR="001525C7">
        <w:rPr>
          <w:rFonts w:cs="Calibri"/>
        </w:rPr>
        <w:t xml:space="preserve"> evaluation </w:t>
      </w:r>
      <w:r w:rsidR="000A349D">
        <w:rPr>
          <w:rFonts w:cs="Calibri"/>
        </w:rPr>
        <w:t xml:space="preserve">framework </w:t>
      </w:r>
      <w:r>
        <w:rPr>
          <w:rFonts w:cs="Calibri"/>
        </w:rPr>
        <w:t xml:space="preserve">highlighted </w:t>
      </w:r>
      <w:r w:rsidR="009F1867">
        <w:rPr>
          <w:rFonts w:cs="Calibri"/>
        </w:rPr>
        <w:t xml:space="preserve">the </w:t>
      </w:r>
      <w:r w:rsidR="009E16F5">
        <w:rPr>
          <w:rFonts w:cs="Calibri"/>
        </w:rPr>
        <w:t>approach’s</w:t>
      </w:r>
      <w:r w:rsidR="001525C7">
        <w:rPr>
          <w:rFonts w:cs="Calibri"/>
        </w:rPr>
        <w:t xml:space="preserve"> </w:t>
      </w:r>
      <w:r>
        <w:rPr>
          <w:rFonts w:cs="Calibri"/>
        </w:rPr>
        <w:t>many strengths.</w:t>
      </w:r>
      <w:r w:rsidR="00317EF7">
        <w:rPr>
          <w:rStyle w:val="FootnoteReference"/>
          <w:rFonts w:cs="Calibri"/>
        </w:rPr>
        <w:footnoteReference w:id="222"/>
      </w:r>
      <w:r>
        <w:rPr>
          <w:rFonts w:cs="Calibri"/>
        </w:rPr>
        <w:t xml:space="preserve"> </w:t>
      </w:r>
      <w:r>
        <w:rPr>
          <w:rFonts w:cs="Calibri"/>
          <w:i/>
          <w:iCs/>
        </w:rPr>
        <w:t xml:space="preserve">Best Starts </w:t>
      </w:r>
      <w:r>
        <w:rPr>
          <w:rFonts w:cs="Calibri"/>
        </w:rPr>
        <w:t xml:space="preserve">staff intend to refine the approaches in areas requested by communities: expanding </w:t>
      </w:r>
      <w:r w:rsidR="1E8006DE">
        <w:rPr>
          <w:rFonts w:cs="Calibri"/>
        </w:rPr>
        <w:t xml:space="preserve">data and evaluation </w:t>
      </w:r>
      <w:r>
        <w:rPr>
          <w:rFonts w:cs="Calibri"/>
        </w:rPr>
        <w:t>partnerships, especially between community partners and school districts; expanding technical assistance and capacity building supports for data collection, reporting, and evaluation; improving communication</w:t>
      </w:r>
      <w:r w:rsidR="19BF4DE0">
        <w:rPr>
          <w:rFonts w:cs="Calibri"/>
        </w:rPr>
        <w:t xml:space="preserve"> </w:t>
      </w:r>
      <w:r w:rsidR="53532698">
        <w:rPr>
          <w:rFonts w:cs="Calibri"/>
        </w:rPr>
        <w:t xml:space="preserve">of </w:t>
      </w:r>
      <w:r w:rsidR="53532698" w:rsidRPr="7459ED3C">
        <w:rPr>
          <w:rFonts w:cs="Calibri"/>
          <w:i/>
          <w:iCs/>
        </w:rPr>
        <w:t xml:space="preserve">Best Starts </w:t>
      </w:r>
      <w:r w:rsidR="53532698" w:rsidRPr="005E4226">
        <w:rPr>
          <w:rFonts w:cs="Calibri"/>
        </w:rPr>
        <w:t>data and</w:t>
      </w:r>
      <w:r w:rsidR="53532698" w:rsidRPr="7459ED3C">
        <w:rPr>
          <w:rFonts w:cs="Calibri"/>
        </w:rPr>
        <w:t xml:space="preserve"> evaluation findings and impacts</w:t>
      </w:r>
      <w:r w:rsidR="001525C7">
        <w:rPr>
          <w:rFonts w:cs="Calibri"/>
        </w:rPr>
        <w:t>;</w:t>
      </w:r>
      <w:r>
        <w:rPr>
          <w:rFonts w:cs="Calibri"/>
        </w:rPr>
        <w:t xml:space="preserve"> and streamlining reporting across strategies.</w:t>
      </w:r>
      <w:r w:rsidR="00E02CC4">
        <w:rPr>
          <w:b/>
          <w:bCs/>
        </w:rPr>
        <w:br w:type="page"/>
      </w:r>
    </w:p>
    <w:p w14:paraId="2932DD55" w14:textId="6B442AF1" w:rsidR="00D90375" w:rsidRPr="00BF6A09" w:rsidRDefault="00D90375" w:rsidP="00BF6A09">
      <w:pPr>
        <w:rPr>
          <w:b/>
          <w:bCs/>
        </w:rPr>
      </w:pPr>
      <w:r w:rsidRPr="00BF6A09">
        <w:rPr>
          <w:b/>
          <w:bCs/>
        </w:rPr>
        <w:lastRenderedPageBreak/>
        <w:t>Evaluation Principles and Continued Commitment to Equitable Evaluation</w:t>
      </w:r>
    </w:p>
    <w:p w14:paraId="711F21E6" w14:textId="41B872A7" w:rsidR="00451E3B" w:rsidRDefault="00323CAD" w:rsidP="003269BC">
      <w:pPr>
        <w:contextualSpacing/>
        <w:rPr>
          <w:rFonts w:cs="Calibri"/>
        </w:rPr>
      </w:pPr>
      <w:r>
        <w:rPr>
          <w:rFonts w:cs="Calibri"/>
        </w:rPr>
        <w:t xml:space="preserve">The </w:t>
      </w:r>
      <w:r w:rsidR="005A2906">
        <w:rPr>
          <w:rFonts w:cs="Calibri"/>
          <w:i/>
          <w:iCs/>
        </w:rPr>
        <w:t xml:space="preserve">Best Starts </w:t>
      </w:r>
      <w:r>
        <w:rPr>
          <w:rFonts w:cs="Calibri"/>
        </w:rPr>
        <w:t xml:space="preserve">evaluation </w:t>
      </w:r>
      <w:r w:rsidR="00841A19">
        <w:rPr>
          <w:rFonts w:cs="Calibri"/>
        </w:rPr>
        <w:t xml:space="preserve">approach </w:t>
      </w:r>
      <w:r w:rsidR="00E94929">
        <w:rPr>
          <w:rFonts w:cs="Calibri"/>
        </w:rPr>
        <w:t>to date has</w:t>
      </w:r>
      <w:r w:rsidR="003E2409">
        <w:rPr>
          <w:rFonts w:cs="Calibri"/>
        </w:rPr>
        <w:t xml:space="preserve"> center</w:t>
      </w:r>
      <w:r w:rsidR="00E94929">
        <w:rPr>
          <w:rFonts w:cs="Calibri"/>
        </w:rPr>
        <w:t>ed</w:t>
      </w:r>
      <w:r w:rsidR="003E2409">
        <w:rPr>
          <w:rFonts w:cs="Calibri"/>
        </w:rPr>
        <w:t xml:space="preserve"> equity </w:t>
      </w:r>
      <w:r w:rsidR="000B5A27">
        <w:rPr>
          <w:rFonts w:cs="Calibri"/>
        </w:rPr>
        <w:t>throughout</w:t>
      </w:r>
      <w:r w:rsidR="003E2409">
        <w:rPr>
          <w:rFonts w:cs="Calibri"/>
        </w:rPr>
        <w:t xml:space="preserve"> the </w:t>
      </w:r>
      <w:r w:rsidR="00331FE3">
        <w:rPr>
          <w:rFonts w:cs="Calibri"/>
        </w:rPr>
        <w:t>process</w:t>
      </w:r>
      <w:r w:rsidR="00711CAC">
        <w:rPr>
          <w:rFonts w:cs="Calibri"/>
        </w:rPr>
        <w:t>, guided by</w:t>
      </w:r>
      <w:r w:rsidR="00727FC7">
        <w:rPr>
          <w:rFonts w:cs="Calibri"/>
        </w:rPr>
        <w:t xml:space="preserve"> the </w:t>
      </w:r>
      <w:r w:rsidR="00F27791" w:rsidRPr="00D03F1F">
        <w:rPr>
          <w:rFonts w:cs="Calibri"/>
        </w:rPr>
        <w:t>CYAB</w:t>
      </w:r>
      <w:r w:rsidR="00081751">
        <w:rPr>
          <w:rFonts w:cs="Calibri"/>
        </w:rPr>
        <w:t xml:space="preserve"> </w:t>
      </w:r>
      <w:r w:rsidR="00727FC7">
        <w:rPr>
          <w:rFonts w:cs="Calibri"/>
        </w:rPr>
        <w:t>equity statement</w:t>
      </w:r>
      <w:r w:rsidR="00C23946">
        <w:rPr>
          <w:rFonts w:cs="Calibri"/>
        </w:rPr>
        <w:t>,</w:t>
      </w:r>
      <w:r w:rsidR="0032354A">
        <w:rPr>
          <w:rStyle w:val="FootnoteReference"/>
          <w:rFonts w:cs="Calibri"/>
        </w:rPr>
        <w:footnoteReference w:id="223"/>
      </w:r>
      <w:r w:rsidR="00C23946">
        <w:rPr>
          <w:rFonts w:cs="Calibri"/>
        </w:rPr>
        <w:t xml:space="preserve"> the COO </w:t>
      </w:r>
      <w:r w:rsidR="00BC301D">
        <w:rPr>
          <w:rFonts w:cs="Calibri"/>
        </w:rPr>
        <w:t>grounding principles,</w:t>
      </w:r>
      <w:r w:rsidR="004F7CFE">
        <w:rPr>
          <w:rStyle w:val="FootnoteReference"/>
          <w:rFonts w:cs="Calibri"/>
        </w:rPr>
        <w:footnoteReference w:id="224"/>
      </w:r>
      <w:r w:rsidR="00727FC7">
        <w:rPr>
          <w:rFonts w:cs="Calibri"/>
        </w:rPr>
        <w:t xml:space="preserve"> and </w:t>
      </w:r>
      <w:r w:rsidR="00F7411B" w:rsidRPr="00D03F1F">
        <w:rPr>
          <w:rFonts w:cs="Calibri"/>
        </w:rPr>
        <w:t>principles from the American Evaluation Association</w:t>
      </w:r>
      <w:r w:rsidR="00B240FE">
        <w:rPr>
          <w:rFonts w:cs="Calibri"/>
        </w:rPr>
        <w:t>.</w:t>
      </w:r>
      <w:r w:rsidR="00F7411B" w:rsidRPr="00D03F1F">
        <w:rPr>
          <w:rStyle w:val="FootnoteReference"/>
          <w:rFonts w:cs="Calibri"/>
        </w:rPr>
        <w:footnoteReference w:id="225"/>
      </w:r>
      <w:r w:rsidR="00331FE3">
        <w:rPr>
          <w:rFonts w:cs="Calibri"/>
        </w:rPr>
        <w:t xml:space="preserve"> </w:t>
      </w:r>
      <w:r w:rsidR="00813DE8">
        <w:rPr>
          <w:rFonts w:cs="Calibri"/>
        </w:rPr>
        <w:t xml:space="preserve">Evaluators </w:t>
      </w:r>
      <w:r w:rsidR="006E00CD">
        <w:rPr>
          <w:rFonts w:cs="Calibri"/>
        </w:rPr>
        <w:t>collaborate</w:t>
      </w:r>
      <w:r w:rsidR="003125FC">
        <w:rPr>
          <w:rFonts w:cs="Calibri"/>
        </w:rPr>
        <w:t>d</w:t>
      </w:r>
      <w:r>
        <w:rPr>
          <w:rFonts w:cs="Calibri"/>
        </w:rPr>
        <w:t xml:space="preserve"> </w:t>
      </w:r>
      <w:r w:rsidR="003269BC" w:rsidRPr="00D03F1F">
        <w:rPr>
          <w:rFonts w:cs="Calibri"/>
        </w:rPr>
        <w:t xml:space="preserve">with funded partners to develop </w:t>
      </w:r>
      <w:r w:rsidR="00066694">
        <w:rPr>
          <w:rFonts w:cs="Calibri"/>
        </w:rPr>
        <w:t>strategy- or program-specific</w:t>
      </w:r>
      <w:r w:rsidR="003269BC" w:rsidRPr="00D03F1F">
        <w:rPr>
          <w:rFonts w:cs="Calibri"/>
        </w:rPr>
        <w:t xml:space="preserve"> evaluation plans</w:t>
      </w:r>
      <w:r w:rsidR="00081751">
        <w:rPr>
          <w:rFonts w:cs="Calibri"/>
        </w:rPr>
        <w:t xml:space="preserve"> and </w:t>
      </w:r>
      <w:r w:rsidR="00F11A39">
        <w:rPr>
          <w:rFonts w:cs="Calibri"/>
        </w:rPr>
        <w:t>reflect on</w:t>
      </w:r>
      <w:r w:rsidR="003269BC" w:rsidRPr="00D03F1F">
        <w:rPr>
          <w:rFonts w:cs="Calibri"/>
        </w:rPr>
        <w:t xml:space="preserve"> measures of their work</w:t>
      </w:r>
      <w:r w:rsidR="00081751">
        <w:rPr>
          <w:rFonts w:cs="Calibri"/>
        </w:rPr>
        <w:t xml:space="preserve">. </w:t>
      </w:r>
      <w:r w:rsidR="00175282">
        <w:rPr>
          <w:rFonts w:cs="Calibri"/>
          <w:i/>
          <w:iCs/>
        </w:rPr>
        <w:t>Best Starts</w:t>
      </w:r>
      <w:r w:rsidR="00E85DD4">
        <w:rPr>
          <w:rFonts w:cs="Calibri"/>
        </w:rPr>
        <w:t xml:space="preserve"> </w:t>
      </w:r>
      <w:r w:rsidR="00A92ABB">
        <w:rPr>
          <w:rFonts w:cs="Calibri"/>
        </w:rPr>
        <w:t>data collection</w:t>
      </w:r>
      <w:r w:rsidR="00917FBA">
        <w:rPr>
          <w:rFonts w:cs="Calibri"/>
        </w:rPr>
        <w:t xml:space="preserve"> </w:t>
      </w:r>
      <w:r w:rsidR="003F499A">
        <w:rPr>
          <w:rFonts w:cs="Calibri"/>
        </w:rPr>
        <w:t>practices</w:t>
      </w:r>
      <w:r w:rsidR="00A92ABB">
        <w:rPr>
          <w:rFonts w:cs="Calibri"/>
        </w:rPr>
        <w:t xml:space="preserve"> prioritized</w:t>
      </w:r>
      <w:r w:rsidR="003269BC" w:rsidRPr="00D03F1F">
        <w:rPr>
          <w:rFonts w:cs="Calibri"/>
        </w:rPr>
        <w:t xml:space="preserve"> culturally relevant measurement tools, </w:t>
      </w:r>
      <w:r w:rsidR="00206E11">
        <w:rPr>
          <w:rFonts w:cs="Calibri"/>
        </w:rPr>
        <w:t>incorporated both</w:t>
      </w:r>
      <w:r w:rsidR="00D50324">
        <w:rPr>
          <w:rFonts w:cs="Calibri"/>
        </w:rPr>
        <w:t xml:space="preserve"> quantitative and qualitative data, and </w:t>
      </w:r>
      <w:r w:rsidR="003269BC" w:rsidRPr="00D03F1F">
        <w:rPr>
          <w:rFonts w:cs="Calibri"/>
        </w:rPr>
        <w:t>expand</w:t>
      </w:r>
      <w:r w:rsidR="001519E0">
        <w:rPr>
          <w:rFonts w:cs="Calibri"/>
        </w:rPr>
        <w:t>ed</w:t>
      </w:r>
      <w:r w:rsidR="003269BC" w:rsidRPr="00D03F1F">
        <w:rPr>
          <w:rFonts w:cs="Calibri"/>
        </w:rPr>
        <w:t xml:space="preserve"> demographic data collection categories such as race</w:t>
      </w:r>
      <w:r w:rsidR="001519E0">
        <w:rPr>
          <w:rFonts w:cs="Calibri"/>
        </w:rPr>
        <w:t xml:space="preserve"> to be more reflective of community</w:t>
      </w:r>
      <w:r w:rsidR="00640996">
        <w:rPr>
          <w:rFonts w:cs="Calibri"/>
        </w:rPr>
        <w:t xml:space="preserve">. </w:t>
      </w:r>
      <w:r w:rsidR="00D63E99">
        <w:rPr>
          <w:rFonts w:cs="Calibri"/>
        </w:rPr>
        <w:t xml:space="preserve">Evaluators </w:t>
      </w:r>
      <w:r w:rsidR="001519E0">
        <w:rPr>
          <w:rFonts w:cs="Calibri"/>
        </w:rPr>
        <w:t>ensured</w:t>
      </w:r>
      <w:r w:rsidR="003269BC" w:rsidRPr="00D03F1F">
        <w:rPr>
          <w:rFonts w:cs="Calibri"/>
        </w:rPr>
        <w:t xml:space="preserve"> data </w:t>
      </w:r>
      <w:r w:rsidR="00D63E99">
        <w:rPr>
          <w:rFonts w:cs="Calibri"/>
        </w:rPr>
        <w:t xml:space="preserve">were </w:t>
      </w:r>
      <w:r w:rsidR="00B84214">
        <w:rPr>
          <w:rFonts w:cs="Calibri"/>
        </w:rPr>
        <w:t>shared back with</w:t>
      </w:r>
      <w:r w:rsidR="003269BC" w:rsidRPr="00D03F1F">
        <w:rPr>
          <w:rFonts w:cs="Calibri"/>
        </w:rPr>
        <w:t xml:space="preserve"> community </w:t>
      </w:r>
      <w:r w:rsidR="002E543E">
        <w:rPr>
          <w:rFonts w:cs="Calibri"/>
        </w:rPr>
        <w:t xml:space="preserve">for </w:t>
      </w:r>
      <w:r w:rsidR="001D2265">
        <w:rPr>
          <w:rFonts w:cs="Calibri"/>
        </w:rPr>
        <w:t>context and reflection</w:t>
      </w:r>
      <w:r w:rsidR="003269BC" w:rsidRPr="00D03F1F">
        <w:rPr>
          <w:rFonts w:cs="Calibri"/>
        </w:rPr>
        <w:t xml:space="preserve">. </w:t>
      </w:r>
    </w:p>
    <w:p w14:paraId="6A3FEBB5" w14:textId="77777777" w:rsidR="00E01500" w:rsidRDefault="00E01500" w:rsidP="00F27791">
      <w:pPr>
        <w:contextualSpacing/>
        <w:rPr>
          <w:rFonts w:cs="Calibri"/>
          <w:i/>
          <w:iCs/>
        </w:rPr>
      </w:pPr>
    </w:p>
    <w:p w14:paraId="2138C015" w14:textId="01BE75F9" w:rsidR="00723501" w:rsidRDefault="003269BC" w:rsidP="00F27791">
      <w:pPr>
        <w:contextualSpacing/>
        <w:rPr>
          <w:rFonts w:cs="Calibri"/>
        </w:rPr>
      </w:pPr>
      <w:r w:rsidRPr="71D2A87E">
        <w:rPr>
          <w:rFonts w:cs="Calibri"/>
          <w:i/>
          <w:iCs/>
        </w:rPr>
        <w:t>Best Starts</w:t>
      </w:r>
      <w:r w:rsidRPr="00D03F1F">
        <w:rPr>
          <w:rFonts w:cs="Calibri"/>
        </w:rPr>
        <w:t xml:space="preserve"> intends to continue </w:t>
      </w:r>
      <w:r w:rsidR="00902CB3">
        <w:rPr>
          <w:rFonts w:cs="Calibri"/>
        </w:rPr>
        <w:t xml:space="preserve">these activities </w:t>
      </w:r>
      <w:r w:rsidRPr="00D03F1F">
        <w:rPr>
          <w:rFonts w:cs="Calibri"/>
        </w:rPr>
        <w:t xml:space="preserve">and deepen </w:t>
      </w:r>
      <w:r w:rsidR="00D63E99">
        <w:rPr>
          <w:rFonts w:cs="Calibri"/>
        </w:rPr>
        <w:t>its</w:t>
      </w:r>
      <w:r w:rsidR="00902CB3">
        <w:rPr>
          <w:rFonts w:cs="Calibri"/>
        </w:rPr>
        <w:t xml:space="preserve"> commitment to the principles of </w:t>
      </w:r>
      <w:r w:rsidR="006E3083">
        <w:rPr>
          <w:rFonts w:cs="Calibri"/>
        </w:rPr>
        <w:t xml:space="preserve">equitable evaluation and </w:t>
      </w:r>
      <w:r w:rsidR="00902CB3">
        <w:rPr>
          <w:rFonts w:cs="Calibri"/>
        </w:rPr>
        <w:t>decolonizing data</w:t>
      </w:r>
      <w:r w:rsidR="00D63E99">
        <w:rPr>
          <w:rFonts w:cs="Calibri"/>
        </w:rPr>
        <w:t>.</w:t>
      </w:r>
      <w:r w:rsidR="00F0414F" w:rsidRPr="00D03F1F">
        <w:rPr>
          <w:rStyle w:val="FootnoteReference"/>
          <w:rFonts w:cs="Calibri"/>
        </w:rPr>
        <w:footnoteReference w:id="226"/>
      </w:r>
      <w:r w:rsidR="00F0414F" w:rsidRPr="00F0414F">
        <w:rPr>
          <w:rFonts w:cs="Calibri"/>
          <w:vertAlign w:val="superscript"/>
        </w:rPr>
        <w:t>,</w:t>
      </w:r>
      <w:r w:rsidR="00F0414F">
        <w:rPr>
          <w:rFonts w:cs="Calibri"/>
          <w:vertAlign w:val="superscript"/>
        </w:rPr>
        <w:t xml:space="preserve"> </w:t>
      </w:r>
      <w:r w:rsidRPr="00D03F1F">
        <w:rPr>
          <w:rStyle w:val="FootnoteReference"/>
          <w:rFonts w:cs="Calibri"/>
        </w:rPr>
        <w:footnoteReference w:id="227"/>
      </w:r>
      <w:r w:rsidRPr="00D03F1F">
        <w:rPr>
          <w:rFonts w:cs="Calibri"/>
        </w:rPr>
        <w:t xml:space="preserve"> </w:t>
      </w:r>
      <w:r w:rsidR="004E1714">
        <w:rPr>
          <w:rFonts w:cs="Calibri"/>
        </w:rPr>
        <w:t>D</w:t>
      </w:r>
      <w:r w:rsidR="00DE1E06">
        <w:rPr>
          <w:rFonts w:cs="Calibri"/>
        </w:rPr>
        <w:t xml:space="preserve">ata, even </w:t>
      </w:r>
      <w:r w:rsidR="009F442A">
        <w:rPr>
          <w:rFonts w:cs="Calibri"/>
        </w:rPr>
        <w:t>those</w:t>
      </w:r>
      <w:r w:rsidR="00B45B1B">
        <w:rPr>
          <w:rFonts w:cs="Calibri"/>
        </w:rPr>
        <w:t xml:space="preserve"> that </w:t>
      </w:r>
      <w:r w:rsidR="004E1714">
        <w:rPr>
          <w:rFonts w:cs="Calibri"/>
        </w:rPr>
        <w:t xml:space="preserve">are </w:t>
      </w:r>
      <w:r w:rsidR="00B45B1B">
        <w:rPr>
          <w:rFonts w:cs="Calibri"/>
        </w:rPr>
        <w:t xml:space="preserve">expressed in numbers, </w:t>
      </w:r>
      <w:r w:rsidR="00D63A0D">
        <w:rPr>
          <w:rFonts w:cs="Calibri"/>
        </w:rPr>
        <w:t>define</w:t>
      </w:r>
      <w:r w:rsidR="00B45B1B">
        <w:rPr>
          <w:rFonts w:cs="Calibri"/>
        </w:rPr>
        <w:t xml:space="preserve"> a narrative </w:t>
      </w:r>
      <w:r w:rsidR="001B5F2E">
        <w:rPr>
          <w:rFonts w:cs="Calibri"/>
        </w:rPr>
        <w:t>about the community</w:t>
      </w:r>
      <w:r w:rsidR="00D63E99">
        <w:rPr>
          <w:rFonts w:cs="Calibri"/>
        </w:rPr>
        <w:t xml:space="preserve"> or communities</w:t>
      </w:r>
      <w:r w:rsidR="001B5F2E">
        <w:rPr>
          <w:rFonts w:cs="Calibri"/>
        </w:rPr>
        <w:t xml:space="preserve"> from which the data </w:t>
      </w:r>
      <w:r w:rsidR="004E1714">
        <w:rPr>
          <w:rFonts w:cs="Calibri"/>
        </w:rPr>
        <w:t xml:space="preserve">were </w:t>
      </w:r>
      <w:r w:rsidR="001B5F2E">
        <w:rPr>
          <w:rFonts w:cs="Calibri"/>
        </w:rPr>
        <w:t>collected</w:t>
      </w:r>
      <w:r w:rsidR="00D63E99">
        <w:rPr>
          <w:rFonts w:cs="Calibri"/>
        </w:rPr>
        <w:t>,</w:t>
      </w:r>
      <w:r w:rsidR="00D63A0D">
        <w:rPr>
          <w:rFonts w:cs="Calibri"/>
        </w:rPr>
        <w:t xml:space="preserve"> </w:t>
      </w:r>
      <w:r w:rsidR="00355C28">
        <w:rPr>
          <w:rFonts w:cs="Calibri"/>
        </w:rPr>
        <w:t xml:space="preserve">which is </w:t>
      </w:r>
      <w:r w:rsidR="00212DE7">
        <w:rPr>
          <w:rFonts w:cs="Calibri"/>
        </w:rPr>
        <w:t xml:space="preserve">then used </w:t>
      </w:r>
      <w:r w:rsidR="00467096">
        <w:rPr>
          <w:rFonts w:cs="Calibri"/>
        </w:rPr>
        <w:t xml:space="preserve">to </w:t>
      </w:r>
      <w:r w:rsidR="00463301">
        <w:rPr>
          <w:rFonts w:cs="Calibri"/>
        </w:rPr>
        <w:t>guide</w:t>
      </w:r>
      <w:r w:rsidR="00212DE7">
        <w:rPr>
          <w:rFonts w:cs="Calibri"/>
        </w:rPr>
        <w:t xml:space="preserve"> policy</w:t>
      </w:r>
      <w:r w:rsidR="00467096">
        <w:rPr>
          <w:rFonts w:cs="Calibri"/>
        </w:rPr>
        <w:t xml:space="preserve"> decisions</w:t>
      </w:r>
      <w:r w:rsidR="001F5E85">
        <w:rPr>
          <w:rFonts w:cs="Calibri"/>
        </w:rPr>
        <w:t xml:space="preserve"> and resource distribution</w:t>
      </w:r>
      <w:r w:rsidR="001B5F2E">
        <w:rPr>
          <w:rFonts w:cs="Calibri"/>
        </w:rPr>
        <w:t>.</w:t>
      </w:r>
    </w:p>
    <w:p w14:paraId="595D9D1B" w14:textId="77777777" w:rsidR="00723501" w:rsidRDefault="00723501" w:rsidP="00F27791">
      <w:pPr>
        <w:contextualSpacing/>
        <w:rPr>
          <w:rFonts w:cs="Calibri"/>
        </w:rPr>
      </w:pPr>
    </w:p>
    <w:p w14:paraId="580C6F14" w14:textId="30B0F123" w:rsidR="008F3C92" w:rsidRDefault="001B5F2E" w:rsidP="00F27791">
      <w:pPr>
        <w:contextualSpacing/>
        <w:rPr>
          <w:rFonts w:cs="Calibri"/>
        </w:rPr>
      </w:pPr>
      <w:r>
        <w:rPr>
          <w:rFonts w:cs="Calibri"/>
        </w:rPr>
        <w:t>Historically,</w:t>
      </w:r>
      <w:r w:rsidDel="00EC4F92">
        <w:rPr>
          <w:rFonts w:cs="Calibri"/>
        </w:rPr>
        <w:t xml:space="preserve"> </w:t>
      </w:r>
      <w:r w:rsidR="00220B7F" w:rsidRPr="00220B7F">
        <w:rPr>
          <w:rFonts w:cs="Calibri"/>
        </w:rPr>
        <w:t xml:space="preserve">data </w:t>
      </w:r>
      <w:r w:rsidR="00CA4327">
        <w:rPr>
          <w:rFonts w:cs="Calibri"/>
        </w:rPr>
        <w:t>have</w:t>
      </w:r>
      <w:r w:rsidR="00220B7F">
        <w:rPr>
          <w:rFonts w:cs="Calibri"/>
        </w:rPr>
        <w:t xml:space="preserve"> often been</w:t>
      </w:r>
      <w:r w:rsidR="00220B7F" w:rsidRPr="00220B7F">
        <w:rPr>
          <w:rFonts w:cs="Calibri"/>
        </w:rPr>
        <w:t xml:space="preserve"> collected and presented in a way that perpetuates the </w:t>
      </w:r>
      <w:r>
        <w:rPr>
          <w:rFonts w:cs="Calibri"/>
        </w:rPr>
        <w:t xml:space="preserve">narrative </w:t>
      </w:r>
      <w:r w:rsidR="00220B7F" w:rsidRPr="00220B7F">
        <w:rPr>
          <w:rFonts w:cs="Calibri"/>
        </w:rPr>
        <w:t>of poverty and need, painting a portrait of disparity and deficit</w:t>
      </w:r>
      <w:r w:rsidR="006B17BF">
        <w:rPr>
          <w:rFonts w:cs="Calibri"/>
        </w:rPr>
        <w:t>.</w:t>
      </w:r>
      <w:r w:rsidR="002A78A1">
        <w:rPr>
          <w:rStyle w:val="FootnoteReference"/>
          <w:rFonts w:cs="Calibri"/>
        </w:rPr>
        <w:footnoteReference w:id="228"/>
      </w:r>
      <w:r w:rsidR="006B17BF">
        <w:rPr>
          <w:rFonts w:cs="Calibri"/>
        </w:rPr>
        <w:t xml:space="preserve"> Instead, data should present</w:t>
      </w:r>
      <w:r>
        <w:rPr>
          <w:rFonts w:cs="Calibri"/>
        </w:rPr>
        <w:t xml:space="preserve"> </w:t>
      </w:r>
      <w:r w:rsidR="005341F6">
        <w:rPr>
          <w:rFonts w:cs="Calibri"/>
        </w:rPr>
        <w:t xml:space="preserve">a complete story which </w:t>
      </w:r>
      <w:r w:rsidR="00A30701">
        <w:rPr>
          <w:rFonts w:cs="Calibri"/>
        </w:rPr>
        <w:t xml:space="preserve">acknowledges systemic barriers and </w:t>
      </w:r>
      <w:r w:rsidR="005341F6">
        <w:rPr>
          <w:rFonts w:cs="Calibri"/>
        </w:rPr>
        <w:t xml:space="preserve">includes </w:t>
      </w:r>
      <w:r w:rsidR="00220B7F">
        <w:rPr>
          <w:rFonts w:cs="Calibri"/>
        </w:rPr>
        <w:t>strengths, resilience, and stamina</w:t>
      </w:r>
      <w:r w:rsidR="005341F6">
        <w:rPr>
          <w:rFonts w:cs="Calibri"/>
        </w:rPr>
        <w:t xml:space="preserve"> within communities</w:t>
      </w:r>
      <w:r w:rsidR="00220B7F">
        <w:rPr>
          <w:rFonts w:cs="Calibri"/>
        </w:rPr>
        <w:t>.</w:t>
      </w:r>
      <w:r>
        <w:rPr>
          <w:rFonts w:cs="Calibri"/>
        </w:rPr>
        <w:t xml:space="preserve"> </w:t>
      </w:r>
      <w:r w:rsidR="0009710A">
        <w:rPr>
          <w:rFonts w:cs="Calibri"/>
        </w:rPr>
        <w:t>Decolonizing data means re</w:t>
      </w:r>
      <w:r w:rsidR="00FA6D7D">
        <w:rPr>
          <w:rFonts w:cs="Calibri"/>
        </w:rPr>
        <w:t xml:space="preserve">cognizing the expertise </w:t>
      </w:r>
      <w:r w:rsidR="00B2101C">
        <w:rPr>
          <w:rFonts w:cs="Calibri"/>
        </w:rPr>
        <w:t xml:space="preserve">and power </w:t>
      </w:r>
      <w:r w:rsidR="00FA6D7D">
        <w:rPr>
          <w:rFonts w:cs="Calibri"/>
        </w:rPr>
        <w:t>of BIPOC communities</w:t>
      </w:r>
      <w:r w:rsidR="00DE1E06">
        <w:rPr>
          <w:rFonts w:cs="Calibri"/>
        </w:rPr>
        <w:t xml:space="preserve"> </w:t>
      </w:r>
      <w:r w:rsidR="00B2101C">
        <w:rPr>
          <w:rFonts w:cs="Calibri"/>
        </w:rPr>
        <w:t>to set their own narrative</w:t>
      </w:r>
      <w:r w:rsidR="007F2239">
        <w:rPr>
          <w:rFonts w:cs="Calibri"/>
        </w:rPr>
        <w:t xml:space="preserve">. </w:t>
      </w:r>
      <w:r w:rsidR="00F04E3C">
        <w:rPr>
          <w:rFonts w:cs="Calibri"/>
        </w:rPr>
        <w:t>F</w:t>
      </w:r>
      <w:r w:rsidR="009F304C">
        <w:rPr>
          <w:rFonts w:cs="Calibri"/>
        </w:rPr>
        <w:t>urther, it means</w:t>
      </w:r>
      <w:r w:rsidR="008F6728">
        <w:rPr>
          <w:rFonts w:cs="Calibri"/>
        </w:rPr>
        <w:t xml:space="preserve"> not erasing </w:t>
      </w:r>
      <w:r w:rsidR="0037166E">
        <w:rPr>
          <w:rFonts w:cs="Calibri"/>
        </w:rPr>
        <w:t>communities</w:t>
      </w:r>
      <w:r w:rsidR="00F15DCB">
        <w:rPr>
          <w:rFonts w:cs="Calibri"/>
        </w:rPr>
        <w:t xml:space="preserve"> that have been historically </w:t>
      </w:r>
      <w:r w:rsidR="00523290">
        <w:rPr>
          <w:rFonts w:cs="Calibri"/>
        </w:rPr>
        <w:t>labeled “</w:t>
      </w:r>
      <w:r w:rsidR="00B86305">
        <w:rPr>
          <w:rFonts w:cs="Calibri"/>
        </w:rPr>
        <w:t>statistically insignificant</w:t>
      </w:r>
      <w:r w:rsidR="00523290">
        <w:rPr>
          <w:rFonts w:cs="Calibri"/>
        </w:rPr>
        <w:t>”</w:t>
      </w:r>
      <w:r w:rsidR="00F154DF">
        <w:rPr>
          <w:rFonts w:cs="Calibri"/>
        </w:rPr>
        <w:t xml:space="preserve"> and therefore not included in data reporting,</w:t>
      </w:r>
      <w:r w:rsidR="00C6708E">
        <w:rPr>
          <w:rFonts w:cs="Calibri"/>
        </w:rPr>
        <w:t xml:space="preserve"> most often </w:t>
      </w:r>
      <w:r w:rsidR="00A0094C" w:rsidRPr="00A0094C">
        <w:rPr>
          <w:rFonts w:cs="Calibri"/>
        </w:rPr>
        <w:t>small populations (e.g. Indigenous communities, Pacific Islanders, and Asian American subgroups</w:t>
      </w:r>
      <w:r w:rsidR="00F154DF">
        <w:rPr>
          <w:rFonts w:cs="Calibri"/>
        </w:rPr>
        <w:t>)</w:t>
      </w:r>
      <w:r w:rsidR="00B86305">
        <w:rPr>
          <w:rFonts w:cs="Calibri"/>
        </w:rPr>
        <w:t>.</w:t>
      </w:r>
      <w:r w:rsidR="00747739">
        <w:rPr>
          <w:rFonts w:cs="Calibri"/>
        </w:rPr>
        <w:t xml:space="preserve"> </w:t>
      </w:r>
    </w:p>
    <w:p w14:paraId="1591B611" w14:textId="77777777" w:rsidR="008F3C92" w:rsidRDefault="008F3C92" w:rsidP="00F27791">
      <w:pPr>
        <w:contextualSpacing/>
        <w:rPr>
          <w:rFonts w:cs="Calibri"/>
        </w:rPr>
      </w:pPr>
    </w:p>
    <w:p w14:paraId="6821C1D9" w14:textId="3A63913F" w:rsidR="00D90375" w:rsidRDefault="001748D4" w:rsidP="00F27791">
      <w:pPr>
        <w:contextualSpacing/>
        <w:rPr>
          <w:rFonts w:cs="Calibri"/>
        </w:rPr>
      </w:pPr>
      <w:r>
        <w:rPr>
          <w:rFonts w:cs="Calibri"/>
          <w:i/>
          <w:iCs/>
        </w:rPr>
        <w:t xml:space="preserve">Best Starts </w:t>
      </w:r>
      <w:r>
        <w:rPr>
          <w:rFonts w:cs="Calibri"/>
        </w:rPr>
        <w:t xml:space="preserve">intends to expand the ways in which BIPOC </w:t>
      </w:r>
      <w:r w:rsidRPr="001748D4">
        <w:rPr>
          <w:rFonts w:cs="Calibri"/>
        </w:rPr>
        <w:t>communities are visible</w:t>
      </w:r>
      <w:r>
        <w:rPr>
          <w:rFonts w:cs="Calibri"/>
        </w:rPr>
        <w:t xml:space="preserve"> in data</w:t>
      </w:r>
      <w:r w:rsidR="009C33C3">
        <w:rPr>
          <w:rFonts w:cs="Calibri"/>
        </w:rPr>
        <w:t xml:space="preserve"> and</w:t>
      </w:r>
      <w:r>
        <w:rPr>
          <w:rFonts w:cs="Calibri"/>
        </w:rPr>
        <w:t xml:space="preserve"> are i</w:t>
      </w:r>
      <w:r w:rsidRPr="001748D4">
        <w:rPr>
          <w:rFonts w:cs="Calibri"/>
        </w:rPr>
        <w:t>nvolve</w:t>
      </w:r>
      <w:r>
        <w:rPr>
          <w:rFonts w:cs="Calibri"/>
        </w:rPr>
        <w:t>d</w:t>
      </w:r>
      <w:r w:rsidRPr="001748D4">
        <w:rPr>
          <w:rFonts w:cs="Calibri"/>
        </w:rPr>
        <w:t xml:space="preserve"> in decisions about what </w:t>
      </w:r>
      <w:r w:rsidR="00BC7953">
        <w:rPr>
          <w:rFonts w:cs="Calibri"/>
        </w:rPr>
        <w:t xml:space="preserve">data </w:t>
      </w:r>
      <w:r w:rsidR="00E27F06">
        <w:rPr>
          <w:rFonts w:cs="Calibri"/>
        </w:rPr>
        <w:t>are</w:t>
      </w:r>
      <w:r w:rsidR="009C33C3">
        <w:rPr>
          <w:rFonts w:cs="Calibri"/>
        </w:rPr>
        <w:t xml:space="preserve"> gathered</w:t>
      </w:r>
      <w:r w:rsidR="009174E3">
        <w:rPr>
          <w:rFonts w:cs="Calibri"/>
        </w:rPr>
        <w:t xml:space="preserve"> and</w:t>
      </w:r>
      <w:r w:rsidR="00BC7953">
        <w:rPr>
          <w:rFonts w:cs="Calibri"/>
        </w:rPr>
        <w:t xml:space="preserve"> </w:t>
      </w:r>
      <w:r w:rsidR="009C33C3">
        <w:rPr>
          <w:rFonts w:cs="Calibri"/>
        </w:rPr>
        <w:t>how it is interpreted</w:t>
      </w:r>
      <w:r w:rsidR="00C52BF7">
        <w:rPr>
          <w:rFonts w:cs="Calibri"/>
        </w:rPr>
        <w:t>.</w:t>
      </w:r>
      <w:r w:rsidR="00AE5C8B">
        <w:rPr>
          <w:rFonts w:cs="Calibri"/>
        </w:rPr>
        <w:t xml:space="preserve"> This may </w:t>
      </w:r>
      <w:r w:rsidR="00424F85">
        <w:rPr>
          <w:rFonts w:cs="Calibri"/>
        </w:rPr>
        <w:t>include</w:t>
      </w:r>
      <w:r w:rsidR="00AE5C8B">
        <w:rPr>
          <w:rFonts w:cs="Calibri"/>
        </w:rPr>
        <w:t xml:space="preserve"> </w:t>
      </w:r>
      <w:r w:rsidR="00E61DF1">
        <w:rPr>
          <w:rFonts w:cs="Calibri"/>
        </w:rPr>
        <w:t xml:space="preserve">expanding the ways </w:t>
      </w:r>
      <w:r w:rsidR="00CA4327">
        <w:rPr>
          <w:rFonts w:cs="Calibri"/>
        </w:rPr>
        <w:t xml:space="preserve">the initiative </w:t>
      </w:r>
      <w:r w:rsidR="00E61DF1">
        <w:rPr>
          <w:rFonts w:cs="Calibri"/>
        </w:rPr>
        <w:t>disaggregate</w:t>
      </w:r>
      <w:r w:rsidR="00CA4327">
        <w:rPr>
          <w:rFonts w:cs="Calibri"/>
        </w:rPr>
        <w:t>s</w:t>
      </w:r>
      <w:r w:rsidR="00E61DF1">
        <w:rPr>
          <w:rFonts w:cs="Calibri"/>
        </w:rPr>
        <w:t xml:space="preserve"> data by race and ethnicity, </w:t>
      </w:r>
      <w:r w:rsidR="00C93031">
        <w:rPr>
          <w:rFonts w:cs="Calibri"/>
        </w:rPr>
        <w:t xml:space="preserve">developing new methods for data collection, </w:t>
      </w:r>
      <w:r w:rsidR="6304DB60" w:rsidRPr="6EF89F97">
        <w:rPr>
          <w:rFonts w:cs="Calibri"/>
        </w:rPr>
        <w:t>continuing</w:t>
      </w:r>
      <w:r w:rsidR="00DC08E3">
        <w:rPr>
          <w:rFonts w:cs="Calibri"/>
        </w:rPr>
        <w:t xml:space="preserve"> to </w:t>
      </w:r>
      <w:r w:rsidR="6304DB60" w:rsidRPr="6EF89F97">
        <w:rPr>
          <w:rFonts w:cs="Calibri"/>
        </w:rPr>
        <w:t xml:space="preserve">value and </w:t>
      </w:r>
      <w:r w:rsidR="00DC08E3">
        <w:rPr>
          <w:rFonts w:cs="Calibri"/>
        </w:rPr>
        <w:t xml:space="preserve">report </w:t>
      </w:r>
      <w:r w:rsidR="6304DB60" w:rsidRPr="6EF89F97">
        <w:rPr>
          <w:rFonts w:cs="Calibri"/>
        </w:rPr>
        <w:t>on numbers and stories</w:t>
      </w:r>
      <w:r w:rsidR="00DC08E3" w:rsidRPr="6EF89F97">
        <w:rPr>
          <w:rFonts w:cs="Calibri"/>
        </w:rPr>
        <w:t>,</w:t>
      </w:r>
      <w:r w:rsidR="00D36C8B">
        <w:rPr>
          <w:rFonts w:cs="Calibri"/>
        </w:rPr>
        <w:t xml:space="preserve"> </w:t>
      </w:r>
      <w:r w:rsidR="00C93031">
        <w:rPr>
          <w:rFonts w:cs="Calibri"/>
        </w:rPr>
        <w:t>and</w:t>
      </w:r>
      <w:r w:rsidR="00A54F56">
        <w:rPr>
          <w:rFonts w:cs="Calibri"/>
        </w:rPr>
        <w:t xml:space="preserve"> </w:t>
      </w:r>
      <w:r w:rsidR="005C53C8">
        <w:rPr>
          <w:rFonts w:cs="Calibri"/>
        </w:rPr>
        <w:t>increasing</w:t>
      </w:r>
      <w:r w:rsidR="00424F85">
        <w:rPr>
          <w:rFonts w:cs="Calibri"/>
        </w:rPr>
        <w:t xml:space="preserve"> opportunities for community reflection </w:t>
      </w:r>
      <w:r w:rsidR="000C0F8E">
        <w:rPr>
          <w:rFonts w:cs="Calibri"/>
        </w:rPr>
        <w:t xml:space="preserve">and feedback </w:t>
      </w:r>
      <w:r w:rsidR="005527FB">
        <w:rPr>
          <w:rFonts w:cs="Calibri"/>
        </w:rPr>
        <w:t>on data analysis.</w:t>
      </w:r>
      <w:r w:rsidR="008F6728" w:rsidRPr="008F6728">
        <w:rPr>
          <w:rFonts w:cs="Calibri"/>
        </w:rPr>
        <w:t xml:space="preserve"> </w:t>
      </w:r>
    </w:p>
    <w:p w14:paraId="13A77EED" w14:textId="77777777" w:rsidR="00D90375" w:rsidRDefault="00D90375" w:rsidP="005F3393">
      <w:pPr>
        <w:contextualSpacing/>
        <w:rPr>
          <w:rFonts w:cs="Calibri"/>
        </w:rPr>
      </w:pPr>
    </w:p>
    <w:p w14:paraId="29BDEC3A" w14:textId="7FCEBCA1" w:rsidR="00140C2A" w:rsidRPr="004529B6" w:rsidRDefault="00140C2A" w:rsidP="00140C2A">
      <w:pPr>
        <w:rPr>
          <w:b/>
          <w:bCs/>
        </w:rPr>
      </w:pPr>
      <w:r w:rsidRPr="004529B6">
        <w:rPr>
          <w:rFonts w:cs="Calibri"/>
          <w:b/>
          <w:bCs/>
          <w:i/>
        </w:rPr>
        <w:t>Best Starts</w:t>
      </w:r>
      <w:r w:rsidRPr="004529B6">
        <w:rPr>
          <w:b/>
          <w:bCs/>
        </w:rPr>
        <w:t xml:space="preserve"> Evaluation Framework</w:t>
      </w:r>
    </w:p>
    <w:p w14:paraId="761C2F3B" w14:textId="53387ADB" w:rsidR="00140C2A" w:rsidRPr="00D03F1F" w:rsidRDefault="00C668D4" w:rsidP="00140C2A">
      <w:pPr>
        <w:contextualSpacing/>
        <w:rPr>
          <w:rFonts w:cs="Calibri"/>
        </w:rPr>
      </w:pPr>
      <w:r>
        <w:rPr>
          <w:rFonts w:cs="Calibri"/>
        </w:rPr>
        <w:t>E</w:t>
      </w:r>
      <w:r w:rsidR="00140C2A" w:rsidRPr="00D03F1F">
        <w:rPr>
          <w:rFonts w:cs="Calibri"/>
        </w:rPr>
        <w:t xml:space="preserve">valuation and performance measurement will inform strategic learning and accountability. </w:t>
      </w:r>
      <w:r w:rsidR="00140C2A" w:rsidRPr="00154D7D">
        <w:rPr>
          <w:rFonts w:cs="Calibri"/>
        </w:rPr>
        <w:t>Strategic learning</w:t>
      </w:r>
      <w:r w:rsidR="00140C2A" w:rsidRPr="00D03F1F">
        <w:rPr>
          <w:rFonts w:cs="Calibri"/>
        </w:rPr>
        <w:t xml:space="preserve"> </w:t>
      </w:r>
      <w:r w:rsidR="008B2458">
        <w:rPr>
          <w:rFonts w:cs="Calibri"/>
        </w:rPr>
        <w:t>is using dat</w:t>
      </w:r>
      <w:r w:rsidR="00140C2A" w:rsidRPr="00D03F1F">
        <w:rPr>
          <w:rFonts w:cs="Calibri"/>
        </w:rPr>
        <w:t>a to inform ongoing work and to understand which strategies are effective and why.</w:t>
      </w:r>
      <w:r w:rsidR="000F0486">
        <w:rPr>
          <w:rStyle w:val="FootnoteReference"/>
          <w:rFonts w:cs="Calibri"/>
        </w:rPr>
        <w:footnoteReference w:id="229"/>
      </w:r>
      <w:r w:rsidR="00140C2A" w:rsidRPr="00D03F1F">
        <w:rPr>
          <w:rFonts w:cs="Calibri"/>
        </w:rPr>
        <w:t xml:space="preserve"> </w:t>
      </w:r>
      <w:r w:rsidR="00140C2A" w:rsidRPr="00154D7D">
        <w:rPr>
          <w:rFonts w:cs="Calibri"/>
        </w:rPr>
        <w:t>Accountability</w:t>
      </w:r>
      <w:r w:rsidR="00140C2A" w:rsidRPr="00D03F1F">
        <w:rPr>
          <w:rFonts w:cs="Calibri"/>
        </w:rPr>
        <w:t xml:space="preserve"> </w:t>
      </w:r>
      <w:r w:rsidR="008B2458">
        <w:rPr>
          <w:rFonts w:cs="Calibri"/>
        </w:rPr>
        <w:t>is holding</w:t>
      </w:r>
      <w:r w:rsidR="00140C2A" w:rsidRPr="00D03F1F">
        <w:rPr>
          <w:rFonts w:cs="Calibri"/>
        </w:rPr>
        <w:t xml:space="preserve"> </w:t>
      </w:r>
      <w:r w:rsidR="00E23F48">
        <w:rPr>
          <w:rFonts w:cs="Calibri"/>
        </w:rPr>
        <w:t>contracted partners</w:t>
      </w:r>
      <w:r w:rsidR="00E23F48" w:rsidRPr="00CA4327">
        <w:rPr>
          <w:rFonts w:cs="Calibri"/>
        </w:rPr>
        <w:t xml:space="preserve"> </w:t>
      </w:r>
      <w:r w:rsidR="00140C2A" w:rsidRPr="00D03F1F">
        <w:rPr>
          <w:rFonts w:cs="Calibri"/>
        </w:rPr>
        <w:t xml:space="preserve">responsible for the activities they </w:t>
      </w:r>
      <w:r w:rsidR="00B673EE">
        <w:rPr>
          <w:rFonts w:cs="Calibri"/>
        </w:rPr>
        <w:t>are funded</w:t>
      </w:r>
      <w:r w:rsidR="00140C2A" w:rsidRPr="00D03F1F">
        <w:rPr>
          <w:rFonts w:cs="Calibri"/>
        </w:rPr>
        <w:t xml:space="preserve"> to do and to determine </w:t>
      </w:r>
      <w:r w:rsidR="00E23F48">
        <w:rPr>
          <w:rFonts w:cs="Calibri"/>
        </w:rPr>
        <w:t>whether or to what degree</w:t>
      </w:r>
      <w:r w:rsidR="00140C2A" w:rsidRPr="00D03F1F">
        <w:rPr>
          <w:rFonts w:cs="Calibri"/>
        </w:rPr>
        <w:t xml:space="preserve"> the work contributed to </w:t>
      </w:r>
      <w:r w:rsidR="00140C2A" w:rsidRPr="00D03F1F">
        <w:rPr>
          <w:rFonts w:cs="Calibri"/>
          <w:i/>
        </w:rPr>
        <w:t>Best Starts</w:t>
      </w:r>
      <w:r w:rsidR="00140C2A" w:rsidRPr="00D03F1F">
        <w:rPr>
          <w:rFonts w:cs="Calibri"/>
        </w:rPr>
        <w:t xml:space="preserve"> results.</w:t>
      </w:r>
    </w:p>
    <w:p w14:paraId="484E8984" w14:textId="683C1F24" w:rsidR="00140C2A" w:rsidRPr="00D03F1F" w:rsidRDefault="00140C2A" w:rsidP="00140C2A">
      <w:pPr>
        <w:contextualSpacing/>
        <w:rPr>
          <w:rFonts w:cs="Calibri"/>
        </w:rPr>
      </w:pPr>
      <w:r w:rsidRPr="00D03F1F">
        <w:rPr>
          <w:rFonts w:cs="Calibri"/>
          <w:i/>
        </w:rPr>
        <w:lastRenderedPageBreak/>
        <w:t>Best Starts</w:t>
      </w:r>
      <w:r w:rsidRPr="00D03F1F">
        <w:rPr>
          <w:rFonts w:cs="Calibri"/>
        </w:rPr>
        <w:t xml:space="preserve">’ scale and complexity requires an approach that encompasses a range of measurement techniques. </w:t>
      </w:r>
      <w:r w:rsidRPr="00D03F1F">
        <w:rPr>
          <w:rFonts w:cs="Calibri"/>
          <w:i/>
        </w:rPr>
        <w:t>Best Starts</w:t>
      </w:r>
      <w:r w:rsidRPr="00D03F1F">
        <w:rPr>
          <w:rFonts w:cs="Calibri"/>
        </w:rPr>
        <w:t xml:space="preserve"> begins with Results Based Accountability</w:t>
      </w:r>
      <w:r w:rsidR="00EE3BB5">
        <w:rPr>
          <w:rFonts w:cs="Calibri"/>
        </w:rPr>
        <w:t xml:space="preserve"> (RBA)</w:t>
      </w:r>
      <w:r w:rsidRPr="00D03F1F">
        <w:rPr>
          <w:rFonts w:cs="Calibri"/>
        </w:rPr>
        <w:t xml:space="preserve">, a </w:t>
      </w:r>
      <w:r w:rsidR="00E942BC">
        <w:rPr>
          <w:rFonts w:cs="Calibri"/>
        </w:rPr>
        <w:t>method</w:t>
      </w:r>
      <w:r w:rsidRPr="00D03F1F">
        <w:rPr>
          <w:rFonts w:cs="Calibri"/>
        </w:rPr>
        <w:t xml:space="preserve"> for assessing the </w:t>
      </w:r>
      <w:r w:rsidR="004160B6">
        <w:rPr>
          <w:rFonts w:cs="Calibri"/>
        </w:rPr>
        <w:t>results</w:t>
      </w:r>
      <w:r w:rsidRPr="00D03F1F">
        <w:rPr>
          <w:rFonts w:cs="Calibri"/>
        </w:rPr>
        <w:t xml:space="preserve"> of </w:t>
      </w:r>
      <w:r w:rsidRPr="00D03F1F">
        <w:rPr>
          <w:rFonts w:cs="Calibri"/>
          <w:i/>
        </w:rPr>
        <w:t>Best Starts</w:t>
      </w:r>
      <w:r w:rsidRPr="00D03F1F">
        <w:rPr>
          <w:rFonts w:cs="Calibri"/>
        </w:rPr>
        <w:t xml:space="preserve"> strategies, and supplements those learnings with additional evaluation activities.</w:t>
      </w:r>
      <w:r w:rsidR="0004455D">
        <w:rPr>
          <w:rStyle w:val="FootnoteReference"/>
          <w:rFonts w:cs="Calibri"/>
        </w:rPr>
        <w:footnoteReference w:id="230"/>
      </w:r>
      <w:r w:rsidRPr="00D03F1F">
        <w:rPr>
          <w:rFonts w:cs="Calibri"/>
        </w:rPr>
        <w:t xml:space="preserve"> The resulting framework includes:</w:t>
      </w:r>
    </w:p>
    <w:p w14:paraId="07FE65D2" w14:textId="60082FEC" w:rsidR="00140C2A" w:rsidRPr="00D03F1F" w:rsidRDefault="00140C2A" w:rsidP="003D1A4A">
      <w:pPr>
        <w:pStyle w:val="ListParagraph"/>
        <w:numPr>
          <w:ilvl w:val="0"/>
          <w:numId w:val="9"/>
        </w:numPr>
        <w:ind w:left="720"/>
        <w:contextualSpacing w:val="0"/>
        <w:rPr>
          <w:rFonts w:cs="Calibri"/>
        </w:rPr>
      </w:pPr>
      <w:r w:rsidRPr="00D03F1F">
        <w:rPr>
          <w:rFonts w:cs="Calibri"/>
          <w:b/>
        </w:rPr>
        <w:t>Population Indicators:</w:t>
      </w:r>
      <w:r>
        <w:rPr>
          <w:rFonts w:cs="Calibri"/>
          <w:b/>
        </w:rPr>
        <w:t xml:space="preserve"> </w:t>
      </w:r>
      <w:r w:rsidRPr="00D03F1F">
        <w:rPr>
          <w:rFonts w:cs="Calibri"/>
          <w:i/>
        </w:rPr>
        <w:t>Best Starts</w:t>
      </w:r>
      <w:r w:rsidRPr="00D03F1F">
        <w:rPr>
          <w:rFonts w:cs="Calibri"/>
        </w:rPr>
        <w:t xml:space="preserve"> uses population level-measures to identify needs, understand baseline conditions, and track trends. </w:t>
      </w:r>
      <w:r w:rsidRPr="00D03F1F">
        <w:rPr>
          <w:rFonts w:cs="Calibri"/>
          <w:i/>
        </w:rPr>
        <w:t>Best Starts</w:t>
      </w:r>
      <w:r w:rsidRPr="00D03F1F">
        <w:rPr>
          <w:rFonts w:cs="Calibri"/>
        </w:rPr>
        <w:t xml:space="preserve"> </w:t>
      </w:r>
      <w:r w:rsidR="002D0097">
        <w:rPr>
          <w:rFonts w:cs="Calibri"/>
        </w:rPr>
        <w:t>strategies</w:t>
      </w:r>
      <w:r w:rsidR="00A92439">
        <w:rPr>
          <w:rFonts w:cs="Calibri"/>
        </w:rPr>
        <w:t xml:space="preserve"> intend to </w:t>
      </w:r>
      <w:r w:rsidRPr="00D03F1F">
        <w:rPr>
          <w:rFonts w:cs="Calibri"/>
        </w:rPr>
        <w:t xml:space="preserve">contribute to population-level results in the long term, while also understanding that the whole community across multiple sectors is </w:t>
      </w:r>
      <w:r w:rsidR="00181738">
        <w:rPr>
          <w:rFonts w:cs="Calibri"/>
        </w:rPr>
        <w:t>responsible</w:t>
      </w:r>
      <w:r w:rsidR="00181738" w:rsidRPr="00D03F1F">
        <w:rPr>
          <w:rFonts w:cs="Calibri"/>
        </w:rPr>
        <w:t xml:space="preserve"> </w:t>
      </w:r>
      <w:r w:rsidRPr="00D03F1F">
        <w:rPr>
          <w:rFonts w:cs="Calibri"/>
        </w:rPr>
        <w:t>for county-wide conditions</w:t>
      </w:r>
      <w:r w:rsidR="00181738">
        <w:rPr>
          <w:rFonts w:cs="Calibri"/>
        </w:rPr>
        <w:t>,</w:t>
      </w:r>
      <w:r w:rsidRPr="00D03F1F">
        <w:rPr>
          <w:rFonts w:cs="Calibri"/>
        </w:rPr>
        <w:t xml:space="preserve"> and many additional factors influence these outcomes.</w:t>
      </w:r>
      <w:r w:rsidRPr="00A5574F">
        <w:rPr>
          <w:rFonts w:cs="Calibri"/>
          <w:i/>
        </w:rPr>
        <w:t xml:space="preserve"> </w:t>
      </w:r>
      <w:r w:rsidR="00597ABA" w:rsidRPr="00AB42DC">
        <w:rPr>
          <w:rFonts w:cs="Calibri"/>
        </w:rPr>
        <w:t>To the extent possible,</w:t>
      </w:r>
      <w:r w:rsidR="00597ABA" w:rsidRPr="00AB42DC">
        <w:rPr>
          <w:rFonts w:cs="Calibri"/>
          <w:i/>
          <w:iCs/>
        </w:rPr>
        <w:t xml:space="preserve"> </w:t>
      </w:r>
      <w:r w:rsidR="00597ABA" w:rsidRPr="00AB42DC">
        <w:rPr>
          <w:rFonts w:eastAsia="Arial" w:cs="Calibri"/>
          <w:i/>
          <w:iCs/>
        </w:rPr>
        <w:t>Best Starts’</w:t>
      </w:r>
      <w:r w:rsidR="00597ABA" w:rsidRPr="00AB42DC">
        <w:rPr>
          <w:rFonts w:eastAsia="Arial" w:cs="Calibri"/>
        </w:rPr>
        <w:t xml:space="preserve"> population analyses will examine whether levy investments have a direct or causal impact on population-level indicators. Once available </w:t>
      </w:r>
      <w:r w:rsidR="00597ABA" w:rsidRPr="00484BA7">
        <w:rPr>
          <w:rFonts w:eastAsia="Arial" w:cs="Calibri"/>
        </w:rPr>
        <w:t xml:space="preserve">and no later than 2027, </w:t>
      </w:r>
      <w:r w:rsidR="00597ABA" w:rsidRPr="00484BA7">
        <w:rPr>
          <w:i/>
          <w:iCs/>
        </w:rPr>
        <w:t>Best Starts</w:t>
      </w:r>
      <w:r w:rsidR="00597ABA" w:rsidRPr="00484BA7">
        <w:t xml:space="preserve"> will report on the results of these long-term analyses.</w:t>
      </w:r>
    </w:p>
    <w:p w14:paraId="4594ED19" w14:textId="71D06934" w:rsidR="00140C2A" w:rsidRPr="00D03F1F" w:rsidRDefault="00140C2A" w:rsidP="003D1A4A">
      <w:pPr>
        <w:pStyle w:val="ListParagraph"/>
        <w:numPr>
          <w:ilvl w:val="0"/>
          <w:numId w:val="9"/>
        </w:numPr>
        <w:ind w:left="720"/>
        <w:contextualSpacing w:val="0"/>
        <w:rPr>
          <w:rFonts w:cs="Calibri"/>
        </w:rPr>
      </w:pPr>
      <w:r w:rsidRPr="00D03F1F">
        <w:rPr>
          <w:rFonts w:cs="Calibri"/>
          <w:b/>
        </w:rPr>
        <w:t xml:space="preserve">Performance Measurement: </w:t>
      </w:r>
      <w:r w:rsidRPr="006C3B4F">
        <w:rPr>
          <w:rFonts w:cs="Calibri"/>
          <w:bCs/>
        </w:rPr>
        <w:t>Performance measures</w:t>
      </w:r>
      <w:r w:rsidRPr="00D03F1F">
        <w:rPr>
          <w:rFonts w:cs="Calibri"/>
        </w:rPr>
        <w:t xml:space="preserve"> are </w:t>
      </w:r>
      <w:r w:rsidR="00855006">
        <w:rPr>
          <w:rFonts w:cs="Calibri"/>
        </w:rPr>
        <w:t xml:space="preserve">regular measurement of </w:t>
      </w:r>
      <w:r w:rsidRPr="00D03F1F">
        <w:rPr>
          <w:rFonts w:cs="Calibri"/>
        </w:rPr>
        <w:t>program</w:t>
      </w:r>
      <w:r w:rsidR="00503528">
        <w:rPr>
          <w:rFonts w:cs="Calibri"/>
        </w:rPr>
        <w:t xml:space="preserve"> outcomes</w:t>
      </w:r>
      <w:r w:rsidRPr="00D03F1F">
        <w:rPr>
          <w:rFonts w:cs="Calibri"/>
        </w:rPr>
        <w:t xml:space="preserve"> to assess how well an investment or strategy is working</w:t>
      </w:r>
      <w:r w:rsidR="004415A7">
        <w:rPr>
          <w:rFonts w:cs="Calibri"/>
        </w:rPr>
        <w:t>.</w:t>
      </w:r>
      <w:r>
        <w:rPr>
          <w:rFonts w:cs="Calibri"/>
        </w:rPr>
        <w:t xml:space="preserve"> </w:t>
      </w:r>
      <w:r w:rsidRPr="00D03F1F">
        <w:rPr>
          <w:rFonts w:cs="Calibri"/>
          <w:i/>
        </w:rPr>
        <w:t>Best Starts</w:t>
      </w:r>
      <w:r w:rsidRPr="00D03F1F">
        <w:rPr>
          <w:rFonts w:cs="Calibri"/>
        </w:rPr>
        <w:t xml:space="preserve"> is </w:t>
      </w:r>
      <w:r w:rsidRPr="006C3B4F">
        <w:rPr>
          <w:rFonts w:cs="Calibri"/>
          <w:iCs/>
        </w:rPr>
        <w:t>accountable</w:t>
      </w:r>
      <w:r w:rsidRPr="00D03F1F">
        <w:rPr>
          <w:rFonts w:cs="Calibri"/>
          <w:i/>
        </w:rPr>
        <w:t xml:space="preserve"> </w:t>
      </w:r>
      <w:r w:rsidRPr="00D03F1F">
        <w:rPr>
          <w:rFonts w:cs="Calibri"/>
        </w:rPr>
        <w:t xml:space="preserve">for performance </w:t>
      </w:r>
      <w:r>
        <w:rPr>
          <w:rFonts w:cs="Calibri"/>
        </w:rPr>
        <w:t>of</w:t>
      </w:r>
      <w:r w:rsidRPr="00D03F1F">
        <w:rPr>
          <w:rFonts w:cs="Calibri"/>
        </w:rPr>
        <w:t xml:space="preserve"> </w:t>
      </w:r>
      <w:r w:rsidR="00C16D50">
        <w:rPr>
          <w:rFonts w:cs="Calibri"/>
        </w:rPr>
        <w:t xml:space="preserve">the levy’s </w:t>
      </w:r>
      <w:r w:rsidRPr="00D03F1F">
        <w:rPr>
          <w:rFonts w:cs="Calibri"/>
        </w:rPr>
        <w:t>strategies.</w:t>
      </w:r>
    </w:p>
    <w:p w14:paraId="7D58C0AE" w14:textId="67D9DEFE" w:rsidR="00140C2A" w:rsidRPr="00D03F1F" w:rsidRDefault="00140C2A" w:rsidP="003D1A4A">
      <w:pPr>
        <w:pStyle w:val="ListParagraph"/>
        <w:numPr>
          <w:ilvl w:val="0"/>
          <w:numId w:val="9"/>
        </w:numPr>
        <w:ind w:left="720"/>
        <w:contextualSpacing w:val="0"/>
        <w:rPr>
          <w:rFonts w:cs="Calibri"/>
        </w:rPr>
      </w:pPr>
      <w:r w:rsidRPr="00D03F1F">
        <w:rPr>
          <w:rFonts w:cs="Calibri"/>
          <w:b/>
        </w:rPr>
        <w:t>In-</w:t>
      </w:r>
      <w:r w:rsidR="005127C1">
        <w:rPr>
          <w:rFonts w:cs="Calibri"/>
          <w:b/>
        </w:rPr>
        <w:t>D</w:t>
      </w:r>
      <w:r w:rsidRPr="00D03F1F">
        <w:rPr>
          <w:rFonts w:cs="Calibri"/>
          <w:b/>
        </w:rPr>
        <w:t xml:space="preserve">epth Evaluation: </w:t>
      </w:r>
      <w:r w:rsidRPr="00D03F1F">
        <w:rPr>
          <w:rFonts w:cs="Calibri"/>
        </w:rPr>
        <w:t>Additional evaluation activities will complement performance measurement to deepen learnings in some program areas. This may include piloting new programs, developing new evaluation tools, and identifying areas for new or deeper community supports.</w:t>
      </w:r>
      <w:r w:rsidR="00597ABA">
        <w:rPr>
          <w:rFonts w:cs="Calibri"/>
        </w:rPr>
        <w:t xml:space="preserve"> </w:t>
      </w:r>
      <w:bookmarkStart w:id="93" w:name="_Hlk83665471"/>
      <w:bookmarkStart w:id="94" w:name="_Hlk83664105"/>
      <w:r w:rsidR="00597ABA" w:rsidRPr="00AB42DC">
        <w:rPr>
          <w:rFonts w:cs="Calibri"/>
        </w:rPr>
        <w:t>The county will contract with a third-party, independent organization or organizations to assess selected levy investments and their effectiveness in achieving stated goals and intended outcomes</w:t>
      </w:r>
      <w:bookmarkEnd w:id="93"/>
      <w:r w:rsidR="00597ABA" w:rsidRPr="00AB42DC">
        <w:rPr>
          <w:rFonts w:cs="Calibri"/>
        </w:rPr>
        <w:t>.</w:t>
      </w:r>
      <w:bookmarkEnd w:id="94"/>
    </w:p>
    <w:p w14:paraId="42215914" w14:textId="77777777" w:rsidR="00D90375" w:rsidRPr="00D03F1F" w:rsidRDefault="00D90375" w:rsidP="005F3393">
      <w:pPr>
        <w:contextualSpacing/>
        <w:rPr>
          <w:rFonts w:cs="Calibri"/>
        </w:rPr>
      </w:pPr>
    </w:p>
    <w:p w14:paraId="146322DE" w14:textId="25C57CC7" w:rsidR="00D90375" w:rsidRPr="004529B6" w:rsidRDefault="00D90375" w:rsidP="004529B6">
      <w:pPr>
        <w:rPr>
          <w:b/>
          <w:bCs/>
        </w:rPr>
      </w:pPr>
      <w:r w:rsidRPr="004529B6">
        <w:rPr>
          <w:b/>
          <w:bCs/>
        </w:rPr>
        <w:t>Population Indicators</w:t>
      </w:r>
    </w:p>
    <w:p w14:paraId="1D86E5DA" w14:textId="57FB8B1C" w:rsidR="00D15BFD" w:rsidRDefault="00C16D50" w:rsidP="005F3393">
      <w:pPr>
        <w:contextualSpacing/>
        <w:rPr>
          <w:rFonts w:cs="Calibri"/>
        </w:rPr>
      </w:pPr>
      <w:r w:rsidRPr="00B37AC7">
        <w:rPr>
          <w:rFonts w:eastAsia="Arial" w:cs="Calibri"/>
          <w:i/>
        </w:rPr>
        <w:t>Best Starts’</w:t>
      </w:r>
      <w:r>
        <w:rPr>
          <w:rFonts w:eastAsia="Arial" w:cs="Calibri"/>
        </w:rPr>
        <w:t xml:space="preserve"> </w:t>
      </w:r>
      <w:r w:rsidR="00C03060">
        <w:rPr>
          <w:rFonts w:eastAsia="Arial" w:cs="Calibri"/>
        </w:rPr>
        <w:t>p</w:t>
      </w:r>
      <w:r w:rsidR="56ACD243" w:rsidRPr="00D03F1F">
        <w:rPr>
          <w:rFonts w:eastAsia="Arial" w:cs="Calibri"/>
        </w:rPr>
        <w:t xml:space="preserve">opulation analyses will </w:t>
      </w:r>
      <w:r w:rsidR="2D8725E9" w:rsidRPr="00D03F1F">
        <w:rPr>
          <w:rFonts w:eastAsia="Arial" w:cs="Calibri"/>
        </w:rPr>
        <w:t>continue</w:t>
      </w:r>
      <w:r>
        <w:rPr>
          <w:rFonts w:eastAsia="Arial" w:cs="Calibri"/>
        </w:rPr>
        <w:t xml:space="preserve"> </w:t>
      </w:r>
      <w:r w:rsidR="2D8725E9" w:rsidRPr="00D03F1F">
        <w:rPr>
          <w:rFonts w:eastAsia="Arial" w:cs="Calibri"/>
        </w:rPr>
        <w:t>to</w:t>
      </w:r>
      <w:r w:rsidR="56ACD243" w:rsidRPr="00D03F1F">
        <w:rPr>
          <w:rFonts w:eastAsia="Arial" w:cs="Calibri"/>
        </w:rPr>
        <w:t xml:space="preserve"> utilize high quality, population-based surveys and quantitative data disaggregated by </w:t>
      </w:r>
      <w:r w:rsidR="56ACD243" w:rsidRPr="00D03F1F">
        <w:rPr>
          <w:rFonts w:cs="Calibri"/>
        </w:rPr>
        <w:t>demographic characteristics (</w:t>
      </w:r>
      <w:r w:rsidR="00C03060">
        <w:rPr>
          <w:rFonts w:cs="Calibri"/>
        </w:rPr>
        <w:t>such as</w:t>
      </w:r>
      <w:r w:rsidR="56ACD243" w:rsidRPr="00D03F1F">
        <w:rPr>
          <w:rFonts w:cs="Calibri"/>
        </w:rPr>
        <w:t xml:space="preserve"> by age, race, ethnicity, place, socioeconomic status</w:t>
      </w:r>
      <w:r w:rsidR="4D6BFF9F" w:rsidRPr="00D03F1F">
        <w:rPr>
          <w:rFonts w:cs="Calibri"/>
        </w:rPr>
        <w:t>,</w:t>
      </w:r>
      <w:r w:rsidR="56ACD243" w:rsidRPr="00D03F1F">
        <w:rPr>
          <w:rFonts w:cs="Calibri"/>
        </w:rPr>
        <w:t xml:space="preserve"> and gender, where data are available)</w:t>
      </w:r>
      <w:r w:rsidR="579F6174" w:rsidRPr="00D03F1F">
        <w:rPr>
          <w:rFonts w:cs="Calibri"/>
        </w:rPr>
        <w:t>,</w:t>
      </w:r>
      <w:r w:rsidR="56ACD243" w:rsidRPr="00D03F1F">
        <w:rPr>
          <w:rFonts w:cs="Calibri"/>
        </w:rPr>
        <w:t xml:space="preserve"> </w:t>
      </w:r>
      <w:r w:rsidR="00C03060">
        <w:rPr>
          <w:rFonts w:cs="Calibri"/>
        </w:rPr>
        <w:t>as well as</w:t>
      </w:r>
      <w:r w:rsidR="00C03060" w:rsidRPr="00D03F1F">
        <w:rPr>
          <w:rFonts w:cs="Calibri"/>
        </w:rPr>
        <w:t xml:space="preserve"> </w:t>
      </w:r>
      <w:r w:rsidR="56ACD243" w:rsidRPr="00D03F1F">
        <w:rPr>
          <w:rFonts w:cs="Calibri"/>
        </w:rPr>
        <w:t>qualitative data.</w:t>
      </w:r>
      <w:r w:rsidRPr="5605244A">
        <w:rPr>
          <w:rStyle w:val="FootnoteReference"/>
          <w:rFonts w:eastAsia="Calibri" w:cs="Calibri"/>
          <w:color w:val="000000" w:themeColor="text1"/>
        </w:rPr>
        <w:footnoteReference w:id="231"/>
      </w:r>
      <w:r w:rsidR="56ACD243" w:rsidRPr="00D03F1F">
        <w:rPr>
          <w:rFonts w:cs="Calibri"/>
        </w:rPr>
        <w:t xml:space="preserve"> These indicators include infant mortality, kindergarten readiness, </w:t>
      </w:r>
      <w:r w:rsidR="002142F4">
        <w:rPr>
          <w:rFonts w:cs="Calibri"/>
        </w:rPr>
        <w:t xml:space="preserve">or </w:t>
      </w:r>
      <w:r w:rsidR="56ACD243" w:rsidRPr="00D03F1F">
        <w:rPr>
          <w:rFonts w:cs="Calibri"/>
        </w:rPr>
        <w:t>high school graduation</w:t>
      </w:r>
      <w:r w:rsidR="002142F4">
        <w:rPr>
          <w:rFonts w:cs="Calibri"/>
        </w:rPr>
        <w:t xml:space="preserve"> </w:t>
      </w:r>
      <w:r w:rsidR="56ACD243" w:rsidRPr="00D03F1F">
        <w:rPr>
          <w:rFonts w:cs="Calibri"/>
        </w:rPr>
        <w:t xml:space="preserve">for King County residents. </w:t>
      </w:r>
    </w:p>
    <w:p w14:paraId="68148B9C" w14:textId="6F616D78" w:rsidR="006C124B" w:rsidRDefault="006C124B" w:rsidP="005F3393">
      <w:pPr>
        <w:contextualSpacing/>
        <w:rPr>
          <w:rFonts w:cs="Calibri"/>
        </w:rPr>
      </w:pPr>
    </w:p>
    <w:p w14:paraId="07B19506" w14:textId="2E29016B" w:rsidR="006C124B" w:rsidRPr="006C124B" w:rsidRDefault="006C124B" w:rsidP="006C124B">
      <w:pPr>
        <w:pStyle w:val="paragraph"/>
        <w:spacing w:beforeAutospacing="0" w:after="0" w:afterAutospacing="0"/>
        <w:contextualSpacing/>
        <w:rPr>
          <w:rFonts w:eastAsiaTheme="majorEastAsia"/>
        </w:rPr>
      </w:pPr>
      <w:r>
        <w:rPr>
          <w:rFonts w:eastAsiaTheme="majorEastAsia"/>
        </w:rPr>
        <w:t xml:space="preserve">For a list of </w:t>
      </w:r>
      <w:r w:rsidR="00B83D34">
        <w:rPr>
          <w:rFonts w:eastAsiaTheme="majorEastAsia"/>
        </w:rPr>
        <w:t xml:space="preserve">population-level </w:t>
      </w:r>
      <w:r>
        <w:rPr>
          <w:rFonts w:eastAsiaTheme="majorEastAsia"/>
        </w:rPr>
        <w:t xml:space="preserve">Headline and Secondary Indicators, see </w:t>
      </w:r>
      <w:r w:rsidRPr="000E1578">
        <w:rPr>
          <w:rFonts w:eastAsiaTheme="majorEastAsia"/>
        </w:rPr>
        <w:t xml:space="preserve">Appendix </w:t>
      </w:r>
      <w:r>
        <w:rPr>
          <w:rFonts w:eastAsiaTheme="majorEastAsia"/>
        </w:rPr>
        <w:t>E.</w:t>
      </w:r>
      <w:r>
        <w:rPr>
          <w:rStyle w:val="FootnoteReference"/>
          <w:rFonts w:eastAsiaTheme="majorEastAsia"/>
        </w:rPr>
        <w:footnoteReference w:id="232"/>
      </w:r>
    </w:p>
    <w:p w14:paraId="5FB8542F" w14:textId="77777777" w:rsidR="00D15BFD" w:rsidRDefault="00D15BFD" w:rsidP="005F3393">
      <w:pPr>
        <w:contextualSpacing/>
        <w:rPr>
          <w:rFonts w:cs="Calibri"/>
        </w:rPr>
      </w:pPr>
    </w:p>
    <w:p w14:paraId="756C3392" w14:textId="0F7138C3" w:rsidR="00CE51B2" w:rsidRPr="003D5A78" w:rsidRDefault="56ACD243" w:rsidP="005F3393">
      <w:pPr>
        <w:contextualSpacing/>
        <w:rPr>
          <w:rFonts w:cs="Calibri"/>
        </w:rPr>
      </w:pPr>
      <w:r w:rsidRPr="00D03F1F">
        <w:rPr>
          <w:rFonts w:eastAsia="Arial" w:cs="Calibri"/>
        </w:rPr>
        <w:t xml:space="preserve">King County will continue to implement the nationally award-winning </w:t>
      </w:r>
      <w:r w:rsidR="659938BE" w:rsidRPr="71D2A87E">
        <w:rPr>
          <w:rFonts w:eastAsia="Arial" w:cs="Calibri"/>
          <w:i/>
          <w:iCs/>
        </w:rPr>
        <w:t>Best Starts</w:t>
      </w:r>
      <w:r w:rsidRPr="00D03F1F">
        <w:rPr>
          <w:rFonts w:eastAsia="Arial" w:cs="Calibri"/>
        </w:rPr>
        <w:t xml:space="preserve"> Health Survey</w:t>
      </w:r>
      <w:r w:rsidR="1F719C26" w:rsidRPr="00D03F1F">
        <w:rPr>
          <w:rFonts w:eastAsia="Arial" w:cs="Calibri"/>
        </w:rPr>
        <w:t xml:space="preserve"> to fill gaps in population data</w:t>
      </w:r>
      <w:r w:rsidRPr="00D03F1F">
        <w:rPr>
          <w:rFonts w:eastAsia="Arial" w:cs="Calibri"/>
        </w:rPr>
        <w:t>.</w:t>
      </w:r>
      <w:r w:rsidR="00D90375" w:rsidRPr="00D03F1F">
        <w:rPr>
          <w:rStyle w:val="FootnoteReference"/>
          <w:rFonts w:eastAsia="Arial" w:cs="Calibri"/>
        </w:rPr>
        <w:footnoteReference w:id="233"/>
      </w:r>
      <w:r w:rsidRPr="00D03F1F">
        <w:rPr>
          <w:rFonts w:eastAsia="Arial" w:cs="Calibri"/>
        </w:rPr>
        <w:t xml:space="preserve"> </w:t>
      </w:r>
      <w:r w:rsidR="2A42045A" w:rsidRPr="00D03F1F">
        <w:rPr>
          <w:rStyle w:val="normaltextrun"/>
          <w:rFonts w:ascii="Calibri" w:eastAsia="Arial" w:hAnsi="Calibri" w:cs="Calibri"/>
        </w:rPr>
        <w:t>While</w:t>
      </w:r>
      <w:r w:rsidRPr="00D03F1F">
        <w:rPr>
          <w:rStyle w:val="normaltextrun"/>
          <w:rFonts w:ascii="Calibri" w:eastAsia="Arial" w:hAnsi="Calibri" w:cs="Calibri"/>
        </w:rPr>
        <w:t xml:space="preserve"> there are existing data sources for children around the time of birth</w:t>
      </w:r>
      <w:r w:rsidR="002C637F">
        <w:rPr>
          <w:rStyle w:val="normaltextrun"/>
          <w:rFonts w:ascii="Calibri" w:eastAsia="Arial" w:hAnsi="Calibri" w:cs="Calibri"/>
        </w:rPr>
        <w:t>,</w:t>
      </w:r>
      <w:r w:rsidRPr="7FAA1043">
        <w:rPr>
          <w:rStyle w:val="FootnoteReference"/>
          <w:rFonts w:eastAsia="Arial" w:cs="Calibri"/>
        </w:rPr>
        <w:footnoteReference w:id="234"/>
      </w:r>
      <w:r w:rsidRPr="00D03F1F">
        <w:rPr>
          <w:rStyle w:val="normaltextrun"/>
          <w:rFonts w:ascii="Calibri" w:eastAsia="Arial" w:hAnsi="Calibri" w:cs="Calibri"/>
        </w:rPr>
        <w:t xml:space="preserve"> </w:t>
      </w:r>
      <w:r w:rsidRPr="00D03F1F">
        <w:rPr>
          <w:rStyle w:val="normaltextrun"/>
          <w:rFonts w:ascii="Calibri" w:eastAsia="Arial" w:hAnsi="Calibri" w:cs="Calibri"/>
        </w:rPr>
        <w:lastRenderedPageBreak/>
        <w:t>and in middle and high school</w:t>
      </w:r>
      <w:r w:rsidR="002C637F">
        <w:rPr>
          <w:rStyle w:val="normaltextrun"/>
          <w:rFonts w:ascii="Calibri" w:eastAsia="Arial" w:hAnsi="Calibri" w:cs="Calibri"/>
        </w:rPr>
        <w:t>,</w:t>
      </w:r>
      <w:r w:rsidRPr="713840DD">
        <w:rPr>
          <w:rStyle w:val="FootnoteReference"/>
          <w:rFonts w:eastAsia="Arial" w:cs="Calibri"/>
        </w:rPr>
        <w:footnoteReference w:id="235"/>
      </w:r>
      <w:r w:rsidRPr="00D03F1F">
        <w:rPr>
          <w:rStyle w:val="normaltextrun"/>
          <w:rFonts w:ascii="Calibri" w:eastAsia="Arial" w:hAnsi="Calibri" w:cs="Calibri"/>
        </w:rPr>
        <w:t xml:space="preserve"> there are no existing population-level data sources for toddlers, preschoolers, and elementary-aged children. </w:t>
      </w:r>
      <w:r w:rsidR="3E36E282" w:rsidRPr="00D03F1F">
        <w:rPr>
          <w:rStyle w:val="normaltextrun"/>
          <w:rFonts w:ascii="Calibri" w:eastAsia="Arial" w:hAnsi="Calibri" w:cs="Calibri"/>
        </w:rPr>
        <w:t xml:space="preserve">Prior to </w:t>
      </w:r>
      <w:r w:rsidR="3E36E282" w:rsidRPr="5605244A">
        <w:rPr>
          <w:rStyle w:val="normaltextrun"/>
          <w:rFonts w:ascii="Calibri" w:eastAsia="Arial" w:hAnsi="Calibri" w:cs="Calibri"/>
          <w:i/>
          <w:iCs/>
        </w:rPr>
        <w:t>Best Starts</w:t>
      </w:r>
      <w:r w:rsidR="3E36E282" w:rsidRPr="00BE2BD9">
        <w:rPr>
          <w:rStyle w:val="normaltextrun"/>
          <w:rFonts w:ascii="Calibri" w:eastAsia="Arial" w:hAnsi="Calibri" w:cs="Calibri"/>
        </w:rPr>
        <w:t>, v</w:t>
      </w:r>
      <w:r w:rsidRPr="00BE2BD9">
        <w:rPr>
          <w:rStyle w:val="normaltextrun"/>
          <w:rFonts w:ascii="Calibri" w:eastAsia="Arial" w:hAnsi="Calibri" w:cs="Calibri"/>
        </w:rPr>
        <w:t>ery</w:t>
      </w:r>
      <w:r w:rsidRPr="00D03F1F">
        <w:rPr>
          <w:rStyle w:val="normaltextrun"/>
          <w:rFonts w:ascii="Calibri" w:eastAsia="Arial" w:hAnsi="Calibri" w:cs="Calibri"/>
        </w:rPr>
        <w:t xml:space="preserve"> little </w:t>
      </w:r>
      <w:r w:rsidR="27F36CA7" w:rsidRPr="00D03F1F">
        <w:rPr>
          <w:rStyle w:val="normaltextrun"/>
          <w:rFonts w:ascii="Calibri" w:eastAsia="Arial" w:hAnsi="Calibri" w:cs="Calibri"/>
        </w:rPr>
        <w:t>wa</w:t>
      </w:r>
      <w:r w:rsidRPr="00D03F1F">
        <w:rPr>
          <w:rStyle w:val="normaltextrun"/>
          <w:rFonts w:ascii="Calibri" w:eastAsia="Arial" w:hAnsi="Calibri" w:cs="Calibri"/>
        </w:rPr>
        <w:t>s known about their health status, risk factors, resiliency, family/community supports or child</w:t>
      </w:r>
      <w:r w:rsidR="00452F96">
        <w:rPr>
          <w:rStyle w:val="normaltextrun"/>
          <w:rFonts w:ascii="Calibri" w:eastAsia="Arial" w:hAnsi="Calibri" w:cs="Calibri"/>
        </w:rPr>
        <w:t xml:space="preserve"> </w:t>
      </w:r>
      <w:r w:rsidRPr="00D03F1F">
        <w:rPr>
          <w:rStyle w:val="normaltextrun"/>
          <w:rFonts w:ascii="Calibri" w:eastAsia="Arial" w:hAnsi="Calibri" w:cs="Calibri"/>
        </w:rPr>
        <w:t>care arrangements</w:t>
      </w:r>
      <w:r w:rsidRPr="00D03F1F">
        <w:rPr>
          <w:rFonts w:cs="Calibri"/>
        </w:rPr>
        <w:t xml:space="preserve">. </w:t>
      </w:r>
      <w:r w:rsidR="00452F96" w:rsidRPr="71D2A87E">
        <w:rPr>
          <w:rFonts w:eastAsia="Arial" w:cs="Calibri"/>
          <w:i/>
          <w:iCs/>
        </w:rPr>
        <w:t>Best Starts</w:t>
      </w:r>
      <w:r w:rsidR="00452F96" w:rsidRPr="00D03F1F">
        <w:rPr>
          <w:rFonts w:eastAsia="Arial" w:cs="Calibri"/>
        </w:rPr>
        <w:t xml:space="preserve"> Health Survey </w:t>
      </w:r>
      <w:r w:rsidR="00452F96">
        <w:rPr>
          <w:rFonts w:eastAsia="Arial" w:cs="Calibri"/>
        </w:rPr>
        <w:t>q</w:t>
      </w:r>
      <w:r w:rsidRPr="00D03F1F">
        <w:rPr>
          <w:rFonts w:cs="Calibri"/>
        </w:rPr>
        <w:t>uestions cover demographics, overall health, child and family resiliency, breastfeeding, use of preventive health care services, experience with health care providers, child development, physical activity and obesity, child</w:t>
      </w:r>
      <w:r w:rsidR="00452F96">
        <w:rPr>
          <w:rFonts w:cs="Calibri"/>
        </w:rPr>
        <w:t xml:space="preserve"> </w:t>
      </w:r>
      <w:r w:rsidRPr="00D03F1F">
        <w:rPr>
          <w:rFonts w:cs="Calibri"/>
        </w:rPr>
        <w:t>care arrangements</w:t>
      </w:r>
      <w:r w:rsidR="61843B6E" w:rsidRPr="00D03F1F">
        <w:rPr>
          <w:rFonts w:cs="Calibri"/>
        </w:rPr>
        <w:t>,</w:t>
      </w:r>
      <w:r w:rsidRPr="00D03F1F">
        <w:rPr>
          <w:rFonts w:cs="Calibri"/>
        </w:rPr>
        <w:t xml:space="preserve"> and family and community supports. </w:t>
      </w:r>
      <w:r w:rsidRPr="00D03F1F">
        <w:rPr>
          <w:rStyle w:val="normaltextrun"/>
          <w:rFonts w:ascii="Calibri" w:eastAsia="Arial" w:hAnsi="Calibri" w:cs="Calibri"/>
        </w:rPr>
        <w:t xml:space="preserve">These are the very </w:t>
      </w:r>
      <w:r w:rsidR="00A76614">
        <w:rPr>
          <w:rStyle w:val="normaltextrun"/>
          <w:rFonts w:ascii="Calibri" w:eastAsia="Arial" w:hAnsi="Calibri" w:cs="Calibri"/>
        </w:rPr>
        <w:t>child and youth wellness factors</w:t>
      </w:r>
      <w:r w:rsidRPr="00D03F1F">
        <w:rPr>
          <w:rStyle w:val="normaltextrun"/>
          <w:rFonts w:ascii="Calibri" w:eastAsia="Arial" w:hAnsi="Calibri" w:cs="Calibri"/>
        </w:rPr>
        <w:t xml:space="preserve"> that </w:t>
      </w:r>
      <w:r w:rsidR="659938BE" w:rsidRPr="71D2A87E">
        <w:rPr>
          <w:rStyle w:val="normaltextrun"/>
          <w:rFonts w:ascii="Calibri" w:eastAsia="Arial" w:hAnsi="Calibri" w:cs="Calibri"/>
          <w:i/>
          <w:iCs/>
        </w:rPr>
        <w:t>Best Starts</w:t>
      </w:r>
      <w:r w:rsidRPr="00D03F1F">
        <w:rPr>
          <w:rStyle w:val="normaltextrun"/>
          <w:rFonts w:ascii="Calibri" w:eastAsia="Arial" w:hAnsi="Calibri" w:cs="Calibri"/>
        </w:rPr>
        <w:t xml:space="preserve"> is working to strengthen. </w:t>
      </w:r>
    </w:p>
    <w:p w14:paraId="0DAC3BB7" w14:textId="6D5D097F" w:rsidR="00D90375" w:rsidRDefault="00D90375" w:rsidP="005F3393">
      <w:pPr>
        <w:contextualSpacing/>
        <w:rPr>
          <w:rFonts w:eastAsia="Arial" w:cs="Calibri"/>
        </w:rPr>
      </w:pPr>
    </w:p>
    <w:p w14:paraId="254230A5" w14:textId="1497610F" w:rsidR="00597ABA" w:rsidRDefault="00597ABA" w:rsidP="005F3393">
      <w:pPr>
        <w:contextualSpacing/>
        <w:rPr>
          <w:rFonts w:eastAsia="Arial" w:cs="Calibri"/>
        </w:rPr>
      </w:pPr>
      <w:r w:rsidRPr="00597ABA">
        <w:rPr>
          <w:rFonts w:eastAsia="Arial" w:cs="Calibri"/>
        </w:rPr>
        <w:t xml:space="preserve">Additionally, to the extent possible, </w:t>
      </w:r>
      <w:r w:rsidRPr="00597ABA">
        <w:rPr>
          <w:rFonts w:eastAsia="Arial" w:cs="Calibri"/>
          <w:i/>
        </w:rPr>
        <w:t>Best Starts'</w:t>
      </w:r>
      <w:r w:rsidRPr="00597ABA">
        <w:rPr>
          <w:rFonts w:eastAsia="Arial" w:cs="Calibri"/>
        </w:rPr>
        <w:t xml:space="preserve"> population analyses and related reporting will examine data from areas within or outside of the county, or both, where comparable levy-funded grants, programs and services have not been made to help understand the magnitude of impact of </w:t>
      </w:r>
      <w:r w:rsidRPr="00597ABA">
        <w:rPr>
          <w:rFonts w:eastAsia="Arial" w:cs="Calibri"/>
          <w:i/>
        </w:rPr>
        <w:t>Best Starts'</w:t>
      </w:r>
      <w:r w:rsidRPr="00597ABA">
        <w:rPr>
          <w:rFonts w:eastAsia="Arial" w:cs="Calibri"/>
          <w:iCs/>
        </w:rPr>
        <w:t xml:space="preserve"> investments on population-level indicators, including whether there is a statistically </w:t>
      </w:r>
      <w:r w:rsidRPr="00597ABA">
        <w:rPr>
          <w:rFonts w:eastAsia="Arial" w:cs="Calibri"/>
        </w:rPr>
        <w:t>significant difference in trends.</w:t>
      </w:r>
    </w:p>
    <w:p w14:paraId="0E733A58" w14:textId="77777777" w:rsidR="00597ABA" w:rsidRPr="00D03F1F" w:rsidRDefault="00597ABA" w:rsidP="005F3393">
      <w:pPr>
        <w:contextualSpacing/>
        <w:rPr>
          <w:rFonts w:eastAsia="Arial" w:cs="Calibri"/>
        </w:rPr>
      </w:pPr>
    </w:p>
    <w:p w14:paraId="237B9E65" w14:textId="2B9DC437" w:rsidR="00D90375" w:rsidRPr="004529B6" w:rsidRDefault="00D90375" w:rsidP="004529B6">
      <w:pPr>
        <w:rPr>
          <w:b/>
          <w:bCs/>
        </w:rPr>
      </w:pPr>
      <w:r w:rsidRPr="004529B6">
        <w:rPr>
          <w:b/>
          <w:bCs/>
        </w:rPr>
        <w:t xml:space="preserve">Performance Measurement </w:t>
      </w:r>
    </w:p>
    <w:p w14:paraId="069DF829" w14:textId="5E240FB9" w:rsidR="00D90375" w:rsidRPr="00D03F1F" w:rsidRDefault="659938BE" w:rsidP="005F3393">
      <w:pPr>
        <w:contextualSpacing/>
        <w:rPr>
          <w:rFonts w:cs="Calibri"/>
        </w:rPr>
      </w:pPr>
      <w:r w:rsidRPr="71D2A87E">
        <w:rPr>
          <w:rFonts w:cs="Calibri"/>
          <w:i/>
          <w:iCs/>
        </w:rPr>
        <w:t>Best Starts</w:t>
      </w:r>
      <w:r w:rsidR="56ACD243" w:rsidRPr="00D03F1F">
        <w:rPr>
          <w:rFonts w:cs="Calibri"/>
        </w:rPr>
        <w:t xml:space="preserve"> will measure</w:t>
      </w:r>
      <w:r w:rsidR="5443FE99" w:rsidRPr="71D2A87E">
        <w:rPr>
          <w:rFonts w:cs="Calibri"/>
        </w:rPr>
        <w:t xml:space="preserve"> performance</w:t>
      </w:r>
      <w:r w:rsidR="56ACD243" w:rsidRPr="00D03F1F">
        <w:rPr>
          <w:rFonts w:cs="Calibri"/>
        </w:rPr>
        <w:t xml:space="preserve"> of individual programs or strategies to assess how the program is being implemented and whether it is successfully driving positive outcomes for participating children, youth, and families. </w:t>
      </w:r>
      <w:r w:rsidR="6FED9FD7" w:rsidRPr="71D2A87E">
        <w:rPr>
          <w:rFonts w:cs="Calibri"/>
        </w:rPr>
        <w:t>As</w:t>
      </w:r>
      <w:r w:rsidR="56ACD243" w:rsidRPr="00D03F1F">
        <w:rPr>
          <w:rFonts w:cs="Calibri"/>
        </w:rPr>
        <w:t xml:space="preserve"> appropriate, programs will measure each of the three domains defined by RBA:</w:t>
      </w:r>
    </w:p>
    <w:p w14:paraId="7545E5BA" w14:textId="510073E3" w:rsidR="00D90375" w:rsidRPr="00D03F1F" w:rsidRDefault="00D90375" w:rsidP="009230D5">
      <w:pPr>
        <w:pStyle w:val="ListParagraph"/>
        <w:numPr>
          <w:ilvl w:val="0"/>
          <w:numId w:val="10"/>
        </w:numPr>
        <w:rPr>
          <w:rFonts w:eastAsia="Calibri" w:cs="Calibri"/>
        </w:rPr>
      </w:pPr>
      <w:r w:rsidRPr="00D03F1F">
        <w:rPr>
          <w:rFonts w:eastAsia="Calibri" w:cs="Calibri"/>
          <w:b/>
        </w:rPr>
        <w:t>How much did we do?</w:t>
      </w:r>
    </w:p>
    <w:p w14:paraId="158B108D" w14:textId="2BC76DD6" w:rsidR="00D90375" w:rsidRPr="00D03F1F" w:rsidRDefault="00D90375" w:rsidP="009230D5">
      <w:pPr>
        <w:pStyle w:val="ListParagraph"/>
        <w:numPr>
          <w:ilvl w:val="0"/>
          <w:numId w:val="10"/>
        </w:numPr>
        <w:rPr>
          <w:rFonts w:eastAsia="Calibri" w:cs="Calibri"/>
        </w:rPr>
      </w:pPr>
      <w:r w:rsidRPr="00D03F1F">
        <w:rPr>
          <w:rFonts w:eastAsia="Calibri" w:cs="Calibri"/>
          <w:b/>
        </w:rPr>
        <w:t>How well did we do it?</w:t>
      </w:r>
    </w:p>
    <w:p w14:paraId="1306ADFE" w14:textId="119DEE3D" w:rsidR="00D90375" w:rsidRPr="00D03F1F" w:rsidRDefault="00D90375" w:rsidP="009230D5">
      <w:pPr>
        <w:pStyle w:val="ListParagraph"/>
        <w:numPr>
          <w:ilvl w:val="0"/>
          <w:numId w:val="10"/>
        </w:numPr>
        <w:rPr>
          <w:rFonts w:eastAsia="Calibri" w:cs="Calibri"/>
        </w:rPr>
      </w:pPr>
      <w:r w:rsidRPr="00D03F1F">
        <w:rPr>
          <w:rFonts w:eastAsia="Calibri" w:cs="Calibri"/>
          <w:b/>
        </w:rPr>
        <w:t>Is anyone better off?</w:t>
      </w:r>
    </w:p>
    <w:p w14:paraId="024DA8AB" w14:textId="77777777" w:rsidR="00D90375" w:rsidRPr="00D03F1F" w:rsidRDefault="00D90375" w:rsidP="005F3393">
      <w:pPr>
        <w:contextualSpacing/>
        <w:rPr>
          <w:rFonts w:cs="Calibri"/>
        </w:rPr>
      </w:pPr>
    </w:p>
    <w:p w14:paraId="03B32F49" w14:textId="188957B5" w:rsidR="009C1541" w:rsidRDefault="008C1B55" w:rsidP="005F3393">
      <w:pPr>
        <w:contextualSpacing/>
        <w:rPr>
          <w:rFonts w:eastAsia="Arial" w:cs="Calibri"/>
        </w:rPr>
      </w:pPr>
      <w:r w:rsidRPr="00D03F1F">
        <w:rPr>
          <w:rFonts w:eastAsia="Calibri" w:cs="Calibri"/>
        </w:rPr>
        <w:t>Performance measures will vary across programs by population served, duration of services, type of activity, and duration of funding, and may be either quantitative or qualitative</w:t>
      </w:r>
      <w:r>
        <w:rPr>
          <w:rFonts w:eastAsia="Calibri" w:cs="Calibri"/>
        </w:rPr>
        <w:t>.</w:t>
      </w:r>
      <w:r w:rsidRPr="00D03F1F">
        <w:rPr>
          <w:rFonts w:cs="Calibri"/>
        </w:rPr>
        <w:t xml:space="preserve"> </w:t>
      </w:r>
      <w:r w:rsidR="56ACD243">
        <w:rPr>
          <w:rFonts w:cs="Calibri"/>
        </w:rPr>
        <w:t xml:space="preserve">While some </w:t>
      </w:r>
      <w:r w:rsidR="007E4000">
        <w:rPr>
          <w:rFonts w:cs="Calibri"/>
        </w:rPr>
        <w:t>program</w:t>
      </w:r>
      <w:r w:rsidR="00D774B8">
        <w:rPr>
          <w:rFonts w:cs="Calibri"/>
        </w:rPr>
        <w:t xml:space="preserve"> models</w:t>
      </w:r>
      <w:r w:rsidR="56ACD243">
        <w:rPr>
          <w:rFonts w:cs="Calibri"/>
        </w:rPr>
        <w:t xml:space="preserve"> will </w:t>
      </w:r>
      <w:r w:rsidR="00D774B8">
        <w:rPr>
          <w:rFonts w:cs="Calibri"/>
        </w:rPr>
        <w:t xml:space="preserve">require flexibility </w:t>
      </w:r>
      <w:r w:rsidR="00097726">
        <w:rPr>
          <w:rFonts w:cs="Calibri"/>
        </w:rPr>
        <w:t>in</w:t>
      </w:r>
      <w:r w:rsidR="00066105">
        <w:rPr>
          <w:rFonts w:cs="Calibri"/>
        </w:rPr>
        <w:t xml:space="preserve"> the RBA framework, </w:t>
      </w:r>
      <w:r w:rsidR="00066105" w:rsidRPr="0017705C">
        <w:rPr>
          <w:rFonts w:cs="Calibri"/>
        </w:rPr>
        <w:t xml:space="preserve">like </w:t>
      </w:r>
      <w:r w:rsidR="00843865" w:rsidRPr="0017705C">
        <w:rPr>
          <w:rFonts w:cs="Calibri"/>
        </w:rPr>
        <w:t>basic goods distribution</w:t>
      </w:r>
      <w:r w:rsidR="00756468">
        <w:rPr>
          <w:rFonts w:cs="Calibri"/>
        </w:rPr>
        <w:t xml:space="preserve"> or systems</w:t>
      </w:r>
      <w:r w:rsidR="56ACD243">
        <w:rPr>
          <w:rFonts w:cs="Calibri"/>
        </w:rPr>
        <w:t xml:space="preserve">-level </w:t>
      </w:r>
      <w:r w:rsidR="00756468">
        <w:rPr>
          <w:rFonts w:cs="Calibri"/>
        </w:rPr>
        <w:t>programs</w:t>
      </w:r>
      <w:r w:rsidR="00843865">
        <w:rPr>
          <w:rFonts w:cs="Calibri"/>
        </w:rPr>
        <w:t xml:space="preserve"> that </w:t>
      </w:r>
      <w:r w:rsidR="00756468">
        <w:rPr>
          <w:rFonts w:cs="Calibri"/>
        </w:rPr>
        <w:t>do</w:t>
      </w:r>
      <w:r w:rsidR="00B651D4">
        <w:rPr>
          <w:rFonts w:cs="Calibri"/>
        </w:rPr>
        <w:t xml:space="preserve"> no</w:t>
      </w:r>
      <w:r w:rsidR="00756468">
        <w:rPr>
          <w:rFonts w:cs="Calibri"/>
        </w:rPr>
        <w:t>t involve individual enrollment</w:t>
      </w:r>
      <w:r w:rsidR="56ACD243">
        <w:rPr>
          <w:rFonts w:cs="Calibri"/>
        </w:rPr>
        <w:t xml:space="preserve">, </w:t>
      </w:r>
      <w:r w:rsidR="56ACD243" w:rsidRPr="00D03F1F">
        <w:rPr>
          <w:rFonts w:eastAsia="Arial" w:cs="Calibri"/>
        </w:rPr>
        <w:t xml:space="preserve">measures will be regularly reported by all </w:t>
      </w:r>
      <w:r w:rsidR="285507EF" w:rsidRPr="00D03F1F">
        <w:rPr>
          <w:rFonts w:eastAsia="Arial" w:cs="Calibri"/>
        </w:rPr>
        <w:t xml:space="preserve">contracted partners </w:t>
      </w:r>
      <w:r w:rsidR="56ACD243" w:rsidRPr="00D03F1F">
        <w:rPr>
          <w:rFonts w:eastAsia="Arial" w:cs="Calibri"/>
        </w:rPr>
        <w:t xml:space="preserve">across all strategies and programs. </w:t>
      </w:r>
      <w:r w:rsidR="00DD7F46">
        <w:rPr>
          <w:rFonts w:eastAsia="Arial" w:cs="Calibri"/>
        </w:rPr>
        <w:t xml:space="preserve">The timeline for developing </w:t>
      </w:r>
      <w:r w:rsidR="00EA07DD">
        <w:rPr>
          <w:rFonts w:eastAsia="Arial" w:cs="Calibri"/>
        </w:rPr>
        <w:t>and reporting</w:t>
      </w:r>
      <w:r w:rsidR="00DD7F46">
        <w:rPr>
          <w:rFonts w:eastAsia="Arial" w:cs="Calibri"/>
        </w:rPr>
        <w:t xml:space="preserve"> measures </w:t>
      </w:r>
      <w:r w:rsidR="00DC7814">
        <w:rPr>
          <w:rFonts w:eastAsia="Arial" w:cs="Calibri"/>
        </w:rPr>
        <w:t xml:space="preserve">will be distinct </w:t>
      </w:r>
      <w:r w:rsidR="00DD7F46">
        <w:rPr>
          <w:rFonts w:eastAsia="Arial" w:cs="Calibri"/>
        </w:rPr>
        <w:t xml:space="preserve">for each program </w:t>
      </w:r>
      <w:r w:rsidR="00DC7814">
        <w:rPr>
          <w:rFonts w:eastAsia="Arial" w:cs="Calibri"/>
        </w:rPr>
        <w:t>and</w:t>
      </w:r>
      <w:r w:rsidR="00DD7F46">
        <w:rPr>
          <w:rFonts w:eastAsia="Arial" w:cs="Calibri"/>
        </w:rPr>
        <w:t xml:space="preserve"> will depend on </w:t>
      </w:r>
      <w:r w:rsidR="00705E94">
        <w:rPr>
          <w:rFonts w:eastAsia="Arial" w:cs="Calibri"/>
        </w:rPr>
        <w:t xml:space="preserve">when the program </w:t>
      </w:r>
      <w:r w:rsidR="00A91C06">
        <w:rPr>
          <w:rFonts w:eastAsia="Arial" w:cs="Calibri"/>
        </w:rPr>
        <w:t xml:space="preserve">is fully </w:t>
      </w:r>
      <w:r w:rsidR="00142369">
        <w:rPr>
          <w:rFonts w:eastAsia="Arial" w:cs="Calibri"/>
        </w:rPr>
        <w:t xml:space="preserve">operational, </w:t>
      </w:r>
      <w:r w:rsidR="00255BFC">
        <w:rPr>
          <w:rFonts w:eastAsia="Arial" w:cs="Calibri"/>
        </w:rPr>
        <w:t>the duration of enrollment</w:t>
      </w:r>
      <w:r w:rsidR="00E74D96">
        <w:rPr>
          <w:rFonts w:eastAsia="Arial" w:cs="Calibri"/>
        </w:rPr>
        <w:t xml:space="preserve"> </w:t>
      </w:r>
      <w:r w:rsidR="00152D04">
        <w:rPr>
          <w:rFonts w:eastAsia="Arial" w:cs="Calibri"/>
        </w:rPr>
        <w:t xml:space="preserve">or services, </w:t>
      </w:r>
      <w:r w:rsidR="006E4C43">
        <w:rPr>
          <w:rFonts w:eastAsia="Arial" w:cs="Calibri"/>
        </w:rPr>
        <w:t>and the time needed for data collection</w:t>
      </w:r>
      <w:r w:rsidR="00D50EE7">
        <w:rPr>
          <w:rFonts w:eastAsia="Arial" w:cs="Calibri"/>
        </w:rPr>
        <w:t>.</w:t>
      </w:r>
      <w:r w:rsidR="00791013">
        <w:rPr>
          <w:rFonts w:eastAsia="Arial" w:cs="Calibri"/>
        </w:rPr>
        <w:t xml:space="preserve"> </w:t>
      </w:r>
    </w:p>
    <w:p w14:paraId="5EBD1E66" w14:textId="77777777" w:rsidR="008E0EAF" w:rsidRDefault="008E0EAF" w:rsidP="005F3393">
      <w:pPr>
        <w:contextualSpacing/>
        <w:rPr>
          <w:rFonts w:eastAsia="Arial" w:cs="Calibri"/>
        </w:rPr>
      </w:pPr>
    </w:p>
    <w:p w14:paraId="551DA349" w14:textId="1E0B504E" w:rsidR="00FD0011" w:rsidRPr="00FD0011" w:rsidRDefault="009C1541" w:rsidP="00FD0011">
      <w:pPr>
        <w:contextualSpacing/>
        <w:rPr>
          <w:rFonts w:cs="Calibri"/>
        </w:rPr>
      </w:pPr>
      <w:r w:rsidRPr="00D03F1F">
        <w:rPr>
          <w:rFonts w:cs="Calibri"/>
        </w:rPr>
        <w:t xml:space="preserve">Proposed performance measures for each investment area will be included in RFPs. </w:t>
      </w:r>
      <w:r>
        <w:rPr>
          <w:rFonts w:cs="Calibri"/>
        </w:rPr>
        <w:t>F</w:t>
      </w:r>
      <w:r w:rsidRPr="00D03F1F">
        <w:rPr>
          <w:rFonts w:cs="Calibri"/>
        </w:rPr>
        <w:t>inal program-specific performance measures and data collection methods will be developed in partnership with funded entities.</w:t>
      </w:r>
      <w:r w:rsidR="00EE6F11">
        <w:rPr>
          <w:rStyle w:val="FootnoteReference"/>
          <w:rFonts w:cs="Calibri"/>
        </w:rPr>
        <w:footnoteReference w:id="236"/>
      </w:r>
      <w:r w:rsidRPr="00D03F1F">
        <w:rPr>
          <w:rFonts w:cs="Calibri"/>
        </w:rPr>
        <w:t xml:space="preserve"> This approach will strengthen partnerships between King County and </w:t>
      </w:r>
      <w:r w:rsidRPr="00D03F1F">
        <w:rPr>
          <w:rFonts w:cs="Calibri"/>
          <w:i/>
        </w:rPr>
        <w:t>Best Starts</w:t>
      </w:r>
      <w:r>
        <w:rPr>
          <w:rFonts w:cs="Calibri"/>
        </w:rPr>
        <w:t xml:space="preserve"> grantees and</w:t>
      </w:r>
      <w:r w:rsidRPr="00D03F1F">
        <w:rPr>
          <w:rFonts w:cs="Calibri"/>
        </w:rPr>
        <w:t xml:space="preserve"> </w:t>
      </w:r>
      <w:r w:rsidR="005C01F9">
        <w:rPr>
          <w:rFonts w:cs="Calibri"/>
        </w:rPr>
        <w:t xml:space="preserve">will </w:t>
      </w:r>
      <w:r w:rsidRPr="00D03F1F">
        <w:rPr>
          <w:rFonts w:cs="Calibri"/>
        </w:rPr>
        <w:t xml:space="preserve">ensure </w:t>
      </w:r>
      <w:r w:rsidR="005C01F9">
        <w:rPr>
          <w:rFonts w:cs="Calibri"/>
        </w:rPr>
        <w:t xml:space="preserve">that </w:t>
      </w:r>
      <w:r w:rsidR="005C01F9" w:rsidRPr="00B37AC7">
        <w:rPr>
          <w:rFonts w:cs="Calibri"/>
          <w:i/>
        </w:rPr>
        <w:t>Best Starts</w:t>
      </w:r>
      <w:r w:rsidR="005C01F9">
        <w:rPr>
          <w:rFonts w:cs="Calibri"/>
        </w:rPr>
        <w:t xml:space="preserve"> </w:t>
      </w:r>
      <w:r w:rsidRPr="00D03F1F">
        <w:rPr>
          <w:rFonts w:cs="Calibri"/>
        </w:rPr>
        <w:t>measurement reflects program</w:t>
      </w:r>
      <w:r w:rsidR="005C01F9">
        <w:rPr>
          <w:rFonts w:cs="Calibri"/>
        </w:rPr>
        <w:t>s’</w:t>
      </w:r>
      <w:r w:rsidRPr="00D03F1F">
        <w:rPr>
          <w:rFonts w:cs="Calibri"/>
        </w:rPr>
        <w:t xml:space="preserve"> </w:t>
      </w:r>
      <w:r>
        <w:rPr>
          <w:rFonts w:cs="Calibri"/>
        </w:rPr>
        <w:t>and</w:t>
      </w:r>
      <w:r w:rsidRPr="00D03F1F">
        <w:rPr>
          <w:rFonts w:cs="Calibri"/>
        </w:rPr>
        <w:t xml:space="preserve"> </w:t>
      </w:r>
      <w:r w:rsidR="005C01F9">
        <w:rPr>
          <w:rFonts w:cs="Calibri"/>
        </w:rPr>
        <w:t>communities’</w:t>
      </w:r>
      <w:r w:rsidR="005C01F9" w:rsidRPr="00D03F1F">
        <w:rPr>
          <w:rFonts w:cs="Calibri"/>
        </w:rPr>
        <w:t xml:space="preserve"> </w:t>
      </w:r>
      <w:r w:rsidRPr="00D03F1F">
        <w:rPr>
          <w:rFonts w:cs="Calibri"/>
        </w:rPr>
        <w:t>definition</w:t>
      </w:r>
      <w:r w:rsidR="005C01F9">
        <w:rPr>
          <w:rFonts w:cs="Calibri"/>
        </w:rPr>
        <w:t>s</w:t>
      </w:r>
      <w:r w:rsidRPr="00D03F1F">
        <w:rPr>
          <w:rFonts w:cs="Calibri"/>
        </w:rPr>
        <w:t xml:space="preserve"> of progress.</w:t>
      </w:r>
      <w:r w:rsidR="003433BA">
        <w:rPr>
          <w:rFonts w:cs="Calibri"/>
        </w:rPr>
        <w:t xml:space="preserve"> Example performance measures </w:t>
      </w:r>
      <w:r w:rsidR="005906DD">
        <w:rPr>
          <w:rFonts w:cs="Calibri"/>
        </w:rPr>
        <w:t>are shown in Table 1</w:t>
      </w:r>
      <w:r w:rsidR="00B8538C">
        <w:rPr>
          <w:rFonts w:cs="Calibri"/>
        </w:rPr>
        <w:t>3</w:t>
      </w:r>
      <w:r w:rsidR="005906DD">
        <w:rPr>
          <w:rFonts w:cs="Calibri"/>
        </w:rPr>
        <w:t xml:space="preserve"> below. </w:t>
      </w:r>
    </w:p>
    <w:p w14:paraId="5BD99283" w14:textId="352427C9" w:rsidR="0029187F" w:rsidRDefault="0029187F" w:rsidP="0029187F">
      <w:pPr>
        <w:pStyle w:val="Caption"/>
        <w:keepNext/>
      </w:pPr>
    </w:p>
    <w:p w14:paraId="371311AC" w14:textId="654331EA" w:rsidR="00B8538C" w:rsidRDefault="00B8538C" w:rsidP="00B8538C">
      <w:pPr>
        <w:pStyle w:val="Caption"/>
        <w:keepNext/>
      </w:pPr>
      <w:r>
        <w:t xml:space="preserve">Table </w:t>
      </w:r>
      <w:fldSimple w:instr=" SEQ Table \* ARABIC ">
        <w:r>
          <w:rPr>
            <w:noProof/>
          </w:rPr>
          <w:t>13</w:t>
        </w:r>
      </w:fldSimple>
      <w:r>
        <w:t xml:space="preserve">: </w:t>
      </w:r>
      <w:r w:rsidRPr="00D86B98">
        <w:t>Performance Measurement Examples</w:t>
      </w:r>
    </w:p>
    <w:tbl>
      <w:tblPr>
        <w:tblStyle w:val="GridTable4-Accent5"/>
        <w:tblW w:w="0" w:type="auto"/>
        <w:tblLook w:val="04A0" w:firstRow="1" w:lastRow="0" w:firstColumn="1" w:lastColumn="0" w:noHBand="0" w:noVBand="1"/>
      </w:tblPr>
      <w:tblGrid>
        <w:gridCol w:w="3030"/>
        <w:gridCol w:w="3191"/>
        <w:gridCol w:w="3079"/>
      </w:tblGrid>
      <w:tr w:rsidR="00E06F89" w14:paraId="7548EBC6" w14:textId="77777777" w:rsidTr="0029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Borders>
              <w:top w:val="single" w:sz="24" w:space="0" w:color="FFC000" w:themeColor="accent4"/>
              <w:left w:val="single" w:sz="24" w:space="0" w:color="FFC000" w:themeColor="accent4"/>
              <w:bottom w:val="none" w:sz="0" w:space="0" w:color="auto"/>
              <w:right w:val="none" w:sz="0" w:space="0" w:color="auto"/>
            </w:tcBorders>
          </w:tcPr>
          <w:p w14:paraId="7D11058A" w14:textId="10BD2592" w:rsidR="00E06F89" w:rsidRPr="00D03F1F" w:rsidRDefault="00E06F89" w:rsidP="00E06F89">
            <w:pPr>
              <w:pStyle w:val="NoSpacing"/>
              <w:contextualSpacing/>
              <w:jc w:val="center"/>
              <w:rPr>
                <w:rFonts w:ascii="Calibri" w:eastAsiaTheme="majorEastAsia" w:hAnsi="Calibri" w:cs="Calibri"/>
                <w:sz w:val="24"/>
                <w:szCs w:val="24"/>
              </w:rPr>
            </w:pPr>
            <w:r w:rsidRPr="001B4491">
              <w:rPr>
                <w:rFonts w:ascii="Calibri" w:eastAsiaTheme="majorEastAsia" w:hAnsi="Calibri" w:cs="Calibri"/>
                <w:sz w:val="24"/>
                <w:szCs w:val="24"/>
              </w:rPr>
              <w:t>How much did we do?</w:t>
            </w:r>
          </w:p>
        </w:tc>
        <w:tc>
          <w:tcPr>
            <w:tcW w:w="3191" w:type="dxa"/>
            <w:tcBorders>
              <w:top w:val="single" w:sz="24" w:space="0" w:color="FFC000" w:themeColor="accent4"/>
              <w:left w:val="none" w:sz="0" w:space="0" w:color="auto"/>
              <w:bottom w:val="none" w:sz="0" w:space="0" w:color="auto"/>
              <w:right w:val="none" w:sz="0" w:space="0" w:color="auto"/>
            </w:tcBorders>
          </w:tcPr>
          <w:p w14:paraId="2FDCB126" w14:textId="49223B49" w:rsidR="00E06F89" w:rsidRPr="00D03F1F" w:rsidRDefault="00E06F89" w:rsidP="00E06F89">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Pr>
                <w:rFonts w:ascii="Calibri" w:eastAsiaTheme="majorEastAsia" w:hAnsi="Calibri" w:cs="Calibri"/>
                <w:sz w:val="24"/>
                <w:szCs w:val="24"/>
              </w:rPr>
              <w:t>How well did we do it?</w:t>
            </w:r>
          </w:p>
        </w:tc>
        <w:tc>
          <w:tcPr>
            <w:tcW w:w="3079" w:type="dxa"/>
            <w:tcBorders>
              <w:top w:val="single" w:sz="24" w:space="0" w:color="FFC000" w:themeColor="accent4"/>
              <w:left w:val="none" w:sz="0" w:space="0" w:color="auto"/>
              <w:bottom w:val="none" w:sz="0" w:space="0" w:color="auto"/>
              <w:right w:val="single" w:sz="24" w:space="0" w:color="FFC000" w:themeColor="accent4"/>
            </w:tcBorders>
          </w:tcPr>
          <w:p w14:paraId="110E8675" w14:textId="364CD789" w:rsidR="00E06F89" w:rsidRPr="00D03F1F" w:rsidRDefault="00E06F89" w:rsidP="00E06F89">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sidRPr="001B4491">
              <w:rPr>
                <w:rFonts w:ascii="Calibri" w:eastAsiaTheme="majorEastAsia" w:hAnsi="Calibri" w:cs="Calibri"/>
                <w:sz w:val="24"/>
                <w:szCs w:val="24"/>
              </w:rPr>
              <w:t>Is anyone better off?</w:t>
            </w:r>
          </w:p>
        </w:tc>
      </w:tr>
      <w:tr w:rsidR="00E06F89" w14:paraId="04742A1D" w14:textId="77777777" w:rsidTr="0029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Borders>
              <w:left w:val="single" w:sz="24" w:space="0" w:color="FFC000" w:themeColor="accent4"/>
            </w:tcBorders>
          </w:tcPr>
          <w:p w14:paraId="098A10C1" w14:textId="393BF262" w:rsidR="00E06F89" w:rsidRPr="00E06F89" w:rsidRDefault="00E06F89" w:rsidP="00E06F89">
            <w:pPr>
              <w:pStyle w:val="NoSpacing"/>
              <w:contextualSpacing/>
              <w:rPr>
                <w:rFonts w:ascii="Calibri" w:eastAsiaTheme="majorEastAsia" w:hAnsi="Calibri" w:cs="Calibri"/>
                <w:b w:val="0"/>
                <w:bCs w:val="0"/>
              </w:rPr>
            </w:pPr>
            <w:r w:rsidRPr="00E06F89">
              <w:rPr>
                <w:rFonts w:eastAsia="Arial" w:cs="Calibri"/>
                <w:b w:val="0"/>
                <w:bCs w:val="0"/>
              </w:rPr>
              <w:t>Number of youth enrolled</w:t>
            </w:r>
          </w:p>
        </w:tc>
        <w:tc>
          <w:tcPr>
            <w:tcW w:w="3191" w:type="dxa"/>
          </w:tcPr>
          <w:p w14:paraId="544D00AE" w14:textId="4C886624" w:rsidR="00E06F89" w:rsidRPr="00E06F89" w:rsidRDefault="00E06F89" w:rsidP="00E06F89">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E06F89">
              <w:rPr>
                <w:rFonts w:eastAsia="Arial" w:cs="Calibri"/>
              </w:rPr>
              <w:t>Percent of children with service start within 30 days</w:t>
            </w:r>
          </w:p>
        </w:tc>
        <w:tc>
          <w:tcPr>
            <w:tcW w:w="3079" w:type="dxa"/>
            <w:tcBorders>
              <w:top w:val="single" w:sz="4" w:space="0" w:color="5B9BD5" w:themeColor="accent5"/>
              <w:right w:val="single" w:sz="24" w:space="0" w:color="FFC000" w:themeColor="accent4"/>
            </w:tcBorders>
          </w:tcPr>
          <w:p w14:paraId="10B17F7A" w14:textId="71EF11C3" w:rsidR="00E06F89" w:rsidRPr="00E06F89" w:rsidRDefault="00E06F89" w:rsidP="00E06F89">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E06F89">
              <w:rPr>
                <w:rFonts w:eastAsia="Arial" w:cs="Calibri"/>
              </w:rPr>
              <w:t>Percent of youth who gain employment</w:t>
            </w:r>
          </w:p>
        </w:tc>
      </w:tr>
      <w:tr w:rsidR="00E06F89" w14:paraId="6E8CCCA3" w14:textId="77777777" w:rsidTr="0029187F">
        <w:tc>
          <w:tcPr>
            <w:cnfStyle w:val="001000000000" w:firstRow="0" w:lastRow="0" w:firstColumn="1" w:lastColumn="0" w:oddVBand="0" w:evenVBand="0" w:oddHBand="0" w:evenHBand="0" w:firstRowFirstColumn="0" w:firstRowLastColumn="0" w:lastRowFirstColumn="0" w:lastRowLastColumn="0"/>
            <w:tcW w:w="3030" w:type="dxa"/>
            <w:tcBorders>
              <w:left w:val="single" w:sz="24" w:space="0" w:color="FFC000" w:themeColor="accent4"/>
              <w:bottom w:val="single" w:sz="24" w:space="0" w:color="FFC000" w:themeColor="accent4"/>
            </w:tcBorders>
          </w:tcPr>
          <w:p w14:paraId="792B419C" w14:textId="0618891A" w:rsidR="00E06F89" w:rsidRPr="00E06F89" w:rsidRDefault="00E06F89" w:rsidP="00E06F89">
            <w:pPr>
              <w:pStyle w:val="NoSpacing"/>
              <w:contextualSpacing/>
              <w:rPr>
                <w:rFonts w:ascii="Calibri" w:eastAsiaTheme="majorEastAsia" w:hAnsi="Calibri" w:cs="Calibri"/>
                <w:b w:val="0"/>
                <w:bCs w:val="0"/>
              </w:rPr>
            </w:pPr>
            <w:r w:rsidRPr="00E06F89">
              <w:rPr>
                <w:rFonts w:eastAsia="Arial" w:cs="Calibri"/>
                <w:b w:val="0"/>
                <w:bCs w:val="0"/>
              </w:rPr>
              <w:t>Number of basic needs resources distributed</w:t>
            </w:r>
          </w:p>
        </w:tc>
        <w:tc>
          <w:tcPr>
            <w:tcW w:w="3191" w:type="dxa"/>
            <w:tcBorders>
              <w:bottom w:val="single" w:sz="24" w:space="0" w:color="FFC000" w:themeColor="accent4"/>
            </w:tcBorders>
          </w:tcPr>
          <w:p w14:paraId="4A24146D" w14:textId="765063B0" w:rsidR="00E06F89" w:rsidRPr="00E06F89" w:rsidRDefault="00E06F89" w:rsidP="00E06F89">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E06F89">
              <w:rPr>
                <w:rFonts w:eastAsia="Arial" w:cs="Calibri"/>
              </w:rPr>
              <w:t>Percent of parents/caregivers who report that they were treated with respect by staff</w:t>
            </w:r>
          </w:p>
        </w:tc>
        <w:tc>
          <w:tcPr>
            <w:tcW w:w="3079" w:type="dxa"/>
            <w:tcBorders>
              <w:bottom w:val="single" w:sz="24" w:space="0" w:color="FFC000" w:themeColor="accent4"/>
              <w:right w:val="single" w:sz="24" w:space="0" w:color="FFC000" w:themeColor="accent4"/>
            </w:tcBorders>
          </w:tcPr>
          <w:p w14:paraId="0B80FD94" w14:textId="6A8760D3" w:rsidR="00E06F89" w:rsidRPr="00E06F89" w:rsidRDefault="00E06F89" w:rsidP="00E06F89">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E06F89">
              <w:rPr>
                <w:rFonts w:eastAsia="Arial" w:cs="Calibri"/>
              </w:rPr>
              <w:t>Percent of families with increased knowledge of parenting and child development</w:t>
            </w:r>
          </w:p>
        </w:tc>
      </w:tr>
    </w:tbl>
    <w:p w14:paraId="2F7ABA79" w14:textId="734259EC" w:rsidR="00740FD9" w:rsidRDefault="00740FD9" w:rsidP="005F3393">
      <w:pPr>
        <w:contextualSpacing/>
        <w:rPr>
          <w:rFonts w:cs="Calibri"/>
        </w:rPr>
      </w:pPr>
    </w:p>
    <w:p w14:paraId="5380AED1" w14:textId="575A85C7" w:rsidR="00597ABA" w:rsidRDefault="00597ABA" w:rsidP="005F3393">
      <w:pPr>
        <w:contextualSpacing/>
        <w:rPr>
          <w:rFonts w:cs="Calibri"/>
        </w:rPr>
      </w:pPr>
      <w:bookmarkStart w:id="95" w:name="_Hlk83662106"/>
      <w:r w:rsidRPr="00597ABA">
        <w:rPr>
          <w:rFonts w:cs="Calibri"/>
          <w:i/>
        </w:rPr>
        <w:t>Best Starts’</w:t>
      </w:r>
      <w:r w:rsidRPr="00597ABA">
        <w:rPr>
          <w:rFonts w:cs="Calibri"/>
        </w:rPr>
        <w:t xml:space="preserve"> performance measurement analyses will also solicit feedback from grantees and levy-funded service providers regarding recommendations for achieving improvements in services delivery and strategy-level outcomes. Feedback received will be included in the annual reporting for the levy, beginning with the annual report for calendar year 2022.</w:t>
      </w:r>
      <w:bookmarkEnd w:id="95"/>
    </w:p>
    <w:p w14:paraId="46CB169C" w14:textId="77777777" w:rsidR="00597ABA" w:rsidRDefault="00597ABA" w:rsidP="005F3393">
      <w:pPr>
        <w:contextualSpacing/>
        <w:rPr>
          <w:rFonts w:cs="Calibri"/>
        </w:rPr>
      </w:pPr>
    </w:p>
    <w:p w14:paraId="4E372E01" w14:textId="6512F7ED" w:rsidR="00D90375" w:rsidRPr="004529B6" w:rsidRDefault="00D90375" w:rsidP="004529B6">
      <w:pPr>
        <w:rPr>
          <w:b/>
          <w:bCs/>
        </w:rPr>
      </w:pPr>
      <w:r w:rsidRPr="004529B6">
        <w:rPr>
          <w:b/>
          <w:bCs/>
        </w:rPr>
        <w:t>In</w:t>
      </w:r>
      <w:r w:rsidR="005127C1" w:rsidRPr="005127C1">
        <w:rPr>
          <w:rStyle w:val="CommentReference"/>
          <w:b/>
          <w:bCs/>
          <w:sz w:val="22"/>
          <w:szCs w:val="22"/>
        </w:rPr>
        <w:t>-</w:t>
      </w:r>
      <w:r w:rsidRPr="005127C1">
        <w:rPr>
          <w:rStyle w:val="CommentReference"/>
          <w:b/>
          <w:sz w:val="22"/>
          <w:szCs w:val="22"/>
        </w:rPr>
        <w:t>D</w:t>
      </w:r>
      <w:r w:rsidRPr="004529B6">
        <w:rPr>
          <w:b/>
          <w:bCs/>
        </w:rPr>
        <w:t xml:space="preserve">epth Evaluation </w:t>
      </w:r>
    </w:p>
    <w:p w14:paraId="35ECCD95" w14:textId="0F8E32AD" w:rsidR="00D90375" w:rsidRPr="00D03F1F" w:rsidRDefault="659938BE" w:rsidP="005C2958">
      <w:pPr>
        <w:rPr>
          <w:rFonts w:eastAsia="Arial" w:cs="Calibri"/>
        </w:rPr>
      </w:pPr>
      <w:r w:rsidRPr="71D2A87E">
        <w:rPr>
          <w:rFonts w:eastAsia="Arial" w:cs="Calibri"/>
          <w:i/>
          <w:iCs/>
        </w:rPr>
        <w:t>Best Starts</w:t>
      </w:r>
      <w:r w:rsidR="00263DDE">
        <w:rPr>
          <w:rFonts w:eastAsia="Arial" w:cs="Calibri"/>
          <w:i/>
          <w:iCs/>
        </w:rPr>
        <w:t xml:space="preserve">’ </w:t>
      </w:r>
      <w:r w:rsidR="00263DDE">
        <w:rPr>
          <w:rFonts w:eastAsia="Arial" w:cs="Calibri"/>
        </w:rPr>
        <w:t>2022-2027 levy includes</w:t>
      </w:r>
      <w:r w:rsidR="56ACD243" w:rsidRPr="00D03F1F">
        <w:rPr>
          <w:rFonts w:eastAsia="Arial" w:cs="Calibri"/>
        </w:rPr>
        <w:t xml:space="preserve"> a number of programs that already have an existing</w:t>
      </w:r>
      <w:r w:rsidR="00E257F5">
        <w:rPr>
          <w:rFonts w:eastAsia="Arial" w:cs="Calibri"/>
        </w:rPr>
        <w:t>, rigorous</w:t>
      </w:r>
      <w:r w:rsidR="56ACD243" w:rsidRPr="00D03F1F">
        <w:rPr>
          <w:rFonts w:eastAsia="Arial" w:cs="Calibri"/>
        </w:rPr>
        <w:t xml:space="preserve"> evidence basis.</w:t>
      </w:r>
      <w:r w:rsidR="001D0B12">
        <w:rPr>
          <w:rStyle w:val="FootnoteReference"/>
          <w:rFonts w:eastAsia="Arial" w:cs="Calibri"/>
        </w:rPr>
        <w:footnoteReference w:id="237"/>
      </w:r>
      <w:r w:rsidR="56ACD243" w:rsidRPr="00D03F1F">
        <w:rPr>
          <w:rFonts w:eastAsia="Arial" w:cs="Calibri"/>
        </w:rPr>
        <w:t xml:space="preserve"> For</w:t>
      </w:r>
      <w:r w:rsidR="56ACD243" w:rsidRPr="71D2A87E" w:rsidDel="00D90375">
        <w:rPr>
          <w:rFonts w:eastAsia="Arial" w:cs="Calibri"/>
        </w:rPr>
        <w:t xml:space="preserve"> </w:t>
      </w:r>
      <w:r w:rsidR="5DC8CE2F" w:rsidRPr="71D2A87E" w:rsidDel="00D90375">
        <w:rPr>
          <w:rFonts w:eastAsia="Arial" w:cs="Calibri"/>
        </w:rPr>
        <w:t xml:space="preserve">this subset of </w:t>
      </w:r>
      <w:r w:rsidR="4332944D" w:rsidRPr="71D2A87E">
        <w:rPr>
          <w:rFonts w:eastAsia="Arial" w:cs="Calibri"/>
        </w:rPr>
        <w:t xml:space="preserve">existing </w:t>
      </w:r>
      <w:r w:rsidR="56ACD243" w:rsidRPr="00D03F1F">
        <w:rPr>
          <w:rFonts w:eastAsia="Arial" w:cs="Calibri"/>
        </w:rPr>
        <w:t xml:space="preserve">programs, </w:t>
      </w:r>
      <w:r w:rsidR="00263DDE">
        <w:rPr>
          <w:rFonts w:eastAsia="Arial" w:cs="Calibri"/>
        </w:rPr>
        <w:t>where</w:t>
      </w:r>
      <w:r w:rsidR="00263DDE" w:rsidRPr="00D03F1F">
        <w:rPr>
          <w:rFonts w:eastAsia="Arial" w:cs="Calibri"/>
        </w:rPr>
        <w:t xml:space="preserve"> </w:t>
      </w:r>
      <w:r w:rsidR="56ACD243" w:rsidRPr="00D03F1F">
        <w:rPr>
          <w:rFonts w:eastAsia="Arial" w:cs="Calibri"/>
        </w:rPr>
        <w:t xml:space="preserve">the causal connection between the program and expected results has already been demonstrated, evaluation </w:t>
      </w:r>
      <w:r w:rsidR="3D7CCD7E" w:rsidRPr="71D2A87E">
        <w:rPr>
          <w:rFonts w:eastAsia="Arial" w:cs="Calibri"/>
        </w:rPr>
        <w:t xml:space="preserve">will </w:t>
      </w:r>
      <w:r w:rsidR="56ACD243" w:rsidRPr="00D03F1F">
        <w:rPr>
          <w:rFonts w:eastAsia="Arial" w:cs="Calibri"/>
        </w:rPr>
        <w:t xml:space="preserve">measure the quantity </w:t>
      </w:r>
      <w:r w:rsidR="005C2958">
        <w:rPr>
          <w:rFonts w:eastAsia="Arial" w:cs="Calibri"/>
        </w:rPr>
        <w:t xml:space="preserve">and impacts </w:t>
      </w:r>
      <w:r w:rsidR="56ACD243" w:rsidRPr="00D03F1F">
        <w:rPr>
          <w:rFonts w:eastAsia="Arial" w:cs="Calibri"/>
        </w:rPr>
        <w:t xml:space="preserve">of </w:t>
      </w:r>
      <w:r w:rsidRPr="71D2A87E">
        <w:rPr>
          <w:rFonts w:eastAsia="Arial" w:cs="Calibri"/>
          <w:i/>
          <w:iCs/>
        </w:rPr>
        <w:t>Best Starts</w:t>
      </w:r>
      <w:r w:rsidR="48B5D446" w:rsidRPr="00D03F1F">
        <w:rPr>
          <w:rFonts w:eastAsia="Arial" w:cs="Calibri"/>
        </w:rPr>
        <w:t>-</w:t>
      </w:r>
      <w:r w:rsidR="56ACD243" w:rsidRPr="00D03F1F">
        <w:rPr>
          <w:rFonts w:eastAsia="Arial" w:cs="Calibri"/>
        </w:rPr>
        <w:t xml:space="preserve">funded services. </w:t>
      </w:r>
    </w:p>
    <w:p w14:paraId="58979236" w14:textId="77777777" w:rsidR="00D90375" w:rsidRPr="00D03F1F" w:rsidRDefault="00D90375" w:rsidP="005F3393">
      <w:pPr>
        <w:contextualSpacing/>
        <w:rPr>
          <w:rFonts w:eastAsia="Arial" w:cs="Calibri"/>
        </w:rPr>
      </w:pPr>
    </w:p>
    <w:p w14:paraId="2CE1545D" w14:textId="706163C7" w:rsidR="00EC3E04" w:rsidRDefault="00D90375" w:rsidP="00B7648C">
      <w:pPr>
        <w:contextualSpacing/>
        <w:rPr>
          <w:rFonts w:cs="Calibri"/>
        </w:rPr>
      </w:pPr>
      <w:r w:rsidRPr="00D03F1F">
        <w:rPr>
          <w:rFonts w:eastAsia="Arial" w:cs="Calibri"/>
        </w:rPr>
        <w:t>For</w:t>
      </w:r>
      <w:r w:rsidR="00EC3E04">
        <w:rPr>
          <w:rFonts w:eastAsia="Arial" w:cs="Calibri"/>
        </w:rPr>
        <w:t xml:space="preserve"> certain</w:t>
      </w:r>
      <w:r w:rsidRPr="00D03F1F">
        <w:rPr>
          <w:rFonts w:eastAsia="Arial" w:cs="Calibri"/>
        </w:rPr>
        <w:t xml:space="preserve"> strategies where </w:t>
      </w:r>
      <w:r w:rsidR="00FB155B" w:rsidRPr="00D03F1F">
        <w:rPr>
          <w:rFonts w:eastAsia="Arial" w:cs="Calibri"/>
          <w:i/>
        </w:rPr>
        <w:t>Best Starts</w:t>
      </w:r>
      <w:r w:rsidRPr="00D03F1F">
        <w:rPr>
          <w:rFonts w:eastAsia="Arial" w:cs="Calibri"/>
        </w:rPr>
        <w:t xml:space="preserve"> is investing in </w:t>
      </w:r>
      <w:r w:rsidR="3F5474A1" w:rsidRPr="5605244A">
        <w:rPr>
          <w:rFonts w:eastAsia="Arial" w:cs="Calibri"/>
        </w:rPr>
        <w:t>n</w:t>
      </w:r>
      <w:r w:rsidR="00695089">
        <w:rPr>
          <w:rFonts w:eastAsia="Arial" w:cs="Calibri"/>
        </w:rPr>
        <w:t>ovel</w:t>
      </w:r>
      <w:r w:rsidRPr="00D03F1F">
        <w:rPr>
          <w:rFonts w:eastAsia="Arial" w:cs="Calibri"/>
        </w:rPr>
        <w:t xml:space="preserve"> </w:t>
      </w:r>
      <w:r w:rsidRPr="00D03F1F">
        <w:rPr>
          <w:rFonts w:cs="Calibri"/>
        </w:rPr>
        <w:t xml:space="preserve">programs or adapting previously proven programs, </w:t>
      </w:r>
      <w:r w:rsidR="00FB155B" w:rsidRPr="00D03F1F">
        <w:rPr>
          <w:rFonts w:cs="Calibri"/>
          <w:i/>
        </w:rPr>
        <w:t>Best Starts</w:t>
      </w:r>
      <w:r w:rsidRPr="00D03F1F">
        <w:rPr>
          <w:rFonts w:cs="Calibri"/>
        </w:rPr>
        <w:t xml:space="preserve"> evaluation </w:t>
      </w:r>
      <w:r w:rsidR="00A9498C">
        <w:rPr>
          <w:rFonts w:cs="Calibri"/>
        </w:rPr>
        <w:t>will</w:t>
      </w:r>
      <w:r w:rsidRPr="00D03F1F">
        <w:rPr>
          <w:rFonts w:cs="Calibri"/>
        </w:rPr>
        <w:t xml:space="preserve"> use rigorous qualitative and quantitative data to inform program decision-making</w:t>
      </w:r>
      <w:r w:rsidR="00871149" w:rsidRPr="00D03F1F">
        <w:rPr>
          <w:rFonts w:cs="Calibri"/>
        </w:rPr>
        <w:t>,</w:t>
      </w:r>
      <w:r w:rsidRPr="00D03F1F">
        <w:rPr>
          <w:rFonts w:cs="Calibri"/>
        </w:rPr>
        <w:t xml:space="preserve"> and ensure that the program is functioning as intended</w:t>
      </w:r>
      <w:r w:rsidRPr="00D03F1F" w:rsidDel="00667589">
        <w:rPr>
          <w:rFonts w:cs="Calibri"/>
        </w:rPr>
        <w:t xml:space="preserve">. </w:t>
      </w:r>
      <w:r w:rsidR="008D10D5" w:rsidRPr="5605244A">
        <w:rPr>
          <w:rFonts w:cs="Calibri"/>
        </w:rPr>
        <w:t xml:space="preserve">Examples of rigorous evaluation may include case control or quasi-experimental designs that include resource intensive data collection. </w:t>
      </w:r>
    </w:p>
    <w:p w14:paraId="6850B712" w14:textId="77777777" w:rsidR="00EC3E04" w:rsidRDefault="00EC3E04" w:rsidP="00B7648C">
      <w:pPr>
        <w:contextualSpacing/>
        <w:rPr>
          <w:rFonts w:cs="Calibri"/>
        </w:rPr>
      </w:pPr>
    </w:p>
    <w:p w14:paraId="49D10D97" w14:textId="604B11CF" w:rsidR="00D90375" w:rsidRPr="00D03F1F" w:rsidRDefault="00A71BA7" w:rsidP="00B7648C">
      <w:pPr>
        <w:contextualSpacing/>
        <w:rPr>
          <w:rFonts w:cs="Calibri"/>
        </w:rPr>
      </w:pPr>
      <w:r w:rsidRPr="71D2A87E">
        <w:rPr>
          <w:rFonts w:eastAsiaTheme="majorEastAsia" w:cs="Calibri"/>
        </w:rPr>
        <w:t>Consistent with Ordinance 19267</w:t>
      </w:r>
      <w:r w:rsidR="00EC3E04">
        <w:rPr>
          <w:rFonts w:eastAsiaTheme="majorEastAsia" w:cs="Calibri"/>
        </w:rPr>
        <w:t>,</w:t>
      </w:r>
      <w:r w:rsidRPr="71D2A87E">
        <w:rPr>
          <w:rStyle w:val="FootnoteReference"/>
          <w:rFonts w:eastAsiaTheme="majorEastAsia" w:cs="Calibri"/>
        </w:rPr>
        <w:footnoteReference w:id="238"/>
      </w:r>
      <w:r w:rsidRPr="71D2A87E">
        <w:rPr>
          <w:rFonts w:eastAsiaTheme="majorEastAsia" w:cs="Calibri"/>
        </w:rPr>
        <w:t xml:space="preserve"> </w:t>
      </w:r>
      <w:r w:rsidRPr="71D2A87E">
        <w:rPr>
          <w:rFonts w:eastAsiaTheme="majorEastAsia" w:cs="Calibri"/>
          <w:i/>
          <w:iCs/>
        </w:rPr>
        <w:t>Best Starts</w:t>
      </w:r>
      <w:r w:rsidRPr="71D2A87E">
        <w:rPr>
          <w:rFonts w:eastAsiaTheme="majorEastAsia" w:cs="Calibri"/>
        </w:rPr>
        <w:t xml:space="preserve"> will measure performance for and evaluate a youth and family homelessness prevention initiative, a King County child care subsidy program, a child care </w:t>
      </w:r>
      <w:r w:rsidR="00C64908">
        <w:rPr>
          <w:rFonts w:eastAsiaTheme="majorEastAsia" w:cs="Calibri"/>
        </w:rPr>
        <w:t>workforce</w:t>
      </w:r>
      <w:r w:rsidR="005C43FF">
        <w:rPr>
          <w:rFonts w:eastAsiaTheme="majorEastAsia" w:cs="Calibri"/>
        </w:rPr>
        <w:t xml:space="preserve"> demonstration project</w:t>
      </w:r>
      <w:r w:rsidRPr="71D2A87E">
        <w:rPr>
          <w:rFonts w:eastAsiaTheme="majorEastAsia" w:cs="Calibri"/>
        </w:rPr>
        <w:t>, and technical assistance and capacity building activities.</w:t>
      </w:r>
      <w:r>
        <w:rPr>
          <w:rFonts w:eastAsiaTheme="majorEastAsia" w:cs="Calibri"/>
        </w:rPr>
        <w:t xml:space="preserve"> </w:t>
      </w:r>
      <w:r>
        <w:rPr>
          <w:rFonts w:cs="Calibri"/>
        </w:rPr>
        <w:t>In addition</w:t>
      </w:r>
      <w:r w:rsidR="00102D48">
        <w:rPr>
          <w:rFonts w:cs="Calibri"/>
        </w:rPr>
        <w:t xml:space="preserve">, </w:t>
      </w:r>
      <w:r w:rsidR="00065F50">
        <w:rPr>
          <w:rFonts w:cs="Calibri"/>
          <w:i/>
          <w:iCs/>
        </w:rPr>
        <w:t xml:space="preserve">Best Starts </w:t>
      </w:r>
      <w:r w:rsidR="00065F50">
        <w:rPr>
          <w:rFonts w:cs="Calibri"/>
        </w:rPr>
        <w:t xml:space="preserve">plans to prioritize </w:t>
      </w:r>
      <w:r w:rsidR="009F6D10">
        <w:rPr>
          <w:rFonts w:cs="Calibri"/>
        </w:rPr>
        <w:t xml:space="preserve">a subset of </w:t>
      </w:r>
      <w:r w:rsidR="00EC3E04">
        <w:rPr>
          <w:rFonts w:cs="Calibri"/>
        </w:rPr>
        <w:t>two or three</w:t>
      </w:r>
      <w:r w:rsidR="00D51C7C">
        <w:rPr>
          <w:rFonts w:cs="Calibri"/>
        </w:rPr>
        <w:t xml:space="preserve"> </w:t>
      </w:r>
      <w:r w:rsidR="009F6D10">
        <w:rPr>
          <w:rFonts w:cs="Calibri"/>
        </w:rPr>
        <w:t>projects</w:t>
      </w:r>
      <w:r w:rsidR="009F6D10" w:rsidRPr="009F6D10">
        <w:rPr>
          <w:rFonts w:cs="Calibri"/>
        </w:rPr>
        <w:t xml:space="preserve"> </w:t>
      </w:r>
      <w:r w:rsidR="00065F50">
        <w:rPr>
          <w:rFonts w:cs="Calibri"/>
        </w:rPr>
        <w:t>for in-depth,</w:t>
      </w:r>
      <w:r w:rsidR="009F6D10" w:rsidRPr="5605244A">
        <w:rPr>
          <w:rFonts w:cs="Calibri"/>
        </w:rPr>
        <w:t xml:space="preserve"> rigorous evaluation</w:t>
      </w:r>
      <w:r w:rsidR="005D3345">
        <w:rPr>
          <w:rFonts w:cs="Calibri"/>
        </w:rPr>
        <w:t xml:space="preserve">. </w:t>
      </w:r>
      <w:r w:rsidR="00605AA9">
        <w:rPr>
          <w:rFonts w:cs="Calibri"/>
        </w:rPr>
        <w:t>In partnership with t</w:t>
      </w:r>
      <w:r w:rsidR="00D90375" w:rsidRPr="00D03F1F">
        <w:rPr>
          <w:rFonts w:cs="Calibri"/>
        </w:rPr>
        <w:t>he Evaluation Advisory Group</w:t>
      </w:r>
      <w:r w:rsidR="00605AA9">
        <w:rPr>
          <w:rFonts w:cs="Calibri"/>
        </w:rPr>
        <w:t xml:space="preserve">, </w:t>
      </w:r>
      <w:r w:rsidR="00605AA9">
        <w:rPr>
          <w:rFonts w:cs="Calibri"/>
          <w:i/>
          <w:iCs/>
        </w:rPr>
        <w:t>Best Starts</w:t>
      </w:r>
      <w:r w:rsidR="00D90375" w:rsidRPr="00D03F1F">
        <w:rPr>
          <w:rFonts w:cs="Calibri"/>
        </w:rPr>
        <w:t xml:space="preserve"> </w:t>
      </w:r>
      <w:r w:rsidR="00D90375" w:rsidRPr="5605244A">
        <w:rPr>
          <w:rFonts w:cs="Calibri"/>
        </w:rPr>
        <w:t xml:space="preserve">has </w:t>
      </w:r>
      <w:r w:rsidR="006F23AA">
        <w:rPr>
          <w:rFonts w:cs="Calibri"/>
        </w:rPr>
        <w:t xml:space="preserve">identified </w:t>
      </w:r>
      <w:r w:rsidR="003113BC">
        <w:rPr>
          <w:rFonts w:cs="Calibri"/>
        </w:rPr>
        <w:t>the following</w:t>
      </w:r>
      <w:r w:rsidR="006F23AA">
        <w:rPr>
          <w:rFonts w:cs="Calibri"/>
        </w:rPr>
        <w:t xml:space="preserve"> </w:t>
      </w:r>
      <w:r w:rsidR="00D90375" w:rsidRPr="5605244A">
        <w:rPr>
          <w:rFonts w:cs="Calibri"/>
        </w:rPr>
        <w:t xml:space="preserve">criteria for </w:t>
      </w:r>
      <w:r w:rsidR="00605AA9">
        <w:rPr>
          <w:rFonts w:cs="Calibri"/>
        </w:rPr>
        <w:t>selecting priority areas for evaluation</w:t>
      </w:r>
      <w:r w:rsidR="00175F3A">
        <w:rPr>
          <w:rFonts w:cs="Calibri"/>
        </w:rPr>
        <w:t>:</w:t>
      </w:r>
      <w:r w:rsidR="00D90375" w:rsidRPr="5605244A">
        <w:rPr>
          <w:rFonts w:cs="Calibri"/>
        </w:rPr>
        <w:t xml:space="preserve"> </w:t>
      </w:r>
    </w:p>
    <w:p w14:paraId="740329E0" w14:textId="5B4F8BC4"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High interest from stakeholders</w:t>
      </w:r>
      <w:r w:rsidR="005766EE" w:rsidRPr="00D03F1F">
        <w:rPr>
          <w:rFonts w:eastAsia="Calibri" w:cs="Calibri"/>
          <w:b/>
          <w:bCs/>
        </w:rPr>
        <w:t>:</w:t>
      </w:r>
      <w:r w:rsidRPr="00D03F1F">
        <w:rPr>
          <w:rFonts w:eastAsia="Calibri" w:cs="Calibri"/>
          <w:b/>
        </w:rPr>
        <w:t xml:space="preserve"> </w:t>
      </w:r>
      <w:r w:rsidR="009409C6" w:rsidRPr="00B37AC7">
        <w:rPr>
          <w:rFonts w:eastAsia="Calibri" w:cs="Calibri"/>
        </w:rPr>
        <w:t>King County</w:t>
      </w:r>
      <w:r w:rsidR="009409C6">
        <w:rPr>
          <w:rFonts w:eastAsia="Calibri" w:cs="Calibri"/>
          <w:b/>
        </w:rPr>
        <w:t xml:space="preserve"> </w:t>
      </w:r>
      <w:r w:rsidRPr="00D03F1F">
        <w:rPr>
          <w:rFonts w:eastAsia="Calibri" w:cs="Calibri"/>
        </w:rPr>
        <w:t>Council, community-based organizations, grantees, Evaluation Advisory Group, Children and Youth Advisory Board</w:t>
      </w:r>
      <w:r w:rsidR="006F23AA">
        <w:rPr>
          <w:rFonts w:eastAsia="Calibri" w:cs="Calibri"/>
        </w:rPr>
        <w:t xml:space="preserve">, or </w:t>
      </w:r>
      <w:r w:rsidRPr="00D03F1F">
        <w:rPr>
          <w:rFonts w:eastAsia="Calibri" w:cs="Calibri"/>
        </w:rPr>
        <w:t>Communities of Opportunity Advisory Board</w:t>
      </w:r>
      <w:r w:rsidR="006F23AA">
        <w:rPr>
          <w:rFonts w:eastAsia="Calibri" w:cs="Calibri"/>
        </w:rPr>
        <w:t xml:space="preserve">, </w:t>
      </w:r>
      <w:r w:rsidRPr="00D03F1F">
        <w:rPr>
          <w:rFonts w:eastAsia="Calibri" w:cs="Calibri"/>
        </w:rPr>
        <w:t>as applicable</w:t>
      </w:r>
      <w:r w:rsidR="005766EE" w:rsidRPr="00D03F1F">
        <w:rPr>
          <w:rFonts w:eastAsia="Calibri" w:cs="Calibri"/>
        </w:rPr>
        <w:t>.</w:t>
      </w:r>
      <w:r w:rsidRPr="00D03F1F">
        <w:rPr>
          <w:rFonts w:eastAsia="Calibri" w:cs="Calibri"/>
        </w:rPr>
        <w:t xml:space="preserve"> </w:t>
      </w:r>
    </w:p>
    <w:p w14:paraId="386A7647" w14:textId="0CBD986B"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High potential to improve equity</w:t>
      </w:r>
      <w:r w:rsidRPr="00D03F1F" w:rsidDel="005766EE">
        <w:rPr>
          <w:rFonts w:eastAsia="Calibri" w:cs="Calibri"/>
          <w:b/>
        </w:rPr>
        <w:t xml:space="preserve"> </w:t>
      </w:r>
      <w:r w:rsidR="005766EE" w:rsidRPr="00D03F1F">
        <w:rPr>
          <w:rFonts w:eastAsia="Calibri" w:cs="Calibri"/>
        </w:rPr>
        <w:t xml:space="preserve">by </w:t>
      </w:r>
      <w:r w:rsidRPr="00D03F1F">
        <w:rPr>
          <w:rFonts w:eastAsia="Calibri" w:cs="Calibri"/>
        </w:rPr>
        <w:t xml:space="preserve">serving large proportions of communities most in need </w:t>
      </w:r>
    </w:p>
    <w:p w14:paraId="67485E07" w14:textId="2B489DC1"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lastRenderedPageBreak/>
        <w:t xml:space="preserve">High potential to see short-term changes in indicators. </w:t>
      </w:r>
      <w:r w:rsidRPr="00D03F1F">
        <w:rPr>
          <w:rFonts w:eastAsia="Calibri" w:cs="Calibri"/>
        </w:rPr>
        <w:t>Likely to quickly see changes in indicators of individual or system well-being</w:t>
      </w:r>
      <w:r w:rsidR="005766EE" w:rsidRPr="00D03F1F">
        <w:rPr>
          <w:rFonts w:eastAsia="Calibri" w:cs="Calibri"/>
        </w:rPr>
        <w:t>.</w:t>
      </w:r>
      <w:r w:rsidRPr="00D03F1F">
        <w:rPr>
          <w:rFonts w:eastAsia="Calibri" w:cs="Calibri"/>
        </w:rPr>
        <w:t xml:space="preserve"> </w:t>
      </w:r>
    </w:p>
    <w:p w14:paraId="5E4C2362" w14:textId="1BD8CEF4"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Novel implementation. </w:t>
      </w:r>
      <w:r w:rsidRPr="00D03F1F">
        <w:rPr>
          <w:rFonts w:eastAsia="Calibri" w:cs="Calibri"/>
        </w:rPr>
        <w:t>Implementing an existing program in new settings or populations</w:t>
      </w:r>
      <w:r w:rsidR="005766EE" w:rsidRPr="00D03F1F">
        <w:rPr>
          <w:rFonts w:eastAsia="Calibri" w:cs="Calibri"/>
        </w:rPr>
        <w:t>.</w:t>
      </w:r>
      <w:r w:rsidRPr="00D03F1F">
        <w:rPr>
          <w:rFonts w:eastAsia="Calibri" w:cs="Calibri"/>
        </w:rPr>
        <w:t xml:space="preserve"> </w:t>
      </w:r>
    </w:p>
    <w:p w14:paraId="29F65592" w14:textId="6788384F"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Provide new evidence. </w:t>
      </w:r>
      <w:r w:rsidRPr="00D03F1F">
        <w:rPr>
          <w:rFonts w:eastAsia="Calibri" w:cs="Calibri"/>
        </w:rPr>
        <w:t>New or existing programs that can fill a gap in the scientific evidence base</w:t>
      </w:r>
      <w:r w:rsidR="005766EE" w:rsidRPr="00D03F1F">
        <w:rPr>
          <w:rFonts w:eastAsia="Calibri" w:cs="Calibri"/>
        </w:rPr>
        <w:t>.</w:t>
      </w:r>
      <w:r w:rsidRPr="00D03F1F">
        <w:rPr>
          <w:rFonts w:eastAsia="Calibri" w:cs="Calibri"/>
        </w:rPr>
        <w:t xml:space="preserve"> </w:t>
      </w:r>
    </w:p>
    <w:p w14:paraId="6A3D9C40" w14:textId="77777777"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High quality data. </w:t>
      </w:r>
      <w:r w:rsidRPr="00D03F1F">
        <w:rPr>
          <w:rFonts w:eastAsia="Calibri" w:cs="Calibri"/>
        </w:rPr>
        <w:t xml:space="preserve">Sustainable sources of data to be able to track changes over time. </w:t>
      </w:r>
    </w:p>
    <w:p w14:paraId="664FEDDF" w14:textId="77777777" w:rsidR="008D1C3B" w:rsidRDefault="008D1C3B" w:rsidP="005F3393">
      <w:pPr>
        <w:contextualSpacing/>
        <w:rPr>
          <w:rFonts w:eastAsia="Arial" w:cs="Calibri"/>
        </w:rPr>
      </w:pPr>
    </w:p>
    <w:p w14:paraId="56A1342F" w14:textId="0656979B" w:rsidR="009648A9" w:rsidRDefault="00597ABA" w:rsidP="009648A9">
      <w:pPr>
        <w:contextualSpacing/>
        <w:rPr>
          <w:rFonts w:eastAsia="Arial" w:cs="Calibri"/>
        </w:rPr>
      </w:pPr>
      <w:r w:rsidRPr="00597ABA">
        <w:rPr>
          <w:rFonts w:eastAsia="Arial" w:cs="Calibri"/>
        </w:rPr>
        <w:t>The county will contract with a third-party, independent organization or organizations to assess selected levy investments and their effectiveness in achieving stated goals and intended outcomes.</w:t>
      </w:r>
      <w:r>
        <w:rPr>
          <w:rFonts w:eastAsia="Arial" w:cs="Calibri"/>
        </w:rPr>
        <w:t xml:space="preserve"> </w:t>
      </w:r>
      <w:r w:rsidR="00A832AF">
        <w:rPr>
          <w:rFonts w:eastAsia="Arial" w:cs="Calibri"/>
        </w:rPr>
        <w:t xml:space="preserve">The </w:t>
      </w:r>
      <w:r w:rsidR="00C21E3E">
        <w:rPr>
          <w:rFonts w:eastAsia="Arial" w:cs="Calibri"/>
        </w:rPr>
        <w:t>design</w:t>
      </w:r>
      <w:r w:rsidR="002E3A3F">
        <w:rPr>
          <w:rFonts w:eastAsia="Arial" w:cs="Calibri"/>
        </w:rPr>
        <w:t xml:space="preserve"> of these </w:t>
      </w:r>
      <w:r w:rsidR="00C21E3E">
        <w:rPr>
          <w:rFonts w:eastAsia="Arial" w:cs="Calibri"/>
        </w:rPr>
        <w:t xml:space="preserve">evaluations </w:t>
      </w:r>
      <w:r w:rsidR="002E3A3F">
        <w:rPr>
          <w:rFonts w:eastAsia="Arial" w:cs="Calibri"/>
        </w:rPr>
        <w:t xml:space="preserve">will </w:t>
      </w:r>
      <w:r w:rsidR="001C4446">
        <w:rPr>
          <w:rFonts w:eastAsia="Arial" w:cs="Calibri"/>
        </w:rPr>
        <w:t>be</w:t>
      </w:r>
      <w:r w:rsidR="002E3A3F">
        <w:rPr>
          <w:rFonts w:eastAsia="Arial" w:cs="Calibri"/>
        </w:rPr>
        <w:t xml:space="preserve"> </w:t>
      </w:r>
      <w:r w:rsidR="00C21E3E">
        <w:rPr>
          <w:rFonts w:eastAsia="Arial" w:cs="Calibri"/>
        </w:rPr>
        <w:t>based on what</w:t>
      </w:r>
      <w:r w:rsidR="009648A9">
        <w:rPr>
          <w:rFonts w:eastAsia="Arial" w:cs="Calibri"/>
        </w:rPr>
        <w:t xml:space="preserve"> is appropriate </w:t>
      </w:r>
      <w:r w:rsidR="00C21E3E">
        <w:rPr>
          <w:rFonts w:eastAsia="Arial" w:cs="Calibri"/>
        </w:rPr>
        <w:t>for</w:t>
      </w:r>
      <w:r w:rsidR="009648A9">
        <w:rPr>
          <w:rFonts w:eastAsia="Arial" w:cs="Calibri"/>
        </w:rPr>
        <w:t xml:space="preserve"> the program’s stage of implementation</w:t>
      </w:r>
      <w:r w:rsidR="001C4446">
        <w:rPr>
          <w:rFonts w:eastAsia="Arial" w:cs="Calibri"/>
        </w:rPr>
        <w:t>,</w:t>
      </w:r>
      <w:r w:rsidR="009648A9" w:rsidRPr="00A31578">
        <w:rPr>
          <w:rFonts w:eastAsiaTheme="majorEastAsia" w:cs="Calibri"/>
        </w:rPr>
        <w:t xml:space="preserve"> </w:t>
      </w:r>
      <w:r w:rsidR="009648A9" w:rsidRPr="71D2A87E">
        <w:rPr>
          <w:rFonts w:eastAsiaTheme="majorEastAsia" w:cs="Calibri"/>
        </w:rPr>
        <w:t>and the existing evidence base for effectiveness of the selected program models</w:t>
      </w:r>
      <w:r w:rsidR="001C4446">
        <w:rPr>
          <w:rFonts w:eastAsia="Arial" w:cs="Calibri"/>
        </w:rPr>
        <w:t>. Options include</w:t>
      </w:r>
      <w:r w:rsidR="009648A9">
        <w:rPr>
          <w:rFonts w:eastAsia="Arial" w:cs="Calibri"/>
        </w:rPr>
        <w:t>:</w:t>
      </w:r>
    </w:p>
    <w:p w14:paraId="015BD85A" w14:textId="77777777" w:rsidR="009648A9" w:rsidRPr="00D03F1F" w:rsidRDefault="009648A9" w:rsidP="00DA4A13">
      <w:pPr>
        <w:pStyle w:val="ListParagraph"/>
        <w:numPr>
          <w:ilvl w:val="0"/>
          <w:numId w:val="32"/>
        </w:numPr>
        <w:contextualSpacing w:val="0"/>
        <w:rPr>
          <w:rFonts w:eastAsiaTheme="majorEastAsia" w:cs="Calibri"/>
        </w:rPr>
      </w:pPr>
      <w:r w:rsidRPr="00D03F1F">
        <w:rPr>
          <w:rFonts w:eastAsiaTheme="majorEastAsia" w:cs="Calibri"/>
          <w:b/>
        </w:rPr>
        <w:t>Developmental evaluation</w:t>
      </w:r>
      <w:r w:rsidRPr="00D03F1F">
        <w:rPr>
          <w:rFonts w:eastAsiaTheme="majorEastAsia" w:cs="Calibri"/>
        </w:rPr>
        <w:t xml:space="preserve"> to support innovation and decision-making </w:t>
      </w:r>
      <w:r>
        <w:rPr>
          <w:rFonts w:eastAsiaTheme="majorEastAsia" w:cs="Calibri"/>
        </w:rPr>
        <w:t>for a new program</w:t>
      </w:r>
      <w:r w:rsidRPr="00D03F1F">
        <w:rPr>
          <w:rFonts w:eastAsiaTheme="majorEastAsia" w:cs="Calibri"/>
        </w:rPr>
        <w:t>.</w:t>
      </w:r>
    </w:p>
    <w:p w14:paraId="3B87B00A" w14:textId="77777777" w:rsidR="009648A9" w:rsidRPr="00D03F1F" w:rsidRDefault="009648A9" w:rsidP="00DA4A13">
      <w:pPr>
        <w:pStyle w:val="ListParagraph"/>
        <w:numPr>
          <w:ilvl w:val="0"/>
          <w:numId w:val="32"/>
        </w:numPr>
        <w:contextualSpacing w:val="0"/>
        <w:rPr>
          <w:rFonts w:eastAsiaTheme="majorEastAsia" w:cs="Calibri"/>
        </w:rPr>
      </w:pPr>
      <w:r w:rsidRPr="00D03F1F">
        <w:rPr>
          <w:rFonts w:eastAsiaTheme="majorEastAsia" w:cs="Calibri"/>
          <w:b/>
        </w:rPr>
        <w:t>Process evaluation</w:t>
      </w:r>
      <w:r w:rsidRPr="00D03F1F">
        <w:rPr>
          <w:rFonts w:eastAsiaTheme="majorEastAsia" w:cs="Calibri"/>
        </w:rPr>
        <w:t xml:space="preserve"> to support program implementation and improvements.</w:t>
      </w:r>
    </w:p>
    <w:p w14:paraId="5F794414" w14:textId="4D927B24" w:rsidR="009648A9" w:rsidRPr="00F105A2" w:rsidRDefault="009648A9" w:rsidP="00DA4A13">
      <w:pPr>
        <w:pStyle w:val="ListParagraph"/>
        <w:numPr>
          <w:ilvl w:val="0"/>
          <w:numId w:val="32"/>
        </w:numPr>
        <w:contextualSpacing w:val="0"/>
        <w:rPr>
          <w:rFonts w:eastAsia="Arial" w:cs="Calibri"/>
        </w:rPr>
      </w:pPr>
      <w:r w:rsidRPr="00F105A2">
        <w:rPr>
          <w:rFonts w:eastAsiaTheme="majorEastAsia" w:cs="Calibri"/>
          <w:b/>
        </w:rPr>
        <w:t xml:space="preserve">Outcomes evaluation </w:t>
      </w:r>
      <w:r w:rsidRPr="00F105A2">
        <w:rPr>
          <w:rFonts w:eastAsiaTheme="majorEastAsia" w:cs="Calibri"/>
        </w:rPr>
        <w:t xml:space="preserve">to demonstrate whether the program is leading to the desired results. </w:t>
      </w:r>
      <w:r w:rsidR="00B805B3">
        <w:rPr>
          <w:rFonts w:eastAsiaTheme="majorEastAsia" w:cs="Calibri"/>
        </w:rPr>
        <w:t>For some programs, this</w:t>
      </w:r>
      <w:r w:rsidRPr="00F105A2">
        <w:rPr>
          <w:rFonts w:eastAsiaTheme="majorEastAsia" w:cs="Calibri"/>
        </w:rPr>
        <w:t xml:space="preserve"> </w:t>
      </w:r>
      <w:r w:rsidR="002675FC">
        <w:rPr>
          <w:rFonts w:eastAsiaTheme="majorEastAsia" w:cs="Calibri"/>
        </w:rPr>
        <w:t xml:space="preserve">may </w:t>
      </w:r>
      <w:r w:rsidRPr="00F105A2">
        <w:rPr>
          <w:rFonts w:eastAsiaTheme="majorEastAsia" w:cs="Calibri"/>
        </w:rPr>
        <w:t xml:space="preserve">include </w:t>
      </w:r>
      <w:r>
        <w:rPr>
          <w:rFonts w:eastAsiaTheme="majorEastAsia" w:cs="Calibri"/>
        </w:rPr>
        <w:t>a</w:t>
      </w:r>
      <w:r w:rsidRPr="00F105A2">
        <w:rPr>
          <w:rFonts w:eastAsia="Arial" w:cs="Calibri"/>
        </w:rPr>
        <w:t>scertaining causality by</w:t>
      </w:r>
      <w:r w:rsidRPr="00D03F1F">
        <w:rPr>
          <w:rFonts w:eastAsia="Arial" w:cs="Calibri"/>
        </w:rPr>
        <w:t xml:space="preserve"> comparing intervention results with a statistically valid control group</w:t>
      </w:r>
      <w:r w:rsidRPr="00F105A2">
        <w:rPr>
          <w:rFonts w:eastAsia="Arial" w:cs="Calibri"/>
        </w:rPr>
        <w:t>.</w:t>
      </w:r>
      <w:r w:rsidRPr="00D03F1F">
        <w:rPr>
          <w:rStyle w:val="FootnoteReference"/>
          <w:rFonts w:eastAsia="Arial" w:cs="Calibri"/>
        </w:rPr>
        <w:footnoteReference w:id="239"/>
      </w:r>
      <w:r w:rsidRPr="00F105A2">
        <w:rPr>
          <w:rFonts w:eastAsia="Arial" w:cs="Calibri"/>
        </w:rPr>
        <w:t xml:space="preserve"> </w:t>
      </w:r>
    </w:p>
    <w:p w14:paraId="4A358D67" w14:textId="77777777" w:rsidR="009648A9" w:rsidRPr="00D03F1F" w:rsidRDefault="009648A9" w:rsidP="009648A9">
      <w:pPr>
        <w:contextualSpacing/>
        <w:rPr>
          <w:rFonts w:eastAsiaTheme="majorEastAsia" w:cs="Calibri"/>
        </w:rPr>
      </w:pPr>
    </w:p>
    <w:p w14:paraId="44F977F6" w14:textId="30FB6109" w:rsidR="005C5C9E" w:rsidRDefault="006F2344" w:rsidP="003420B4">
      <w:pPr>
        <w:contextualSpacing/>
        <w:rPr>
          <w:rFonts w:eastAsia="Arial" w:cs="Calibri"/>
        </w:rPr>
      </w:pPr>
      <w:r>
        <w:rPr>
          <w:rFonts w:eastAsia="Arial" w:cs="Calibri"/>
        </w:rPr>
        <w:t xml:space="preserve">The timeline for </w:t>
      </w:r>
      <w:r w:rsidR="008D1C3B">
        <w:rPr>
          <w:rFonts w:eastAsia="Arial" w:cs="Calibri"/>
        </w:rPr>
        <w:t>completing in-depth evaluations will</w:t>
      </w:r>
      <w:r>
        <w:rPr>
          <w:rFonts w:eastAsia="Arial" w:cs="Calibri"/>
        </w:rPr>
        <w:t xml:space="preserve"> be distinct for each program and will depend </w:t>
      </w:r>
      <w:r w:rsidR="008D1C3B">
        <w:rPr>
          <w:rFonts w:eastAsia="Arial" w:cs="Calibri"/>
        </w:rPr>
        <w:t>on when baseline data are available, the point</w:t>
      </w:r>
      <w:r w:rsidR="008D1C3B" w:rsidRPr="008D1C3B">
        <w:rPr>
          <w:rFonts w:eastAsia="Arial" w:cs="Calibri"/>
        </w:rPr>
        <w:t xml:space="preserve"> at which a sufficient number of individuals have reached the outcome to generate a statistically reliable result</w:t>
      </w:r>
      <w:r w:rsidR="008D1C3B">
        <w:rPr>
          <w:rFonts w:eastAsia="Arial" w:cs="Calibri"/>
        </w:rPr>
        <w:t>, and the t</w:t>
      </w:r>
      <w:r w:rsidR="008D1C3B" w:rsidRPr="008D1C3B">
        <w:rPr>
          <w:rFonts w:eastAsia="Arial" w:cs="Calibri"/>
        </w:rPr>
        <w:t>ime needed for data collection, analyses and interpretation of data.</w:t>
      </w:r>
      <w:r w:rsidR="00974F6A">
        <w:rPr>
          <w:rFonts w:eastAsia="Arial" w:cs="Calibri"/>
        </w:rPr>
        <w:t xml:space="preserve"> </w:t>
      </w:r>
      <w:r w:rsidR="00974F6A" w:rsidRPr="00974F6A">
        <w:rPr>
          <w:rFonts w:eastAsia="Arial" w:cs="Calibri"/>
        </w:rPr>
        <w:t>Annual reporting for the levy will include the evaluation findings, including when appropriate an assessment of the program's effectiveness in achieving stated goals and intended outcomes.</w:t>
      </w:r>
    </w:p>
    <w:p w14:paraId="4FF85E9D" w14:textId="77777777" w:rsidR="00974F6A" w:rsidRPr="00DC07CA" w:rsidRDefault="00974F6A" w:rsidP="003420B4">
      <w:pPr>
        <w:contextualSpacing/>
        <w:rPr>
          <w:rFonts w:cs="Calibri"/>
        </w:rPr>
      </w:pPr>
    </w:p>
    <w:p w14:paraId="397B5E27" w14:textId="6F9F151A" w:rsidR="0042432D" w:rsidRPr="0042432D" w:rsidRDefault="0042432D" w:rsidP="005F3393">
      <w:pPr>
        <w:contextualSpacing/>
        <w:rPr>
          <w:rFonts w:cs="Calibri"/>
          <w:b/>
          <w:bCs/>
        </w:rPr>
      </w:pPr>
      <w:r w:rsidRPr="00354EFE">
        <w:rPr>
          <w:rFonts w:cs="Calibri"/>
          <w:b/>
          <w:i/>
        </w:rPr>
        <w:t>Best Starts</w:t>
      </w:r>
      <w:r w:rsidRPr="0042432D">
        <w:rPr>
          <w:rFonts w:cs="Calibri"/>
          <w:b/>
          <w:bCs/>
        </w:rPr>
        <w:t xml:space="preserve"> Annual </w:t>
      </w:r>
      <w:r w:rsidR="00431601">
        <w:rPr>
          <w:rFonts w:cs="Calibri"/>
          <w:b/>
          <w:bCs/>
        </w:rPr>
        <w:t>Report on Levy Expenditures, Services,</w:t>
      </w:r>
      <w:r w:rsidRPr="0042432D">
        <w:rPr>
          <w:rFonts w:cs="Calibri"/>
          <w:b/>
          <w:bCs/>
        </w:rPr>
        <w:t xml:space="preserve"> and </w:t>
      </w:r>
      <w:r w:rsidR="00431601">
        <w:rPr>
          <w:rFonts w:cs="Calibri"/>
          <w:b/>
          <w:bCs/>
        </w:rPr>
        <w:t>Outcomes</w:t>
      </w:r>
      <w:r w:rsidRPr="0042432D">
        <w:rPr>
          <w:rFonts w:cs="Calibri"/>
          <w:b/>
          <w:bCs/>
        </w:rPr>
        <w:t xml:space="preserve"> (</w:t>
      </w:r>
      <w:r w:rsidRPr="00354EFE">
        <w:rPr>
          <w:rFonts w:cs="Calibri"/>
          <w:b/>
          <w:i/>
        </w:rPr>
        <w:t>Best Starts</w:t>
      </w:r>
      <w:r w:rsidRPr="0042432D">
        <w:rPr>
          <w:rFonts w:cs="Calibri"/>
          <w:b/>
          <w:bCs/>
        </w:rPr>
        <w:t xml:space="preserve"> Annual Reports)</w:t>
      </w:r>
    </w:p>
    <w:p w14:paraId="2624C3A6" w14:textId="426CB673" w:rsidR="00D90375" w:rsidRPr="0042432D" w:rsidRDefault="228BA0CE" w:rsidP="005F3393">
      <w:pPr>
        <w:rPr>
          <w:rFonts w:cs="Calibri"/>
        </w:rPr>
      </w:pPr>
      <w:r w:rsidRPr="71D2A87E">
        <w:rPr>
          <w:rFonts w:eastAsia="Calibri" w:cs="Calibri"/>
        </w:rPr>
        <w:t xml:space="preserve">The Executive will </w:t>
      </w:r>
      <w:r w:rsidR="00BB7051">
        <w:rPr>
          <w:rFonts w:eastAsia="Calibri" w:cs="Calibri"/>
        </w:rPr>
        <w:t>provide</w:t>
      </w:r>
      <w:r w:rsidRPr="71D2A87E">
        <w:rPr>
          <w:rFonts w:eastAsia="Calibri" w:cs="Calibri"/>
        </w:rPr>
        <w:t xml:space="preserve"> the </w:t>
      </w:r>
      <w:r w:rsidR="659938BE" w:rsidRPr="71D2A87E">
        <w:rPr>
          <w:rFonts w:eastAsia="Calibri" w:cs="Calibri"/>
          <w:i/>
          <w:iCs/>
        </w:rPr>
        <w:t>Best Starts</w:t>
      </w:r>
      <w:r w:rsidR="56ACD243" w:rsidRPr="2D71CCAF">
        <w:rPr>
          <w:rFonts w:eastAsia="Calibri" w:cs="Calibri"/>
          <w:b/>
          <w:bCs/>
        </w:rPr>
        <w:t xml:space="preserve"> </w:t>
      </w:r>
      <w:r w:rsidR="56ACD243" w:rsidRPr="00D03F1F">
        <w:rPr>
          <w:rFonts w:eastAsia="Calibri" w:cs="Calibri"/>
        </w:rPr>
        <w:t>Annual Report</w:t>
      </w:r>
      <w:r w:rsidR="5CF900E5" w:rsidRPr="71D2A87E">
        <w:rPr>
          <w:rFonts w:eastAsia="Calibri" w:cs="Calibri"/>
        </w:rPr>
        <w:t xml:space="preserve"> </w:t>
      </w:r>
      <w:r w:rsidR="5CF900E5" w:rsidRPr="71D2A87E">
        <w:rPr>
          <w:rFonts w:cs="Calibri"/>
        </w:rPr>
        <w:t>on Levy Expenditures, Services, and Outcomes</w:t>
      </w:r>
      <w:r w:rsidR="56ACD243" w:rsidRPr="00D03F1F">
        <w:rPr>
          <w:rFonts w:eastAsia="Calibri" w:cs="Calibri"/>
        </w:rPr>
        <w:t xml:space="preserve"> (</w:t>
      </w:r>
      <w:r w:rsidR="659938BE" w:rsidRPr="71D2A87E">
        <w:rPr>
          <w:rFonts w:eastAsia="Calibri" w:cs="Calibri"/>
          <w:i/>
          <w:iCs/>
        </w:rPr>
        <w:t>Best Starts</w:t>
      </w:r>
      <w:r w:rsidR="56ACD243" w:rsidRPr="00D03F1F">
        <w:rPr>
          <w:rFonts w:eastAsia="Calibri" w:cs="Calibri"/>
        </w:rPr>
        <w:t xml:space="preserve"> Annual Report) no later than July 1</w:t>
      </w:r>
      <w:r w:rsidR="008B354A">
        <w:rPr>
          <w:rFonts w:eastAsia="Calibri" w:cs="Calibri"/>
        </w:rPr>
        <w:t xml:space="preserve">5 </w:t>
      </w:r>
      <w:r w:rsidR="0058110E">
        <w:rPr>
          <w:rFonts w:eastAsia="Calibri" w:cs="Calibri"/>
        </w:rPr>
        <w:t>each</w:t>
      </w:r>
      <w:r w:rsidRPr="71D2A87E">
        <w:rPr>
          <w:rFonts w:eastAsia="Calibri" w:cs="Calibri"/>
        </w:rPr>
        <w:t xml:space="preserve"> year.</w:t>
      </w:r>
      <w:r w:rsidR="00DE19BC">
        <w:rPr>
          <w:rStyle w:val="FootnoteReference"/>
          <w:rFonts w:eastAsia="Calibri" w:cs="Calibri"/>
        </w:rPr>
        <w:footnoteReference w:id="240"/>
      </w:r>
      <w:r w:rsidRPr="71D2A87E">
        <w:rPr>
          <w:rFonts w:eastAsia="Calibri" w:cs="Calibri"/>
        </w:rPr>
        <w:t xml:space="preserve"> The first report</w:t>
      </w:r>
      <w:r w:rsidR="00870F96">
        <w:rPr>
          <w:rFonts w:eastAsia="Calibri" w:cs="Calibri"/>
        </w:rPr>
        <w:t>,</w:t>
      </w:r>
      <w:r w:rsidRPr="71D2A87E">
        <w:rPr>
          <w:rFonts w:eastAsia="Calibri" w:cs="Calibri"/>
        </w:rPr>
        <w:t xml:space="preserve"> </w:t>
      </w:r>
      <w:r w:rsidR="00870F96">
        <w:rPr>
          <w:rFonts w:eastAsia="Calibri" w:cs="Calibri"/>
        </w:rPr>
        <w:t>to be</w:t>
      </w:r>
      <w:r w:rsidRPr="71D2A87E">
        <w:rPr>
          <w:rFonts w:eastAsia="Calibri" w:cs="Calibri"/>
        </w:rPr>
        <w:t xml:space="preserve"> </w:t>
      </w:r>
      <w:r w:rsidR="007A4438">
        <w:rPr>
          <w:rFonts w:eastAsia="Calibri" w:cs="Calibri"/>
        </w:rPr>
        <w:t>provided by</w:t>
      </w:r>
      <w:r w:rsidR="001A267C">
        <w:rPr>
          <w:rFonts w:eastAsia="Calibri" w:cs="Calibri"/>
        </w:rPr>
        <w:t xml:space="preserve"> July 1</w:t>
      </w:r>
      <w:r w:rsidR="008B354A">
        <w:rPr>
          <w:rFonts w:eastAsia="Calibri" w:cs="Calibri"/>
        </w:rPr>
        <w:t>5</w:t>
      </w:r>
      <w:r w:rsidRPr="71D2A87E" w:rsidDel="00E70F1D">
        <w:rPr>
          <w:rFonts w:eastAsia="Calibri" w:cs="Calibri"/>
        </w:rPr>
        <w:t>,</w:t>
      </w:r>
      <w:r w:rsidR="56ACD243" w:rsidRPr="00D03F1F">
        <w:rPr>
          <w:rFonts w:eastAsia="Calibri" w:cs="Calibri"/>
        </w:rPr>
        <w:t xml:space="preserve"> 2023</w:t>
      </w:r>
      <w:r w:rsidR="00870F96">
        <w:rPr>
          <w:rFonts w:eastAsia="Calibri" w:cs="Calibri"/>
        </w:rPr>
        <w:t>,</w:t>
      </w:r>
      <w:r w:rsidRPr="71D2A87E">
        <w:rPr>
          <w:rFonts w:eastAsia="Calibri" w:cs="Calibri"/>
        </w:rPr>
        <w:t xml:space="preserve"> will report on data from calendar year 2022</w:t>
      </w:r>
      <w:r w:rsidR="56ACD243" w:rsidRPr="00D03F1F">
        <w:rPr>
          <w:rFonts w:eastAsia="Calibri" w:cs="Calibri"/>
        </w:rPr>
        <w:t xml:space="preserve">. </w:t>
      </w:r>
      <w:r w:rsidR="00506879">
        <w:rPr>
          <w:rFonts w:eastAsia="Calibri" w:cs="Calibri"/>
        </w:rPr>
        <w:t>S</w:t>
      </w:r>
      <w:r w:rsidR="00AF74D2">
        <w:rPr>
          <w:rFonts w:eastAsia="Calibri" w:cs="Calibri"/>
        </w:rPr>
        <w:t xml:space="preserve">ubsequent </w:t>
      </w:r>
      <w:r w:rsidR="00AF293D">
        <w:rPr>
          <w:rFonts w:eastAsia="Calibri" w:cs="Calibri"/>
        </w:rPr>
        <w:t>annual</w:t>
      </w:r>
      <w:r w:rsidR="00C12B82">
        <w:rPr>
          <w:rFonts w:eastAsia="Calibri" w:cs="Calibri"/>
        </w:rPr>
        <w:t xml:space="preserve"> </w:t>
      </w:r>
      <w:r w:rsidR="00AF74D2">
        <w:rPr>
          <w:rFonts w:eastAsia="Calibri" w:cs="Calibri"/>
        </w:rPr>
        <w:t>reports</w:t>
      </w:r>
      <w:r w:rsidR="00C04C99">
        <w:rPr>
          <w:rFonts w:eastAsia="Calibri" w:cs="Calibri"/>
        </w:rPr>
        <w:t xml:space="preserve"> </w:t>
      </w:r>
      <w:r w:rsidR="00506879">
        <w:rPr>
          <w:rFonts w:eastAsia="Calibri" w:cs="Calibri"/>
        </w:rPr>
        <w:t xml:space="preserve">will continue to be </w:t>
      </w:r>
      <w:r w:rsidR="00E50162">
        <w:rPr>
          <w:rFonts w:eastAsia="Calibri" w:cs="Calibri"/>
        </w:rPr>
        <w:t>provided</w:t>
      </w:r>
      <w:r w:rsidR="00506879">
        <w:rPr>
          <w:rFonts w:eastAsia="Calibri" w:cs="Calibri"/>
        </w:rPr>
        <w:t xml:space="preserve"> </w:t>
      </w:r>
      <w:r w:rsidR="00E76668">
        <w:rPr>
          <w:rFonts w:eastAsia="Calibri" w:cs="Calibri"/>
        </w:rPr>
        <w:t>by</w:t>
      </w:r>
      <w:r w:rsidR="00506879">
        <w:rPr>
          <w:rFonts w:eastAsia="Calibri" w:cs="Calibri"/>
        </w:rPr>
        <w:t xml:space="preserve"> July 1</w:t>
      </w:r>
      <w:r w:rsidR="008B354A">
        <w:rPr>
          <w:rFonts w:eastAsia="Calibri" w:cs="Calibri"/>
        </w:rPr>
        <w:t>5</w:t>
      </w:r>
      <w:r w:rsidR="00C04C99">
        <w:rPr>
          <w:rFonts w:eastAsia="Calibri" w:cs="Calibri"/>
        </w:rPr>
        <w:t xml:space="preserve"> of each year until July 15, 2028</w:t>
      </w:r>
      <w:r w:rsidR="00E93104">
        <w:rPr>
          <w:rFonts w:eastAsia="Calibri" w:cs="Calibri"/>
        </w:rPr>
        <w:t xml:space="preserve">. Each report </w:t>
      </w:r>
      <w:r w:rsidR="00C04C99">
        <w:rPr>
          <w:rFonts w:eastAsia="Calibri" w:cs="Calibri"/>
        </w:rPr>
        <w:t xml:space="preserve">will </w:t>
      </w:r>
      <w:r w:rsidR="00E93104">
        <w:rPr>
          <w:rFonts w:eastAsia="Calibri" w:cs="Calibri"/>
        </w:rPr>
        <w:t>focus</w:t>
      </w:r>
      <w:r w:rsidR="00E81DCF">
        <w:rPr>
          <w:rFonts w:eastAsia="Calibri" w:cs="Calibri"/>
        </w:rPr>
        <w:t xml:space="preserve"> on data from the prior calendar year</w:t>
      </w:r>
      <w:r w:rsidR="00AF74D2">
        <w:rPr>
          <w:rFonts w:eastAsia="Calibri" w:cs="Calibri"/>
        </w:rPr>
        <w:t xml:space="preserve">. </w:t>
      </w:r>
      <w:r w:rsidR="00870F96">
        <w:rPr>
          <w:rFonts w:eastAsia="Calibri" w:cs="Calibri"/>
        </w:rPr>
        <w:t xml:space="preserve">The annual report </w:t>
      </w:r>
      <w:r w:rsidR="540B499A">
        <w:rPr>
          <w:rFonts w:eastAsia="Calibri" w:cs="Calibri"/>
        </w:rPr>
        <w:t>will be delivered digitally</w:t>
      </w:r>
      <w:r w:rsidR="00870F96">
        <w:rPr>
          <w:rFonts w:eastAsia="Calibri" w:cs="Calibri"/>
        </w:rPr>
        <w:t xml:space="preserve">, with </w:t>
      </w:r>
      <w:r w:rsidR="540B499A">
        <w:rPr>
          <w:rFonts w:eastAsia="Calibri" w:cs="Calibri"/>
        </w:rPr>
        <w:t xml:space="preserve">a notification letter transmitted to </w:t>
      </w:r>
      <w:r w:rsidR="00870F96">
        <w:rPr>
          <w:rFonts w:eastAsia="Calibri" w:cs="Calibri"/>
        </w:rPr>
        <w:t xml:space="preserve">the King County </w:t>
      </w:r>
      <w:r w:rsidR="540B499A">
        <w:rPr>
          <w:rFonts w:eastAsia="Calibri" w:cs="Calibri"/>
        </w:rPr>
        <w:t xml:space="preserve">Council when the report is ready for review. </w:t>
      </w:r>
      <w:r w:rsidR="00FD13CB">
        <w:rPr>
          <w:rFonts w:eastAsia="Calibri" w:cs="Calibri"/>
        </w:rPr>
        <w:t xml:space="preserve">Detailed performance measures </w:t>
      </w:r>
      <w:r w:rsidR="00D93646">
        <w:rPr>
          <w:rFonts w:eastAsia="Calibri" w:cs="Calibri"/>
        </w:rPr>
        <w:t>are anticipated to be available online through i</w:t>
      </w:r>
      <w:r w:rsidR="00494A95" w:rsidRPr="00D03F1F">
        <w:rPr>
          <w:rFonts w:eastAsia="Calibri" w:cs="Calibri"/>
        </w:rPr>
        <w:t>nteractive</w:t>
      </w:r>
      <w:r w:rsidR="00494A95" w:rsidRPr="00494A95">
        <w:rPr>
          <w:rFonts w:eastAsia="Calibri" w:cs="Calibri"/>
        </w:rPr>
        <w:t xml:space="preserve"> </w:t>
      </w:r>
      <w:r w:rsidR="00494A95" w:rsidRPr="00D03F1F">
        <w:rPr>
          <w:rFonts w:eastAsia="Calibri" w:cs="Calibri"/>
        </w:rPr>
        <w:t>dashboards</w:t>
      </w:r>
      <w:r w:rsidR="00494A95">
        <w:rPr>
          <w:rStyle w:val="FootnoteReference"/>
          <w:rFonts w:cs="Calibri"/>
        </w:rPr>
        <w:footnoteReference w:id="241"/>
      </w:r>
      <w:r w:rsidR="00494A95" w:rsidRPr="00D03F1F">
        <w:rPr>
          <w:rFonts w:cs="Calibri"/>
        </w:rPr>
        <w:t xml:space="preserve"> </w:t>
      </w:r>
      <w:r w:rsidR="00D93646">
        <w:rPr>
          <w:rFonts w:cs="Calibri"/>
        </w:rPr>
        <w:t xml:space="preserve">that </w:t>
      </w:r>
      <w:r w:rsidR="00494A95" w:rsidRPr="00D03F1F">
        <w:rPr>
          <w:rFonts w:eastAsia="Calibri" w:cs="Calibri"/>
        </w:rPr>
        <w:t xml:space="preserve">provide transparency by making </w:t>
      </w:r>
      <w:r w:rsidR="00494A95">
        <w:rPr>
          <w:rFonts w:eastAsia="Calibri" w:cs="Calibri"/>
        </w:rPr>
        <w:t xml:space="preserve">timely </w:t>
      </w:r>
      <w:r w:rsidR="00494A95" w:rsidRPr="00D03F1F">
        <w:rPr>
          <w:rFonts w:eastAsia="Calibri" w:cs="Calibri"/>
        </w:rPr>
        <w:t>data available and easier to explore</w:t>
      </w:r>
      <w:r w:rsidR="006B46C1">
        <w:rPr>
          <w:rFonts w:eastAsia="Calibri" w:cs="Calibri"/>
        </w:rPr>
        <w:t>.</w:t>
      </w:r>
      <w:r w:rsidR="00791013">
        <w:rPr>
          <w:rFonts w:eastAsia="Calibri" w:cs="Calibri"/>
        </w:rPr>
        <w:t xml:space="preserve"> </w:t>
      </w:r>
      <w:r w:rsidR="56ACD243" w:rsidRPr="00D03F1F">
        <w:rPr>
          <w:rFonts w:eastAsia="Calibri" w:cs="Calibri"/>
        </w:rPr>
        <w:t xml:space="preserve">These </w:t>
      </w:r>
      <w:r w:rsidR="659938BE" w:rsidRPr="71D2A87E">
        <w:rPr>
          <w:rFonts w:eastAsia="Calibri" w:cs="Calibri"/>
          <w:i/>
          <w:iCs/>
        </w:rPr>
        <w:t>Best Starts</w:t>
      </w:r>
      <w:r w:rsidR="56ACD243" w:rsidRPr="00D03F1F">
        <w:rPr>
          <w:rFonts w:eastAsia="Calibri" w:cs="Calibri"/>
        </w:rPr>
        <w:t xml:space="preserve"> Annual Reports will provide data </w:t>
      </w:r>
      <w:r w:rsidR="00985A98">
        <w:rPr>
          <w:rFonts w:eastAsia="Calibri" w:cs="Calibri"/>
        </w:rPr>
        <w:t xml:space="preserve">for </w:t>
      </w:r>
      <w:r w:rsidR="00A5423B">
        <w:rPr>
          <w:rFonts w:cs="Calibri"/>
        </w:rPr>
        <w:t>Investing Early</w:t>
      </w:r>
      <w:r w:rsidR="002A4399" w:rsidRPr="00D03F1F">
        <w:rPr>
          <w:rFonts w:cs="Calibri"/>
        </w:rPr>
        <w:t xml:space="preserve">, </w:t>
      </w:r>
      <w:r w:rsidR="00A5423B">
        <w:rPr>
          <w:rFonts w:cs="Calibri"/>
        </w:rPr>
        <w:t>Sustain the Gain</w:t>
      </w:r>
      <w:r w:rsidR="002A4399" w:rsidRPr="00D03F1F">
        <w:rPr>
          <w:rFonts w:cs="Calibri"/>
        </w:rPr>
        <w:t>, COO, YFHPI, child care, and technical assistance strategies</w:t>
      </w:r>
      <w:r w:rsidR="00B07516">
        <w:rPr>
          <w:rFonts w:cs="Calibri"/>
        </w:rPr>
        <w:t>, and</w:t>
      </w:r>
      <w:r w:rsidR="002A4399" w:rsidRPr="00D03F1F">
        <w:rPr>
          <w:rFonts w:eastAsia="Calibri" w:cs="Calibri"/>
        </w:rPr>
        <w:t xml:space="preserve"> </w:t>
      </w:r>
      <w:r w:rsidR="00870F96">
        <w:rPr>
          <w:rFonts w:cs="Calibri"/>
        </w:rPr>
        <w:t>the capital grant</w:t>
      </w:r>
      <w:r w:rsidR="0027360E">
        <w:rPr>
          <w:rFonts w:cs="Calibri"/>
        </w:rPr>
        <w:t>s</w:t>
      </w:r>
      <w:r w:rsidR="00870F96">
        <w:rPr>
          <w:rFonts w:cs="Calibri"/>
        </w:rPr>
        <w:t xml:space="preserve"> program. </w:t>
      </w:r>
      <w:r w:rsidR="001D23F7">
        <w:rPr>
          <w:rFonts w:cs="Calibri"/>
        </w:rPr>
        <w:t xml:space="preserve">As required by Ordinance 19267, </w:t>
      </w:r>
      <w:r w:rsidR="001C4B52">
        <w:rPr>
          <w:rFonts w:cs="Calibri"/>
        </w:rPr>
        <w:t xml:space="preserve">the </w:t>
      </w:r>
      <w:r w:rsidR="001D23F7">
        <w:rPr>
          <w:rFonts w:cs="Calibri"/>
        </w:rPr>
        <w:t>r</w:t>
      </w:r>
      <w:r w:rsidR="00870F96">
        <w:rPr>
          <w:rFonts w:cs="Calibri"/>
        </w:rPr>
        <w:t>eports will include</w:t>
      </w:r>
      <w:r w:rsidR="562B6E15" w:rsidRPr="71D2A87E">
        <w:rPr>
          <w:rFonts w:eastAsia="Calibri" w:cs="Calibri"/>
        </w:rPr>
        <w:t>:</w:t>
      </w:r>
      <w:r w:rsidR="00F47397">
        <w:rPr>
          <w:rStyle w:val="FootnoteReference"/>
          <w:rFonts w:eastAsia="Calibri" w:cs="Calibri"/>
        </w:rPr>
        <w:footnoteReference w:id="242"/>
      </w:r>
    </w:p>
    <w:p w14:paraId="1FA78D18" w14:textId="271D6334" w:rsidR="00E431E8" w:rsidRPr="00D03F1F" w:rsidRDefault="00E431E8" w:rsidP="00E431E8">
      <w:pPr>
        <w:pStyle w:val="ListParagraph"/>
        <w:numPr>
          <w:ilvl w:val="0"/>
          <w:numId w:val="11"/>
        </w:numPr>
        <w:ind w:left="720"/>
        <w:rPr>
          <w:rFonts w:cs="Calibri"/>
          <w:b/>
        </w:rPr>
      </w:pPr>
      <w:r>
        <w:rPr>
          <w:rFonts w:eastAsia="Calibri" w:cs="Calibri"/>
        </w:rPr>
        <w:t xml:space="preserve">Annual </w:t>
      </w:r>
      <w:r w:rsidR="00A71744">
        <w:rPr>
          <w:rFonts w:eastAsia="Calibri" w:cs="Calibri"/>
        </w:rPr>
        <w:t>information</w:t>
      </w:r>
      <w:r>
        <w:rPr>
          <w:rFonts w:eastAsia="Calibri" w:cs="Calibri"/>
        </w:rPr>
        <w:t xml:space="preserve"> on levy expenditures, services and outcomes; </w:t>
      </w:r>
    </w:p>
    <w:p w14:paraId="79DC887D" w14:textId="32DCEEEA" w:rsidR="00E431E8" w:rsidRPr="00D03F1F" w:rsidRDefault="00E431E8" w:rsidP="00E431E8">
      <w:pPr>
        <w:pStyle w:val="ListParagraph"/>
        <w:numPr>
          <w:ilvl w:val="0"/>
          <w:numId w:val="11"/>
        </w:numPr>
        <w:ind w:left="720"/>
        <w:rPr>
          <w:rFonts w:eastAsia="Calibri" w:cs="Calibri"/>
        </w:rPr>
      </w:pPr>
      <w:r w:rsidRPr="00D03F1F">
        <w:rPr>
          <w:rFonts w:eastAsia="Calibri" w:cs="Calibri"/>
        </w:rPr>
        <w:lastRenderedPageBreak/>
        <w:t>Total expenditures of levy proceeds by program area by ZIP Code in King County</w:t>
      </w:r>
      <w:r>
        <w:rPr>
          <w:rFonts w:eastAsia="Calibri" w:cs="Calibri"/>
        </w:rPr>
        <w:t>, with partial data to be available in the report completed in 2024 and additional data available in each subsequent report;</w:t>
      </w:r>
    </w:p>
    <w:p w14:paraId="1C6D1B26" w14:textId="66BED5A4" w:rsidR="00E431E8" w:rsidRDefault="00E431E8" w:rsidP="00E431E8">
      <w:pPr>
        <w:pStyle w:val="ListParagraph"/>
        <w:numPr>
          <w:ilvl w:val="0"/>
          <w:numId w:val="11"/>
        </w:numPr>
        <w:ind w:left="720"/>
        <w:rPr>
          <w:rFonts w:eastAsia="Calibri" w:cs="Calibri"/>
        </w:rPr>
      </w:pPr>
      <w:r w:rsidRPr="00D03F1F">
        <w:rPr>
          <w:rFonts w:eastAsia="Calibri" w:cs="Calibri"/>
        </w:rPr>
        <w:t>The number of individuals receiving levy-funded services by program area by ZIP Code of where the individuals reside at the time of service</w:t>
      </w:r>
      <w:r>
        <w:rPr>
          <w:rFonts w:eastAsia="Calibri" w:cs="Calibri"/>
        </w:rPr>
        <w:t xml:space="preserve">, with partial data to be available in the first annual report </w:t>
      </w:r>
      <w:r w:rsidR="007B7267">
        <w:rPr>
          <w:rFonts w:eastAsia="Calibri" w:cs="Calibri"/>
        </w:rPr>
        <w:t xml:space="preserve">in 2023 </w:t>
      </w:r>
      <w:r>
        <w:rPr>
          <w:rFonts w:eastAsia="Calibri" w:cs="Calibri"/>
        </w:rPr>
        <w:t>and additional data available in each subsequent report.</w:t>
      </w:r>
    </w:p>
    <w:p w14:paraId="11BBC98F" w14:textId="6BDBB24E" w:rsidR="00870F96" w:rsidRDefault="00870F96" w:rsidP="005F3393">
      <w:pPr>
        <w:rPr>
          <w:rFonts w:eastAsia="Calibri" w:cs="Calibri"/>
        </w:rPr>
      </w:pPr>
    </w:p>
    <w:p w14:paraId="6654530B" w14:textId="276E742D" w:rsidR="00974F6A" w:rsidRDefault="00974F6A" w:rsidP="005F3393">
      <w:pPr>
        <w:rPr>
          <w:rFonts w:eastAsia="Calibri" w:cs="Calibri"/>
        </w:rPr>
      </w:pPr>
      <w:r w:rsidRPr="00974F6A">
        <w:rPr>
          <w:rFonts w:eastAsia="Calibri" w:cs="Calibri"/>
        </w:rPr>
        <w:t>Annual reporting for the levy will also describe any changes made to strategy-level investments during the reporting period in order to best utilize levy resources, as well as indicate whether strategy-level investments are expected to change for the subsequent reporting period or remain the same.</w:t>
      </w:r>
    </w:p>
    <w:p w14:paraId="536BA449" w14:textId="77777777" w:rsidR="00974F6A" w:rsidRDefault="00974F6A" w:rsidP="005F3393">
      <w:pPr>
        <w:rPr>
          <w:rFonts w:eastAsia="Calibri" w:cs="Calibri"/>
        </w:rPr>
      </w:pPr>
    </w:p>
    <w:p w14:paraId="79036714" w14:textId="6836666F" w:rsidR="00D90375" w:rsidRPr="00D03F1F" w:rsidRDefault="006E55C1" w:rsidP="005F3393">
      <w:pPr>
        <w:rPr>
          <w:rFonts w:eastAsia="Calibri" w:cs="Calibri"/>
        </w:rPr>
      </w:pPr>
      <w:r>
        <w:rPr>
          <w:rFonts w:eastAsia="Calibri" w:cs="Calibri"/>
        </w:rPr>
        <w:t xml:space="preserve">The Children and Youth Advisory Board and the Communities of Opportunity Advisory Board will </w:t>
      </w:r>
      <w:r w:rsidRPr="00A8562D">
        <w:rPr>
          <w:rFonts w:eastAsia="Calibri" w:cs="Calibri"/>
        </w:rPr>
        <w:t xml:space="preserve">consult on, and review, the respective portion of annual reports on </w:t>
      </w:r>
      <w:r w:rsidRPr="00A8562D">
        <w:rPr>
          <w:rFonts w:eastAsia="Calibri" w:cs="Calibri"/>
          <w:i/>
        </w:rPr>
        <w:t>Best Starts</w:t>
      </w:r>
      <w:r w:rsidRPr="00A8562D">
        <w:rPr>
          <w:rFonts w:eastAsia="Calibri" w:cs="Calibri"/>
        </w:rPr>
        <w:t xml:space="preserve"> programming for which they have been charged with oversight.</w:t>
      </w:r>
    </w:p>
    <w:p w14:paraId="4F63B630" w14:textId="49CACA54" w:rsidR="00DE526E" w:rsidRDefault="00DE526E" w:rsidP="00A910E8">
      <w:pPr>
        <w:rPr>
          <w:rFonts w:eastAsia="Calibri" w:cs="Calibri"/>
        </w:rPr>
      </w:pPr>
    </w:p>
    <w:p w14:paraId="03C0CE50" w14:textId="6C75D25A" w:rsidR="0050282F" w:rsidRDefault="0050282F" w:rsidP="00A910E8">
      <w:pPr>
        <w:rPr>
          <w:rFonts w:eastAsia="Calibri" w:cs="Calibri"/>
        </w:rPr>
      </w:pPr>
      <w:r w:rsidRPr="00BF1B82">
        <w:rPr>
          <w:rFonts w:eastAsia="Calibri" w:cs="Calibri"/>
        </w:rPr>
        <w:t xml:space="preserve">Additionally, no later than 2027, </w:t>
      </w:r>
      <w:r w:rsidRPr="00BF1B82">
        <w:rPr>
          <w:rFonts w:eastAsia="Calibri" w:cs="Calibri"/>
          <w:i/>
          <w:iCs/>
        </w:rPr>
        <w:t xml:space="preserve">Best Starts </w:t>
      </w:r>
      <w:r w:rsidRPr="00BF1B82">
        <w:rPr>
          <w:rFonts w:eastAsia="Calibri" w:cs="Calibri"/>
        </w:rPr>
        <w:t>will report on the levy</w:t>
      </w:r>
      <w:r>
        <w:rPr>
          <w:rFonts w:eastAsia="Calibri" w:cs="Calibri"/>
        </w:rPr>
        <w:t>'</w:t>
      </w:r>
      <w:r w:rsidRPr="00BF1B82">
        <w:rPr>
          <w:rFonts w:eastAsia="Calibri" w:cs="Calibri"/>
        </w:rPr>
        <w:t xml:space="preserve">s performance and outcomes in conjunction with the performance and outcomes for the </w:t>
      </w:r>
      <w:r w:rsidRPr="00BF1B82">
        <w:t xml:space="preserve">Mental Illness and Drug Dependency Behavioral Health Sales Tax Fund (MIDD) and Veterans, Seniors and Human Services Levy (VSHSL), including whether the investments from these programs are </w:t>
      </w:r>
      <w:r w:rsidRPr="00BF1B82">
        <w:rPr>
          <w:rFonts w:eastAsia="Calibri" w:cs="Calibri"/>
        </w:rPr>
        <w:t>achieving desired county population-level results or impacts monitored as part of the consolidated reporting dashboard for DCHS-administered human services.</w:t>
      </w:r>
    </w:p>
    <w:p w14:paraId="7F13B79C" w14:textId="77777777" w:rsidR="0050282F" w:rsidRPr="0050282F" w:rsidRDefault="0050282F" w:rsidP="00A910E8">
      <w:pPr>
        <w:rPr>
          <w:rFonts w:eastAsia="Calibri" w:cs="Calibri"/>
        </w:rPr>
      </w:pPr>
    </w:p>
    <w:p w14:paraId="7A940924" w14:textId="6ED93FF4" w:rsidR="000E419D" w:rsidRPr="00964156" w:rsidRDefault="000E419D" w:rsidP="00A910E8">
      <w:pPr>
        <w:rPr>
          <w:rFonts w:eastAsia="Calibri" w:cs="Calibri"/>
          <w:b/>
          <w:bCs/>
        </w:rPr>
      </w:pPr>
      <w:r w:rsidRPr="00964156">
        <w:rPr>
          <w:rFonts w:eastAsia="Calibri" w:cs="Calibri"/>
          <w:b/>
          <w:bCs/>
        </w:rPr>
        <w:t>ZIP Code Reporting</w:t>
      </w:r>
      <w:r w:rsidR="00DE526E" w:rsidRPr="00964156">
        <w:rPr>
          <w:rFonts w:eastAsia="Calibri" w:cs="Calibri"/>
          <w:b/>
          <w:bCs/>
        </w:rPr>
        <w:t xml:space="preserve"> Methodology</w:t>
      </w:r>
      <w:r w:rsidR="00F65F4D" w:rsidRPr="00964156">
        <w:rPr>
          <w:rFonts w:eastAsia="Calibri" w:cs="Calibri"/>
          <w:b/>
          <w:bCs/>
        </w:rPr>
        <w:t xml:space="preserve"> and Timeline</w:t>
      </w:r>
    </w:p>
    <w:p w14:paraId="0EFC6725" w14:textId="415841D7" w:rsidR="00641AA5" w:rsidRDefault="002A2329" w:rsidP="00A910E8">
      <w:pPr>
        <w:rPr>
          <w:rFonts w:cs="Calibri"/>
          <w:color w:val="000000"/>
          <w:shd w:val="clear" w:color="auto" w:fill="FFFFFF"/>
        </w:rPr>
      </w:pPr>
      <w:r w:rsidRPr="002A2329">
        <w:rPr>
          <w:rFonts w:cs="Calibri"/>
          <w:i/>
          <w:iCs/>
          <w:color w:val="000000"/>
          <w:shd w:val="clear" w:color="auto" w:fill="FFFFFF"/>
        </w:rPr>
        <w:t>Best Starts </w:t>
      </w:r>
      <w:r w:rsidR="00E434E5">
        <w:rPr>
          <w:rFonts w:cs="Calibri"/>
          <w:color w:val="000000"/>
          <w:shd w:val="clear" w:color="auto" w:fill="FFFFFF"/>
        </w:rPr>
        <w:t xml:space="preserve">has reported ZIP Code of client residence for many strategies </w:t>
      </w:r>
      <w:r w:rsidR="0009777E">
        <w:rPr>
          <w:rFonts w:cs="Calibri"/>
          <w:color w:val="000000"/>
          <w:shd w:val="clear" w:color="auto" w:fill="FFFFFF"/>
        </w:rPr>
        <w:t>to date</w:t>
      </w:r>
      <w:r w:rsidR="00955DED">
        <w:rPr>
          <w:rFonts w:cs="Calibri"/>
          <w:color w:val="000000"/>
          <w:shd w:val="clear" w:color="auto" w:fill="FFFFFF"/>
        </w:rPr>
        <w:t xml:space="preserve">. During the 2022-2027 levy, it </w:t>
      </w:r>
      <w:r w:rsidR="005E510A">
        <w:rPr>
          <w:rFonts w:cs="Calibri"/>
          <w:color w:val="000000"/>
          <w:shd w:val="clear" w:color="auto" w:fill="FFFFFF"/>
        </w:rPr>
        <w:t>will expand this</w:t>
      </w:r>
      <w:r w:rsidR="00E434E5">
        <w:rPr>
          <w:rFonts w:cs="Calibri"/>
          <w:color w:val="000000"/>
          <w:shd w:val="clear" w:color="auto" w:fill="FFFFFF"/>
        </w:rPr>
        <w:t xml:space="preserve"> reporting to include </w:t>
      </w:r>
      <w:r w:rsidR="00EB2B84">
        <w:rPr>
          <w:rFonts w:cs="Calibri"/>
          <w:color w:val="000000"/>
          <w:shd w:val="clear" w:color="auto" w:fill="FFFFFF"/>
        </w:rPr>
        <w:t xml:space="preserve">client residence </w:t>
      </w:r>
      <w:r w:rsidR="0009346A">
        <w:rPr>
          <w:rFonts w:cs="Calibri"/>
          <w:color w:val="000000"/>
          <w:shd w:val="clear" w:color="auto" w:fill="FFFFFF"/>
        </w:rPr>
        <w:t xml:space="preserve">by ZIP Code </w:t>
      </w:r>
      <w:r w:rsidR="00EB2B84">
        <w:rPr>
          <w:rFonts w:cs="Calibri"/>
          <w:color w:val="000000"/>
          <w:shd w:val="clear" w:color="auto" w:fill="FFFFFF"/>
        </w:rPr>
        <w:t xml:space="preserve">for </w:t>
      </w:r>
      <w:r w:rsidR="00E434E5">
        <w:rPr>
          <w:rFonts w:cs="Calibri"/>
          <w:color w:val="000000"/>
          <w:shd w:val="clear" w:color="auto" w:fill="FFFFFF"/>
        </w:rPr>
        <w:t>additional strategies</w:t>
      </w:r>
      <w:r w:rsidR="00955DED">
        <w:rPr>
          <w:rFonts w:cs="Calibri"/>
          <w:color w:val="000000"/>
          <w:shd w:val="clear" w:color="auto" w:fill="FFFFFF"/>
        </w:rPr>
        <w:t>, as well as expenditures by ZIP Code by strategy</w:t>
      </w:r>
      <w:r w:rsidR="00EB2B84">
        <w:rPr>
          <w:rFonts w:cs="Calibri"/>
          <w:color w:val="000000"/>
          <w:shd w:val="clear" w:color="auto" w:fill="FFFFFF"/>
        </w:rPr>
        <w:t>.</w:t>
      </w:r>
      <w:r w:rsidR="00E96BB7">
        <w:rPr>
          <w:rStyle w:val="FootnoteReference"/>
          <w:rFonts w:cs="Calibri"/>
          <w:color w:val="000000"/>
          <w:shd w:val="clear" w:color="auto" w:fill="FFFFFF"/>
        </w:rPr>
        <w:footnoteReference w:id="243"/>
      </w:r>
      <w:r w:rsidR="00E434E5">
        <w:rPr>
          <w:rFonts w:cs="Calibri"/>
          <w:color w:val="000000"/>
          <w:shd w:val="clear" w:color="auto" w:fill="FFFFFF"/>
        </w:rPr>
        <w:t xml:space="preserve"> </w:t>
      </w:r>
      <w:r w:rsidRPr="002A2329">
        <w:rPr>
          <w:rFonts w:cs="Calibri"/>
          <w:color w:val="000000"/>
          <w:shd w:val="clear" w:color="auto" w:fill="FFFFFF"/>
        </w:rPr>
        <w:t>ZIP Code data </w:t>
      </w:r>
      <w:r w:rsidR="00130F85">
        <w:rPr>
          <w:rFonts w:cs="Calibri"/>
          <w:color w:val="000000"/>
          <w:shd w:val="clear" w:color="auto" w:fill="FFFFFF"/>
        </w:rPr>
        <w:t xml:space="preserve">will be reported </w:t>
      </w:r>
      <w:r w:rsidRPr="002A2329">
        <w:rPr>
          <w:rFonts w:cs="Calibri"/>
          <w:color w:val="000000"/>
          <w:shd w:val="clear" w:color="auto" w:fill="FFFFFF"/>
        </w:rPr>
        <w:t>using maps or other visualizations to aid interpretation of the data. </w:t>
      </w:r>
    </w:p>
    <w:p w14:paraId="63B01ECD" w14:textId="77777777" w:rsidR="00784AA0" w:rsidRDefault="00784AA0" w:rsidP="00A910E8">
      <w:pPr>
        <w:rPr>
          <w:rFonts w:eastAsia="Calibri" w:cs="Calibri"/>
        </w:rPr>
      </w:pPr>
    </w:p>
    <w:p w14:paraId="30D6DA48" w14:textId="5D2E6931" w:rsidR="00256F28" w:rsidRDefault="00641AA5" w:rsidP="00A910E8">
      <w:pPr>
        <w:rPr>
          <w:rFonts w:eastAsia="Calibri" w:cs="Calibri"/>
        </w:rPr>
      </w:pPr>
      <w:r w:rsidRPr="00B37AC7">
        <w:rPr>
          <w:rFonts w:eastAsia="Calibri" w:cs="Calibri"/>
        </w:rPr>
        <w:t>To expand ZIP Code reporting,</w:t>
      </w:r>
      <w:r>
        <w:rPr>
          <w:rFonts w:eastAsia="Calibri" w:cs="Calibri"/>
          <w:i/>
          <w:iCs/>
        </w:rPr>
        <w:t xml:space="preserve"> </w:t>
      </w:r>
      <w:r w:rsidR="00321CD7">
        <w:rPr>
          <w:rFonts w:eastAsia="Calibri" w:cs="Calibri"/>
          <w:i/>
          <w:iCs/>
        </w:rPr>
        <w:t xml:space="preserve">Best Starts </w:t>
      </w:r>
      <w:r w:rsidR="006E6933">
        <w:rPr>
          <w:rFonts w:eastAsia="Calibri" w:cs="Calibri"/>
        </w:rPr>
        <w:t xml:space="preserve">will </w:t>
      </w:r>
      <w:r w:rsidR="00B2790C">
        <w:rPr>
          <w:rFonts w:eastAsia="Calibri" w:cs="Calibri"/>
        </w:rPr>
        <w:t xml:space="preserve">work throughout 2022 to </w:t>
      </w:r>
      <w:r w:rsidR="006E6933">
        <w:rPr>
          <w:rFonts w:eastAsia="Calibri" w:cs="Calibri"/>
        </w:rPr>
        <w:t>develop and pilot new data collection processes</w:t>
      </w:r>
      <w:r w:rsidR="00FF2553">
        <w:rPr>
          <w:rFonts w:eastAsia="Calibri" w:cs="Calibri"/>
        </w:rPr>
        <w:t>, many of which may rely on providers to report additional data to the County</w:t>
      </w:r>
      <w:r w:rsidR="00164689">
        <w:rPr>
          <w:rFonts w:eastAsia="Calibri" w:cs="Calibri"/>
        </w:rPr>
        <w:t xml:space="preserve">. </w:t>
      </w:r>
      <w:r w:rsidR="008C1DBA">
        <w:rPr>
          <w:rFonts w:eastAsia="Calibri" w:cs="Calibri"/>
        </w:rPr>
        <w:t>Strategies that are not currently reporting client residence by ZIP Code will asses</w:t>
      </w:r>
      <w:r w:rsidR="0041758D">
        <w:rPr>
          <w:rFonts w:eastAsia="Calibri" w:cs="Calibri"/>
        </w:rPr>
        <w:t>s</w:t>
      </w:r>
      <w:r w:rsidR="008C1DBA">
        <w:rPr>
          <w:rFonts w:eastAsia="Calibri" w:cs="Calibri"/>
        </w:rPr>
        <w:t xml:space="preserve"> the barriers to doing so</w:t>
      </w:r>
      <w:r w:rsidR="00256F28">
        <w:rPr>
          <w:rFonts w:eastAsia="Calibri" w:cs="Calibri"/>
        </w:rPr>
        <w:t>. They will</w:t>
      </w:r>
      <w:r w:rsidR="001A5525">
        <w:rPr>
          <w:rFonts w:eastAsia="Calibri" w:cs="Calibri"/>
        </w:rPr>
        <w:t xml:space="preserve"> determine whether additional </w:t>
      </w:r>
      <w:r w:rsidR="00BF36B5">
        <w:rPr>
          <w:rFonts w:eastAsia="Calibri" w:cs="Calibri"/>
        </w:rPr>
        <w:t>data collection is feasible for the program model</w:t>
      </w:r>
      <w:r w:rsidR="00256F28">
        <w:rPr>
          <w:rFonts w:eastAsia="Calibri" w:cs="Calibri"/>
        </w:rPr>
        <w:t>,</w:t>
      </w:r>
      <w:r w:rsidR="00C903A5">
        <w:rPr>
          <w:rFonts w:eastAsia="Calibri" w:cs="Calibri"/>
        </w:rPr>
        <w:t xml:space="preserve"> </w:t>
      </w:r>
      <w:r w:rsidR="007E37A2">
        <w:rPr>
          <w:rFonts w:eastAsia="Calibri" w:cs="Calibri"/>
        </w:rPr>
        <w:t xml:space="preserve">and </w:t>
      </w:r>
      <w:r w:rsidR="00B53B88">
        <w:rPr>
          <w:rFonts w:eastAsia="Calibri" w:cs="Calibri"/>
        </w:rPr>
        <w:t xml:space="preserve">what investment is required </w:t>
      </w:r>
      <w:r w:rsidR="00256F28">
        <w:rPr>
          <w:rFonts w:eastAsia="Calibri" w:cs="Calibri"/>
        </w:rPr>
        <w:t>to support it, such as</w:t>
      </w:r>
      <w:r w:rsidR="006A3CE3">
        <w:rPr>
          <w:rFonts w:eastAsia="Calibri" w:cs="Calibri"/>
        </w:rPr>
        <w:t xml:space="preserve"> technical assistance for </w:t>
      </w:r>
      <w:r w:rsidR="00167D22">
        <w:rPr>
          <w:rFonts w:eastAsia="Calibri" w:cs="Calibri"/>
        </w:rPr>
        <w:t>grantees to make changes to program databases.</w:t>
      </w:r>
      <w:r w:rsidR="00790FF3">
        <w:rPr>
          <w:rFonts w:eastAsia="Calibri" w:cs="Calibri"/>
        </w:rPr>
        <w:t xml:space="preserve"> </w:t>
      </w:r>
      <w:r w:rsidR="00BB7BD0">
        <w:rPr>
          <w:rFonts w:eastAsia="Calibri" w:cs="Calibri"/>
        </w:rPr>
        <w:t xml:space="preserve">This work will enable additional </w:t>
      </w:r>
      <w:r w:rsidR="009E2802">
        <w:rPr>
          <w:rFonts w:eastAsia="Calibri" w:cs="Calibri"/>
        </w:rPr>
        <w:t>providers to begin collecting ZIP Code data by the start of 2023</w:t>
      </w:r>
      <w:r w:rsidR="00470B46">
        <w:rPr>
          <w:rFonts w:eastAsia="Calibri" w:cs="Calibri"/>
        </w:rPr>
        <w:t>. As a result</w:t>
      </w:r>
      <w:r w:rsidR="00FB3967">
        <w:rPr>
          <w:rFonts w:eastAsia="Calibri" w:cs="Calibri"/>
        </w:rPr>
        <w:t>,</w:t>
      </w:r>
      <w:r w:rsidR="00790FF3">
        <w:rPr>
          <w:rFonts w:eastAsia="Calibri" w:cs="Calibri"/>
        </w:rPr>
        <w:t xml:space="preserve"> </w:t>
      </w:r>
      <w:r w:rsidR="00790FF3">
        <w:rPr>
          <w:rFonts w:eastAsia="Calibri" w:cs="Calibri"/>
          <w:i/>
          <w:iCs/>
        </w:rPr>
        <w:t xml:space="preserve">Best Starts </w:t>
      </w:r>
      <w:r w:rsidR="004E0959">
        <w:rPr>
          <w:rFonts w:eastAsia="Calibri" w:cs="Calibri"/>
        </w:rPr>
        <w:t xml:space="preserve">will </w:t>
      </w:r>
      <w:r w:rsidR="00745E36">
        <w:rPr>
          <w:rFonts w:eastAsia="Calibri" w:cs="Calibri"/>
        </w:rPr>
        <w:t>continue to report client residence by ZIP Code for the strategies already doing so</w:t>
      </w:r>
      <w:r w:rsidR="00256F28">
        <w:rPr>
          <w:rFonts w:eastAsia="Calibri" w:cs="Calibri"/>
        </w:rPr>
        <w:t xml:space="preserve"> </w:t>
      </w:r>
      <w:r w:rsidR="009E3454">
        <w:rPr>
          <w:rFonts w:eastAsia="Calibri" w:cs="Calibri"/>
        </w:rPr>
        <w:t xml:space="preserve">in the 2022 Annual Report </w:t>
      </w:r>
      <w:r w:rsidR="00256F28">
        <w:rPr>
          <w:rFonts w:eastAsia="Calibri" w:cs="Calibri"/>
        </w:rPr>
        <w:t xml:space="preserve">and </w:t>
      </w:r>
      <w:r w:rsidR="00DB4B66">
        <w:rPr>
          <w:rFonts w:eastAsia="Calibri" w:cs="Calibri"/>
        </w:rPr>
        <w:t>will</w:t>
      </w:r>
      <w:r w:rsidR="00745E36">
        <w:rPr>
          <w:rFonts w:eastAsia="Calibri" w:cs="Calibri"/>
        </w:rPr>
        <w:t xml:space="preserve"> expand the </w:t>
      </w:r>
      <w:r w:rsidR="003F0798">
        <w:rPr>
          <w:rFonts w:eastAsia="Calibri" w:cs="Calibri"/>
        </w:rPr>
        <w:t>number of strategies reporting this information by the 2023 Annual Report</w:t>
      </w:r>
      <w:r w:rsidR="00D32F0C">
        <w:rPr>
          <w:rFonts w:eastAsia="Calibri" w:cs="Calibri"/>
        </w:rPr>
        <w:t xml:space="preserve">, which will be </w:t>
      </w:r>
      <w:r w:rsidR="00AA029E">
        <w:rPr>
          <w:rFonts w:eastAsia="Calibri" w:cs="Calibri"/>
        </w:rPr>
        <w:t xml:space="preserve">transmitted to Council </w:t>
      </w:r>
      <w:r w:rsidR="00D32F0C">
        <w:rPr>
          <w:rFonts w:eastAsia="Calibri" w:cs="Calibri"/>
        </w:rPr>
        <w:t xml:space="preserve">in </w:t>
      </w:r>
      <w:r w:rsidR="007D03A1">
        <w:rPr>
          <w:rFonts w:eastAsia="Calibri" w:cs="Calibri"/>
        </w:rPr>
        <w:t xml:space="preserve">July </w:t>
      </w:r>
      <w:r w:rsidR="00D32F0C">
        <w:rPr>
          <w:rFonts w:eastAsia="Calibri" w:cs="Calibri"/>
        </w:rPr>
        <w:t>2024</w:t>
      </w:r>
      <w:r w:rsidR="003F0798">
        <w:rPr>
          <w:rFonts w:eastAsia="Calibri" w:cs="Calibri"/>
        </w:rPr>
        <w:t>.</w:t>
      </w:r>
      <w:r w:rsidR="004B27CC">
        <w:rPr>
          <w:rFonts w:eastAsia="Calibri" w:cs="Calibri"/>
        </w:rPr>
        <w:t xml:space="preserve"> </w:t>
      </w:r>
      <w:r w:rsidR="0ACFA52D" w:rsidRPr="6EF89F97">
        <w:rPr>
          <w:rFonts w:eastAsia="Calibri" w:cs="Calibri"/>
        </w:rPr>
        <w:t>All reporting by ZIP Code will continue to abide by privacy and confidentiality guidelines to ensure individuals cannot be identified.</w:t>
      </w:r>
    </w:p>
    <w:p w14:paraId="7768D21D" w14:textId="77777777" w:rsidR="00256F28" w:rsidRDefault="00256F28" w:rsidP="00A910E8">
      <w:pPr>
        <w:rPr>
          <w:rFonts w:eastAsia="Calibri" w:cs="Calibri"/>
        </w:rPr>
      </w:pPr>
    </w:p>
    <w:p w14:paraId="22DD7A82" w14:textId="5C1C5133" w:rsidR="00784AA0" w:rsidRDefault="00C17256" w:rsidP="00A910E8">
      <w:pPr>
        <w:rPr>
          <w:rFonts w:eastAsia="Calibri" w:cs="Calibri"/>
        </w:rPr>
      </w:pPr>
      <w:r>
        <w:rPr>
          <w:rFonts w:eastAsia="Calibri" w:cs="Calibri"/>
          <w:i/>
          <w:iCs/>
        </w:rPr>
        <w:lastRenderedPageBreak/>
        <w:t>Best Starts</w:t>
      </w:r>
      <w:r>
        <w:rPr>
          <w:rFonts w:eastAsia="Calibri" w:cs="Calibri"/>
        </w:rPr>
        <w:t xml:space="preserve"> will also </w:t>
      </w:r>
      <w:r w:rsidR="00E5375D">
        <w:rPr>
          <w:rFonts w:eastAsia="Calibri" w:cs="Calibri"/>
        </w:rPr>
        <w:t>develop and</w:t>
      </w:r>
      <w:r>
        <w:rPr>
          <w:rFonts w:eastAsia="Calibri" w:cs="Calibri"/>
        </w:rPr>
        <w:t xml:space="preserve"> pilot </w:t>
      </w:r>
      <w:r w:rsidR="00827EB4">
        <w:rPr>
          <w:rFonts w:eastAsia="Calibri" w:cs="Calibri"/>
        </w:rPr>
        <w:t xml:space="preserve">a methodology </w:t>
      </w:r>
      <w:r w:rsidR="00766CB5">
        <w:rPr>
          <w:rFonts w:eastAsia="Calibri" w:cs="Calibri"/>
        </w:rPr>
        <w:t xml:space="preserve">beginning </w:t>
      </w:r>
      <w:r w:rsidR="00E5375D">
        <w:rPr>
          <w:rFonts w:eastAsia="Calibri" w:cs="Calibri"/>
        </w:rPr>
        <w:t xml:space="preserve">in 2022 </w:t>
      </w:r>
      <w:r w:rsidR="00827EB4">
        <w:rPr>
          <w:rFonts w:eastAsia="Calibri" w:cs="Calibri"/>
        </w:rPr>
        <w:t>for reporting program expenditures by ZIP Code</w:t>
      </w:r>
      <w:r w:rsidR="00256F28">
        <w:rPr>
          <w:rFonts w:eastAsia="Calibri" w:cs="Calibri"/>
        </w:rPr>
        <w:t xml:space="preserve"> based on available data or modeling</w:t>
      </w:r>
      <w:r w:rsidR="00827EB4">
        <w:rPr>
          <w:rFonts w:eastAsia="Calibri" w:cs="Calibri"/>
        </w:rPr>
        <w:t>.</w:t>
      </w:r>
      <w:r w:rsidR="00A42B30">
        <w:rPr>
          <w:rFonts w:eastAsia="Calibri" w:cs="Calibri"/>
        </w:rPr>
        <w:t xml:space="preserve"> This methodology will need to account for expenditures for programs that are provided </w:t>
      </w:r>
      <w:r w:rsidR="00D17E6A">
        <w:rPr>
          <w:rFonts w:eastAsia="Calibri" w:cs="Calibri"/>
        </w:rPr>
        <w:t>virtually</w:t>
      </w:r>
      <w:r w:rsidR="00862E2E">
        <w:rPr>
          <w:rFonts w:eastAsia="Calibri" w:cs="Calibri"/>
        </w:rPr>
        <w:t xml:space="preserve">, programs that </w:t>
      </w:r>
      <w:r w:rsidR="00387A71">
        <w:rPr>
          <w:rFonts w:eastAsia="Calibri" w:cs="Calibri"/>
        </w:rPr>
        <w:t xml:space="preserve">do not </w:t>
      </w:r>
      <w:r w:rsidR="00EE1D8B">
        <w:rPr>
          <w:rFonts w:eastAsia="Calibri" w:cs="Calibri"/>
        </w:rPr>
        <w:t>operate from a</w:t>
      </w:r>
      <w:r w:rsidR="00862E2E">
        <w:rPr>
          <w:rFonts w:eastAsia="Calibri" w:cs="Calibri"/>
        </w:rPr>
        <w:t xml:space="preserve"> single service location like home-based services, </w:t>
      </w:r>
      <w:r w:rsidR="00FA23E4">
        <w:rPr>
          <w:rFonts w:eastAsia="Calibri" w:cs="Calibri"/>
        </w:rPr>
        <w:t xml:space="preserve">and systems-change work that has impacts </w:t>
      </w:r>
      <w:r w:rsidR="00517DEE">
        <w:rPr>
          <w:rFonts w:eastAsia="Calibri" w:cs="Calibri"/>
        </w:rPr>
        <w:t>in communities larger than a single ZIP Code.</w:t>
      </w:r>
      <w:r w:rsidR="00EE1D8B">
        <w:rPr>
          <w:rFonts w:eastAsia="Calibri" w:cs="Calibri"/>
        </w:rPr>
        <w:t xml:space="preserve"> </w:t>
      </w:r>
      <w:r w:rsidR="00EE1D8B">
        <w:rPr>
          <w:rFonts w:eastAsia="Calibri" w:cs="Calibri"/>
          <w:i/>
          <w:iCs/>
        </w:rPr>
        <w:t>Best Starts</w:t>
      </w:r>
      <w:r w:rsidR="00EE1D8B">
        <w:rPr>
          <w:rFonts w:eastAsia="Calibri" w:cs="Calibri"/>
        </w:rPr>
        <w:t xml:space="preserve"> intends to </w:t>
      </w:r>
      <w:r w:rsidR="00747A92">
        <w:rPr>
          <w:rFonts w:eastAsia="Calibri" w:cs="Calibri"/>
        </w:rPr>
        <w:t xml:space="preserve">report </w:t>
      </w:r>
      <w:r w:rsidR="009B40EC">
        <w:rPr>
          <w:rFonts w:eastAsia="Calibri" w:cs="Calibri"/>
        </w:rPr>
        <w:t xml:space="preserve">expenditures by </w:t>
      </w:r>
      <w:r w:rsidR="009629BD">
        <w:rPr>
          <w:rFonts w:eastAsia="Calibri" w:cs="Calibri"/>
        </w:rPr>
        <w:t>ZIP Code</w:t>
      </w:r>
      <w:r w:rsidR="009B40EC">
        <w:rPr>
          <w:rFonts w:eastAsia="Calibri" w:cs="Calibri"/>
        </w:rPr>
        <w:t xml:space="preserve"> by strategy for all </w:t>
      </w:r>
      <w:r w:rsidR="00882710">
        <w:rPr>
          <w:rFonts w:eastAsia="Calibri" w:cs="Calibri"/>
        </w:rPr>
        <w:t xml:space="preserve">programs that operate </w:t>
      </w:r>
      <w:r w:rsidR="0012188C">
        <w:rPr>
          <w:rFonts w:eastAsia="Calibri" w:cs="Calibri"/>
        </w:rPr>
        <w:t xml:space="preserve">from a fixed brick-and-mortar location by </w:t>
      </w:r>
      <w:r w:rsidR="004835E1">
        <w:rPr>
          <w:rFonts w:eastAsia="Calibri" w:cs="Calibri"/>
        </w:rPr>
        <w:t>the 2023 Annual Report</w:t>
      </w:r>
      <w:r w:rsidR="00000E74">
        <w:rPr>
          <w:rFonts w:eastAsia="Calibri" w:cs="Calibri"/>
        </w:rPr>
        <w:t xml:space="preserve">, </w:t>
      </w:r>
      <w:r w:rsidR="00DB65BA">
        <w:rPr>
          <w:rFonts w:eastAsia="Calibri" w:cs="Calibri"/>
        </w:rPr>
        <w:t xml:space="preserve">which will be completed in </w:t>
      </w:r>
      <w:r w:rsidR="00ED578B">
        <w:rPr>
          <w:rFonts w:eastAsia="Calibri" w:cs="Calibri"/>
        </w:rPr>
        <w:t xml:space="preserve">July </w:t>
      </w:r>
      <w:r w:rsidR="00DB65BA">
        <w:rPr>
          <w:rFonts w:eastAsia="Calibri" w:cs="Calibri"/>
        </w:rPr>
        <w:t>2024</w:t>
      </w:r>
      <w:r w:rsidR="00000E74">
        <w:rPr>
          <w:rFonts w:eastAsia="Calibri" w:cs="Calibri"/>
        </w:rPr>
        <w:t xml:space="preserve">. </w:t>
      </w:r>
      <w:r w:rsidR="00000E74" w:rsidRPr="00B37AC7">
        <w:rPr>
          <w:rFonts w:eastAsia="Calibri" w:cs="Calibri"/>
          <w:i/>
        </w:rPr>
        <w:t>Best Starts</w:t>
      </w:r>
      <w:r w:rsidR="00000E74">
        <w:rPr>
          <w:rFonts w:eastAsia="Calibri" w:cs="Calibri"/>
        </w:rPr>
        <w:t xml:space="preserve"> </w:t>
      </w:r>
      <w:r w:rsidR="004835E1">
        <w:rPr>
          <w:rFonts w:eastAsia="Calibri" w:cs="Calibri"/>
        </w:rPr>
        <w:t>exp</w:t>
      </w:r>
      <w:r w:rsidR="00896661">
        <w:rPr>
          <w:rFonts w:eastAsia="Calibri" w:cs="Calibri"/>
        </w:rPr>
        <w:t xml:space="preserve">ects to expand </w:t>
      </w:r>
      <w:r w:rsidR="006A713F">
        <w:rPr>
          <w:rFonts w:eastAsia="Calibri" w:cs="Calibri"/>
        </w:rPr>
        <w:t xml:space="preserve">reporting of expenditures </w:t>
      </w:r>
      <w:r w:rsidR="009629BD">
        <w:rPr>
          <w:rFonts w:eastAsia="Calibri" w:cs="Calibri"/>
        </w:rPr>
        <w:t>by ZIP Code</w:t>
      </w:r>
      <w:r w:rsidR="006A713F">
        <w:rPr>
          <w:rFonts w:eastAsia="Calibri" w:cs="Calibri"/>
        </w:rPr>
        <w:t xml:space="preserve"> to additional program </w:t>
      </w:r>
      <w:r w:rsidR="00044C3F">
        <w:rPr>
          <w:rFonts w:eastAsia="Calibri" w:cs="Calibri"/>
        </w:rPr>
        <w:t xml:space="preserve">types </w:t>
      </w:r>
      <w:r w:rsidR="00455C33">
        <w:rPr>
          <w:rFonts w:eastAsia="Calibri" w:cs="Calibri"/>
        </w:rPr>
        <w:t>by the 202</w:t>
      </w:r>
      <w:r w:rsidR="003145B9">
        <w:rPr>
          <w:rFonts w:eastAsia="Calibri" w:cs="Calibri"/>
        </w:rPr>
        <w:t>4</w:t>
      </w:r>
      <w:r w:rsidR="00455C33">
        <w:rPr>
          <w:rFonts w:eastAsia="Calibri" w:cs="Calibri"/>
        </w:rPr>
        <w:t xml:space="preserve"> Annual Report</w:t>
      </w:r>
      <w:r w:rsidR="00000E74">
        <w:rPr>
          <w:rFonts w:eastAsia="Calibri" w:cs="Calibri"/>
        </w:rPr>
        <w:t xml:space="preserve">, </w:t>
      </w:r>
      <w:r w:rsidR="00DB65BA">
        <w:rPr>
          <w:rFonts w:eastAsia="Calibri" w:cs="Calibri"/>
        </w:rPr>
        <w:t xml:space="preserve">which will be completed in </w:t>
      </w:r>
      <w:r w:rsidR="00ED578B">
        <w:rPr>
          <w:rFonts w:eastAsia="Calibri" w:cs="Calibri"/>
        </w:rPr>
        <w:t xml:space="preserve">July </w:t>
      </w:r>
      <w:r w:rsidR="00DB65BA">
        <w:rPr>
          <w:rFonts w:eastAsia="Calibri" w:cs="Calibri"/>
        </w:rPr>
        <w:t>2025</w:t>
      </w:r>
      <w:r w:rsidR="003145B9">
        <w:rPr>
          <w:rFonts w:eastAsia="Calibri" w:cs="Calibri"/>
        </w:rPr>
        <w:t>.</w:t>
      </w:r>
    </w:p>
    <w:p w14:paraId="49B1747C" w14:textId="77777777" w:rsidR="00641AA5" w:rsidRDefault="00641AA5" w:rsidP="00641AA5">
      <w:pPr>
        <w:rPr>
          <w:rFonts w:cs="Calibri"/>
          <w:color w:val="000000"/>
          <w:shd w:val="clear" w:color="auto" w:fill="FFFFFF"/>
        </w:rPr>
      </w:pPr>
    </w:p>
    <w:p w14:paraId="17E2F436" w14:textId="0227D9EA" w:rsidR="00641AA5" w:rsidRDefault="00641AA5" w:rsidP="00641AA5">
      <w:pPr>
        <w:rPr>
          <w:rFonts w:eastAsia="Calibri" w:cs="Calibri"/>
        </w:rPr>
      </w:pPr>
      <w:r w:rsidRPr="002A2329">
        <w:rPr>
          <w:rFonts w:cs="Calibri"/>
          <w:color w:val="000000"/>
          <w:shd w:val="clear" w:color="auto" w:fill="FFFFFF"/>
        </w:rPr>
        <w:t xml:space="preserve">Collection of </w:t>
      </w:r>
      <w:r>
        <w:rPr>
          <w:rFonts w:cs="Calibri"/>
          <w:color w:val="000000"/>
          <w:shd w:val="clear" w:color="auto" w:fill="FFFFFF"/>
        </w:rPr>
        <w:t>client</w:t>
      </w:r>
      <w:r w:rsidRPr="002A2329">
        <w:rPr>
          <w:rFonts w:cs="Calibri"/>
          <w:color w:val="000000"/>
          <w:shd w:val="clear" w:color="auto" w:fill="FFFFFF"/>
        </w:rPr>
        <w:t xml:space="preserve"> ZIP </w:t>
      </w:r>
      <w:r>
        <w:rPr>
          <w:rFonts w:cs="Calibri"/>
          <w:color w:val="000000"/>
          <w:shd w:val="clear" w:color="auto" w:fill="FFFFFF"/>
        </w:rPr>
        <w:t>C</w:t>
      </w:r>
      <w:r w:rsidRPr="002727C8">
        <w:rPr>
          <w:rFonts w:cs="Calibri"/>
          <w:color w:val="000000"/>
          <w:shd w:val="clear" w:color="auto" w:fill="FFFFFF"/>
        </w:rPr>
        <w:t>ode</w:t>
      </w:r>
      <w:r w:rsidRPr="002A2329">
        <w:rPr>
          <w:rFonts w:cs="Calibri"/>
          <w:color w:val="000000"/>
          <w:shd w:val="clear" w:color="auto" w:fill="FFFFFF"/>
        </w:rPr>
        <w:t xml:space="preserve"> data may </w:t>
      </w:r>
      <w:r w:rsidR="00984C90">
        <w:rPr>
          <w:rFonts w:cs="Calibri"/>
          <w:color w:val="000000"/>
          <w:shd w:val="clear" w:color="auto" w:fill="FFFFFF"/>
        </w:rPr>
        <w:t>continue to</w:t>
      </w:r>
      <w:r w:rsidRPr="002A2329">
        <w:rPr>
          <w:rFonts w:cs="Calibri"/>
          <w:color w:val="000000"/>
          <w:shd w:val="clear" w:color="auto" w:fill="FFFFFF"/>
        </w:rPr>
        <w:t xml:space="preserve"> be limited for some </w:t>
      </w:r>
      <w:r w:rsidRPr="002727C8">
        <w:rPr>
          <w:rFonts w:cs="Calibri"/>
          <w:color w:val="000000"/>
          <w:shd w:val="clear" w:color="auto" w:fill="FFFFFF"/>
        </w:rPr>
        <w:t>progra</w:t>
      </w:r>
      <w:r>
        <w:rPr>
          <w:rFonts w:cs="Calibri"/>
          <w:color w:val="000000"/>
          <w:shd w:val="clear" w:color="auto" w:fill="FFFFFF"/>
        </w:rPr>
        <w:t>ms</w:t>
      </w:r>
      <w:r w:rsidRPr="002A2329">
        <w:rPr>
          <w:rFonts w:cs="Calibri"/>
          <w:color w:val="000000"/>
          <w:shd w:val="clear" w:color="auto" w:fill="FFFFFF"/>
        </w:rPr>
        <w:t xml:space="preserve">, </w:t>
      </w:r>
      <w:r>
        <w:rPr>
          <w:rFonts w:cs="Calibri"/>
          <w:color w:val="000000"/>
          <w:shd w:val="clear" w:color="auto" w:fill="FFFFFF"/>
        </w:rPr>
        <w:t>including but not limited to</w:t>
      </w:r>
      <w:r w:rsidRPr="002A2329">
        <w:rPr>
          <w:rFonts w:cs="Calibri"/>
          <w:color w:val="000000"/>
          <w:shd w:val="clear" w:color="auto" w:fill="FFFFFF"/>
        </w:rPr>
        <w:t xml:space="preserve"> those that are mobile or that serve individuals that are unhoused, refugees, experiencing domestic violence, or participating in drop-in programs</w:t>
      </w:r>
      <w:r w:rsidRPr="00A8562D">
        <w:rPr>
          <w:rFonts w:eastAsia="Calibri" w:cs="Calibri"/>
        </w:rPr>
        <w:t xml:space="preserve">. </w:t>
      </w:r>
      <w:r>
        <w:rPr>
          <w:rFonts w:eastAsia="Calibri" w:cs="Calibri"/>
        </w:rPr>
        <w:t>ZIP Code data collection may also not be appropriate for programs not included in client counts, including those that focus on system and policy changes or workforce development. Collection may also not be possible for programs that are required to use an existing data system</w:t>
      </w:r>
      <w:r w:rsidRPr="002727C8">
        <w:rPr>
          <w:rFonts w:eastAsia="Calibri" w:cs="Calibri"/>
        </w:rPr>
        <w:t xml:space="preserve"> </w:t>
      </w:r>
      <w:r>
        <w:rPr>
          <w:rFonts w:eastAsia="Calibri" w:cs="Calibri"/>
        </w:rPr>
        <w:t xml:space="preserve">that </w:t>
      </w:r>
      <w:r>
        <w:rPr>
          <w:rFonts w:eastAsia="Calibri" w:cs="Calibri"/>
          <w:i/>
          <w:iCs/>
        </w:rPr>
        <w:t>Best Starts</w:t>
      </w:r>
      <w:r>
        <w:rPr>
          <w:rFonts w:eastAsia="Calibri" w:cs="Calibri"/>
        </w:rPr>
        <w:t xml:space="preserve"> cannot </w:t>
      </w:r>
      <w:r w:rsidR="00953B09">
        <w:rPr>
          <w:rFonts w:eastAsia="Calibri" w:cs="Calibri"/>
        </w:rPr>
        <w:t>revise,</w:t>
      </w:r>
      <w:r>
        <w:rPr>
          <w:rFonts w:eastAsia="Calibri" w:cs="Calibri"/>
        </w:rPr>
        <w:t xml:space="preserve"> or when a legal framework prevents the sharing of these data.</w:t>
      </w:r>
      <w:r w:rsidRPr="002727C8">
        <w:rPr>
          <w:rFonts w:eastAsia="Calibri" w:cs="Calibri"/>
        </w:rPr>
        <w:t xml:space="preserve"> </w:t>
      </w:r>
      <w:r>
        <w:rPr>
          <w:rFonts w:eastAsia="Calibri" w:cs="Calibri"/>
          <w:i/>
          <w:iCs/>
        </w:rPr>
        <w:t>Best Starts</w:t>
      </w:r>
      <w:r>
        <w:rPr>
          <w:rFonts w:eastAsia="Calibri" w:cs="Calibri"/>
        </w:rPr>
        <w:t xml:space="preserve"> will ground all client reporting requirements for grantees in the principle that</w:t>
      </w:r>
      <w:r w:rsidRPr="00A910E8">
        <w:rPr>
          <w:rFonts w:eastAsia="Calibri" w:cs="Calibri"/>
        </w:rPr>
        <w:t xml:space="preserve"> </w:t>
      </w:r>
      <w:r>
        <w:rPr>
          <w:rFonts w:eastAsia="Calibri" w:cs="Calibri"/>
        </w:rPr>
        <w:t>data collection should never be a barrier to youth and families accessing necessary services</w:t>
      </w:r>
      <w:r w:rsidR="00E3757A">
        <w:rPr>
          <w:rFonts w:eastAsia="Calibri" w:cs="Calibri"/>
        </w:rPr>
        <w:t>, even as the initiative aims to maximize geographic transparency as directed by Ordinance 19267</w:t>
      </w:r>
      <w:r>
        <w:rPr>
          <w:rFonts w:eastAsia="Calibri" w:cs="Calibri"/>
        </w:rPr>
        <w:t>.</w:t>
      </w:r>
    </w:p>
    <w:p w14:paraId="00DC23E8" w14:textId="04E95F4C" w:rsidR="000B3266" w:rsidRPr="00734E84" w:rsidRDefault="000B3266" w:rsidP="000B3266">
      <w:pPr>
        <w:rPr>
          <w:rFonts w:cs="Calibri"/>
          <w:b/>
        </w:rPr>
      </w:pPr>
    </w:p>
    <w:p w14:paraId="5050A425" w14:textId="16F45E61" w:rsidR="00767E04" w:rsidRPr="00593539" w:rsidRDefault="00767E04" w:rsidP="00025030">
      <w:pPr>
        <w:pStyle w:val="Heading2"/>
        <w:numPr>
          <w:ilvl w:val="0"/>
          <w:numId w:val="26"/>
        </w:numPr>
        <w:spacing w:before="0"/>
        <w:contextualSpacing/>
      </w:pPr>
      <w:bookmarkStart w:id="96" w:name="_Toc85188553"/>
      <w:r w:rsidRPr="00593539">
        <w:t>Procurement</w:t>
      </w:r>
      <w:r w:rsidR="008A4B59">
        <w:t>, Equity</w:t>
      </w:r>
      <w:r w:rsidRPr="00593539">
        <w:t xml:space="preserve"> and </w:t>
      </w:r>
      <w:r w:rsidR="008A4B59">
        <w:t>Partnership Work</w:t>
      </w:r>
      <w:bookmarkEnd w:id="96"/>
    </w:p>
    <w:p w14:paraId="5791CC22" w14:textId="77777777" w:rsidR="00DB3D18" w:rsidRDefault="00DB3D18" w:rsidP="00964156">
      <w:pPr>
        <w:pStyle w:val="ListParagraph"/>
        <w:ind w:left="0"/>
        <w:rPr>
          <w:rFonts w:eastAsiaTheme="majorEastAsia" w:cs="Calibri"/>
          <w:i/>
          <w:color w:val="000000" w:themeColor="text1"/>
        </w:rPr>
      </w:pPr>
    </w:p>
    <w:p w14:paraId="40B604BF" w14:textId="006F2045" w:rsidR="00767E04" w:rsidRPr="00767E04" w:rsidRDefault="00BC52AD" w:rsidP="00964156">
      <w:pPr>
        <w:pStyle w:val="ListParagraph"/>
        <w:ind w:left="0"/>
        <w:rPr>
          <w:rFonts w:eastAsiaTheme="majorEastAsia" w:cs="Calibri"/>
          <w:color w:val="000000" w:themeColor="text1"/>
        </w:rPr>
      </w:pPr>
      <w:r w:rsidRPr="00464CBE">
        <w:rPr>
          <w:rFonts w:eastAsiaTheme="majorEastAsia" w:cs="Calibri"/>
          <w:i/>
          <w:color w:val="000000" w:themeColor="text1"/>
        </w:rPr>
        <w:t>Best Starts</w:t>
      </w:r>
      <w:r>
        <w:rPr>
          <w:rFonts w:eastAsiaTheme="majorEastAsia" w:cs="Calibri"/>
          <w:color w:val="000000" w:themeColor="text1"/>
        </w:rPr>
        <w:t xml:space="preserve"> will continue to lead with equity when </w:t>
      </w:r>
      <w:r w:rsidR="005203F6">
        <w:rPr>
          <w:rFonts w:eastAsiaTheme="majorEastAsia" w:cs="Calibri"/>
          <w:color w:val="000000" w:themeColor="text1"/>
        </w:rPr>
        <w:t>procuring funding</w:t>
      </w:r>
      <w:r w:rsidR="00464CBE">
        <w:rPr>
          <w:rFonts w:eastAsiaTheme="majorEastAsia" w:cs="Calibri"/>
          <w:color w:val="000000" w:themeColor="text1"/>
        </w:rPr>
        <w:t xml:space="preserve"> and </w:t>
      </w:r>
      <w:r w:rsidR="005203F6">
        <w:rPr>
          <w:rFonts w:eastAsiaTheme="majorEastAsia" w:cs="Calibri"/>
          <w:color w:val="000000" w:themeColor="text1"/>
        </w:rPr>
        <w:t>contracting with partners</w:t>
      </w:r>
      <w:r w:rsidR="00464CBE" w:rsidDel="00791013">
        <w:rPr>
          <w:rFonts w:eastAsiaTheme="majorEastAsia" w:cs="Calibri"/>
          <w:color w:val="000000" w:themeColor="text1"/>
        </w:rPr>
        <w:t xml:space="preserve">. </w:t>
      </w:r>
      <w:r w:rsidR="00735AD7">
        <w:rPr>
          <w:rFonts w:eastAsiaTheme="majorEastAsia" w:cs="Calibri"/>
          <w:color w:val="000000" w:themeColor="text1"/>
        </w:rPr>
        <w:t>F</w:t>
      </w:r>
      <w:r w:rsidR="00767E04" w:rsidRPr="00767E04">
        <w:rPr>
          <w:rFonts w:eastAsiaTheme="majorEastAsia" w:cs="Calibri"/>
          <w:color w:val="000000" w:themeColor="text1"/>
        </w:rPr>
        <w:t xml:space="preserve">unds will be appropriated in accordance </w:t>
      </w:r>
      <w:r w:rsidR="00DB3D18">
        <w:rPr>
          <w:rFonts w:eastAsiaTheme="majorEastAsia" w:cs="Calibri"/>
          <w:color w:val="000000" w:themeColor="text1"/>
        </w:rPr>
        <w:t>with</w:t>
      </w:r>
      <w:r w:rsidR="00DB3D18" w:rsidRPr="00767E04">
        <w:rPr>
          <w:rFonts w:eastAsiaTheme="majorEastAsia" w:cs="Calibri"/>
          <w:color w:val="000000" w:themeColor="text1"/>
        </w:rPr>
        <w:t xml:space="preserve"> </w:t>
      </w:r>
      <w:r w:rsidR="00767E04" w:rsidRPr="00767E04">
        <w:rPr>
          <w:rFonts w:eastAsiaTheme="majorEastAsia" w:cs="Calibri"/>
          <w:color w:val="000000" w:themeColor="text1"/>
        </w:rPr>
        <w:t>Ordinance 19267</w:t>
      </w:r>
      <w:r w:rsidR="00767E04" w:rsidRPr="71D2A87E">
        <w:rPr>
          <w:rStyle w:val="FootnoteReference"/>
          <w:rFonts w:eastAsiaTheme="majorEastAsia" w:cs="Calibri"/>
          <w:color w:val="000000" w:themeColor="text1"/>
        </w:rPr>
        <w:footnoteReference w:id="244"/>
      </w:r>
      <w:r w:rsidR="00767E04" w:rsidRPr="00767E04">
        <w:rPr>
          <w:rFonts w:eastAsiaTheme="majorEastAsia" w:cs="Calibri"/>
          <w:color w:val="000000" w:themeColor="text1"/>
        </w:rPr>
        <w:t xml:space="preserve"> for each of the strategy areas. The majority of funds allocated to the community will require competitive bids through </w:t>
      </w:r>
      <w:r w:rsidR="00CF603A">
        <w:rPr>
          <w:rFonts w:eastAsiaTheme="majorEastAsia" w:cs="Calibri"/>
          <w:color w:val="000000" w:themeColor="text1"/>
        </w:rPr>
        <w:t>an</w:t>
      </w:r>
      <w:r w:rsidR="00CF603A" w:rsidRPr="00767E04">
        <w:rPr>
          <w:rFonts w:eastAsiaTheme="majorEastAsia" w:cs="Calibri"/>
          <w:color w:val="000000" w:themeColor="text1"/>
        </w:rPr>
        <w:t xml:space="preserve"> </w:t>
      </w:r>
      <w:r w:rsidR="00767E04" w:rsidRPr="00767E04">
        <w:rPr>
          <w:rFonts w:eastAsiaTheme="majorEastAsia" w:cs="Calibri"/>
          <w:color w:val="000000" w:themeColor="text1"/>
        </w:rPr>
        <w:t>RFP</w:t>
      </w:r>
      <w:r w:rsidR="0087539D">
        <w:rPr>
          <w:rFonts w:eastAsiaTheme="majorEastAsia" w:cs="Calibri"/>
          <w:color w:val="000000" w:themeColor="text1"/>
        </w:rPr>
        <w:t xml:space="preserve">, </w:t>
      </w:r>
      <w:r w:rsidR="00767E04" w:rsidRPr="00767E04">
        <w:rPr>
          <w:rFonts w:eastAsiaTheme="majorEastAsia" w:cs="Calibri"/>
          <w:color w:val="000000" w:themeColor="text1"/>
        </w:rPr>
        <w:t>RFA</w:t>
      </w:r>
      <w:r w:rsidR="0087539D">
        <w:rPr>
          <w:rFonts w:eastAsiaTheme="majorEastAsia" w:cs="Calibri"/>
          <w:color w:val="000000" w:themeColor="text1"/>
        </w:rPr>
        <w:t>, or RFQ</w:t>
      </w:r>
      <w:r w:rsidR="00767E04" w:rsidRPr="00767E04">
        <w:rPr>
          <w:rFonts w:eastAsiaTheme="majorEastAsia" w:cs="Calibri"/>
          <w:color w:val="000000" w:themeColor="text1"/>
        </w:rPr>
        <w:t xml:space="preserve"> process</w:t>
      </w:r>
      <w:r w:rsidR="00403715">
        <w:rPr>
          <w:rFonts w:eastAsiaTheme="majorEastAsia" w:cs="Calibri"/>
          <w:color w:val="000000" w:themeColor="text1"/>
        </w:rPr>
        <w:t>.</w:t>
      </w:r>
      <w:r w:rsidR="00254475">
        <w:rPr>
          <w:rStyle w:val="FootnoteReference"/>
          <w:rFonts w:eastAsiaTheme="majorEastAsia" w:cs="Calibri"/>
          <w:color w:val="000000" w:themeColor="text1"/>
        </w:rPr>
        <w:footnoteReference w:id="245"/>
      </w:r>
      <w:r w:rsidR="00767E04" w:rsidRPr="00767E04">
        <w:rPr>
          <w:rFonts w:eastAsiaTheme="majorEastAsia" w:cs="Calibri"/>
          <w:color w:val="000000" w:themeColor="text1"/>
        </w:rPr>
        <w:t xml:space="preserve"> </w:t>
      </w:r>
      <w:r w:rsidR="00B444CF">
        <w:rPr>
          <w:rFonts w:eastAsiaTheme="majorEastAsia" w:cs="Calibri"/>
          <w:color w:val="000000" w:themeColor="text1"/>
        </w:rPr>
        <w:t xml:space="preserve">Responding to community feedback, </w:t>
      </w:r>
      <w:r w:rsidR="008D5060" w:rsidRPr="00354EFE">
        <w:rPr>
          <w:rFonts w:eastAsiaTheme="majorEastAsia" w:cs="Calibri"/>
          <w:i/>
          <w:color w:val="000000" w:themeColor="text1"/>
        </w:rPr>
        <w:t>Best Starts</w:t>
      </w:r>
      <w:r w:rsidR="008D5060">
        <w:rPr>
          <w:rFonts w:eastAsiaTheme="majorEastAsia" w:cs="Calibri"/>
          <w:color w:val="000000" w:themeColor="text1"/>
        </w:rPr>
        <w:t xml:space="preserve"> will continue to refine the procurement process</w:t>
      </w:r>
      <w:r w:rsidR="00767E04" w:rsidRPr="00767E04">
        <w:rPr>
          <w:rFonts w:eastAsiaTheme="majorEastAsia" w:cs="Calibri"/>
          <w:color w:val="000000" w:themeColor="text1"/>
        </w:rPr>
        <w:t xml:space="preserve"> </w:t>
      </w:r>
      <w:r w:rsidR="006B5C9C">
        <w:rPr>
          <w:rFonts w:eastAsiaTheme="majorEastAsia" w:cs="Calibri"/>
          <w:color w:val="000000" w:themeColor="text1"/>
        </w:rPr>
        <w:t>to best serve community partners</w:t>
      </w:r>
      <w:r w:rsidR="006B5C9C" w:rsidDel="00791013">
        <w:rPr>
          <w:rFonts w:eastAsiaTheme="majorEastAsia" w:cs="Calibri"/>
          <w:color w:val="000000" w:themeColor="text1"/>
        </w:rPr>
        <w:t xml:space="preserve">. </w:t>
      </w:r>
      <w:r w:rsidR="006B5C9C" w:rsidRPr="00574CA0">
        <w:rPr>
          <w:rFonts w:eastAsiaTheme="majorEastAsia" w:cs="Calibri"/>
          <w:i/>
          <w:color w:val="000000" w:themeColor="text1"/>
        </w:rPr>
        <w:t>Best Starts</w:t>
      </w:r>
      <w:r w:rsidR="006B5C9C">
        <w:rPr>
          <w:rFonts w:eastAsiaTheme="majorEastAsia" w:cs="Calibri"/>
          <w:color w:val="000000" w:themeColor="text1"/>
        </w:rPr>
        <w:t xml:space="preserve"> is working with community partners to</w:t>
      </w:r>
      <w:r w:rsidR="00767E04" w:rsidRPr="00767E04">
        <w:rPr>
          <w:rFonts w:eastAsiaTheme="majorEastAsia" w:cs="Calibri"/>
          <w:color w:val="000000" w:themeColor="text1"/>
        </w:rPr>
        <w:t xml:space="preserve"> </w:t>
      </w:r>
      <w:r w:rsidR="00BE6D12">
        <w:rPr>
          <w:rFonts w:eastAsiaTheme="majorEastAsia" w:cs="Calibri"/>
          <w:color w:val="000000" w:themeColor="text1"/>
        </w:rPr>
        <w:t xml:space="preserve">identify refinements through a </w:t>
      </w:r>
      <w:r w:rsidR="00767E04" w:rsidRPr="00767E04">
        <w:rPr>
          <w:rFonts w:eastAsiaTheme="majorEastAsia" w:cs="Calibri"/>
          <w:color w:val="000000" w:themeColor="text1"/>
        </w:rPr>
        <w:t>Community-Focused Grant Making workgroup</w:t>
      </w:r>
      <w:r w:rsidR="00BE6D12">
        <w:rPr>
          <w:rFonts w:eastAsiaTheme="majorEastAsia" w:cs="Calibri"/>
          <w:color w:val="000000" w:themeColor="text1"/>
        </w:rPr>
        <w:t xml:space="preserve"> </w:t>
      </w:r>
      <w:r w:rsidR="00574CA0">
        <w:rPr>
          <w:rFonts w:eastAsiaTheme="majorEastAsia" w:cs="Calibri"/>
          <w:color w:val="000000" w:themeColor="text1"/>
        </w:rPr>
        <w:t>so refinements can be made by January 202</w:t>
      </w:r>
      <w:r w:rsidR="000602F8">
        <w:rPr>
          <w:rFonts w:eastAsiaTheme="majorEastAsia" w:cs="Calibri"/>
          <w:color w:val="000000" w:themeColor="text1"/>
        </w:rPr>
        <w:t>2.</w:t>
      </w:r>
      <w:r w:rsidR="00834E15" w:rsidDel="00791013">
        <w:rPr>
          <w:rFonts w:eastAsia="Calibri" w:cs="Calibri"/>
          <w:color w:val="000000" w:themeColor="text1"/>
        </w:rPr>
        <w:t xml:space="preserve"> </w:t>
      </w:r>
      <w:r w:rsidR="00834E15" w:rsidRPr="0012566E">
        <w:rPr>
          <w:rFonts w:eastAsia="Calibri" w:cs="Calibri"/>
          <w:i/>
          <w:color w:val="000000" w:themeColor="text1"/>
        </w:rPr>
        <w:t xml:space="preserve">Best </w:t>
      </w:r>
      <w:r w:rsidR="009C68B8" w:rsidRPr="0012566E">
        <w:rPr>
          <w:rFonts w:eastAsia="Calibri" w:cs="Calibri"/>
          <w:i/>
          <w:color w:val="000000" w:themeColor="text1"/>
        </w:rPr>
        <w:t>Starts</w:t>
      </w:r>
      <w:r w:rsidR="00834E15">
        <w:rPr>
          <w:rFonts w:eastAsia="Calibri" w:cs="Calibri"/>
          <w:color w:val="000000" w:themeColor="text1"/>
        </w:rPr>
        <w:t xml:space="preserve"> will continue to </w:t>
      </w:r>
      <w:r w:rsidR="00B407EE" w:rsidRPr="00767E04">
        <w:rPr>
          <w:rFonts w:eastAsia="Calibri" w:cs="Calibri"/>
          <w:color w:val="000000" w:themeColor="text1"/>
        </w:rPr>
        <w:t>includ</w:t>
      </w:r>
      <w:r w:rsidR="00834E15">
        <w:rPr>
          <w:rFonts w:eastAsia="Calibri" w:cs="Calibri"/>
          <w:color w:val="000000" w:themeColor="text1"/>
        </w:rPr>
        <w:t>e</w:t>
      </w:r>
      <w:r w:rsidR="00B407EE" w:rsidRPr="00767E04">
        <w:rPr>
          <w:rFonts w:eastAsia="Calibri" w:cs="Calibri"/>
          <w:color w:val="000000" w:themeColor="text1"/>
        </w:rPr>
        <w:t xml:space="preserve"> community members in work groups and on review panels and requir</w:t>
      </w:r>
      <w:r w:rsidR="00834E15">
        <w:rPr>
          <w:rFonts w:eastAsia="Calibri" w:cs="Calibri"/>
          <w:color w:val="000000" w:themeColor="text1"/>
        </w:rPr>
        <w:t>e</w:t>
      </w:r>
      <w:r w:rsidR="00B407EE" w:rsidRPr="00767E04">
        <w:rPr>
          <w:rFonts w:eastAsia="Calibri" w:cs="Calibri"/>
          <w:color w:val="000000" w:themeColor="text1"/>
        </w:rPr>
        <w:t xml:space="preserve"> a bias-awareness workshop for all application review</w:t>
      </w:r>
      <w:r w:rsidR="004B36CE">
        <w:rPr>
          <w:rFonts w:eastAsia="Calibri" w:cs="Calibri"/>
          <w:color w:val="000000" w:themeColor="text1"/>
        </w:rPr>
        <w:t>s</w:t>
      </w:r>
      <w:r w:rsidR="008A7A6A">
        <w:rPr>
          <w:rFonts w:eastAsia="Calibri" w:cs="Calibri"/>
          <w:color w:val="000000" w:themeColor="text1"/>
        </w:rPr>
        <w:t xml:space="preserve">. </w:t>
      </w:r>
      <w:r w:rsidR="00AC0F48">
        <w:rPr>
          <w:rFonts w:eastAsiaTheme="majorEastAsia" w:cs="Calibri"/>
          <w:color w:val="000000" w:themeColor="text1"/>
        </w:rPr>
        <w:t xml:space="preserve">Throughout the 2022-2027 levy, </w:t>
      </w:r>
      <w:r w:rsidR="00AC0F48" w:rsidRPr="000602F8">
        <w:rPr>
          <w:rFonts w:eastAsiaTheme="majorEastAsia" w:cs="Calibri"/>
          <w:i/>
          <w:iCs/>
          <w:color w:val="000000" w:themeColor="text1"/>
        </w:rPr>
        <w:t>Best</w:t>
      </w:r>
      <w:r w:rsidR="00AC0F48" w:rsidRPr="000602F8">
        <w:rPr>
          <w:rFonts w:eastAsiaTheme="majorEastAsia" w:cs="Calibri"/>
          <w:i/>
          <w:color w:val="000000" w:themeColor="text1"/>
        </w:rPr>
        <w:t xml:space="preserve"> Starts</w:t>
      </w:r>
      <w:r w:rsidR="00AC0F48">
        <w:rPr>
          <w:rFonts w:eastAsiaTheme="majorEastAsia" w:cs="Calibri"/>
          <w:color w:val="000000" w:themeColor="text1"/>
        </w:rPr>
        <w:t xml:space="preserve">’ </w:t>
      </w:r>
      <w:r w:rsidR="00574CA0">
        <w:rPr>
          <w:rFonts w:eastAsiaTheme="majorEastAsia" w:cs="Calibri"/>
          <w:color w:val="000000" w:themeColor="text1"/>
        </w:rPr>
        <w:t xml:space="preserve">procurement process will </w:t>
      </w:r>
      <w:r w:rsidR="00AC0F48">
        <w:rPr>
          <w:rFonts w:eastAsiaTheme="majorEastAsia" w:cs="Calibri"/>
          <w:color w:val="000000" w:themeColor="text1"/>
        </w:rPr>
        <w:t xml:space="preserve">also feature </w:t>
      </w:r>
      <w:r w:rsidR="00574CA0">
        <w:rPr>
          <w:rFonts w:eastAsiaTheme="majorEastAsia" w:cs="Calibri"/>
          <w:color w:val="000000" w:themeColor="text1"/>
        </w:rPr>
        <w:t xml:space="preserve">ongoing continuous quality improvement. </w:t>
      </w:r>
    </w:p>
    <w:p w14:paraId="21E0DD0B" w14:textId="77777777" w:rsidR="00767E04" w:rsidRPr="00767E04" w:rsidRDefault="00767E04" w:rsidP="00964156">
      <w:pPr>
        <w:pStyle w:val="ListParagraph"/>
        <w:ind w:left="0"/>
        <w:rPr>
          <w:rFonts w:eastAsiaTheme="majorEastAsia" w:cs="Calibri"/>
          <w:color w:val="000000" w:themeColor="text1"/>
        </w:rPr>
      </w:pPr>
    </w:p>
    <w:p w14:paraId="4A8CB7AD" w14:textId="50277081" w:rsidR="00767E04" w:rsidRPr="00767E04" w:rsidRDefault="00767E04" w:rsidP="00964156">
      <w:pPr>
        <w:rPr>
          <w:rFonts w:eastAsiaTheme="majorEastAsia" w:cs="Calibri"/>
          <w:color w:val="000000" w:themeColor="text1"/>
        </w:rPr>
      </w:pPr>
      <w:r w:rsidRPr="00767E04">
        <w:rPr>
          <w:rFonts w:eastAsiaTheme="majorEastAsia" w:cs="Calibri"/>
          <w:color w:val="000000" w:themeColor="text1"/>
        </w:rPr>
        <w:t xml:space="preserve">Organizations that secure </w:t>
      </w:r>
      <w:r w:rsidRPr="00767E04">
        <w:rPr>
          <w:rFonts w:eastAsiaTheme="majorEastAsia" w:cs="Calibri"/>
          <w:i/>
          <w:color w:val="000000" w:themeColor="text1"/>
        </w:rPr>
        <w:t>Best Starts</w:t>
      </w:r>
      <w:r w:rsidRPr="00767E04">
        <w:rPr>
          <w:rFonts w:eastAsiaTheme="majorEastAsia" w:cs="Calibri"/>
          <w:color w:val="000000" w:themeColor="text1"/>
        </w:rPr>
        <w:t xml:space="preserve"> awards will contract with the County for up to three years</w:t>
      </w:r>
      <w:r w:rsidR="00AC0F48">
        <w:rPr>
          <w:rFonts w:eastAsiaTheme="majorEastAsia" w:cs="Calibri"/>
          <w:color w:val="000000" w:themeColor="text1"/>
        </w:rPr>
        <w:t>,</w:t>
      </w:r>
      <w:r w:rsidRPr="00767E04">
        <w:rPr>
          <w:rFonts w:eastAsiaTheme="majorEastAsia" w:cs="Calibri"/>
          <w:color w:val="000000" w:themeColor="text1"/>
        </w:rPr>
        <w:t xml:space="preserve"> with </w:t>
      </w:r>
      <w:r w:rsidR="00AC0F48">
        <w:rPr>
          <w:rFonts w:eastAsiaTheme="majorEastAsia" w:cs="Calibri"/>
          <w:color w:val="000000" w:themeColor="text1"/>
        </w:rPr>
        <w:t xml:space="preserve">a </w:t>
      </w:r>
      <w:r w:rsidRPr="00767E04">
        <w:rPr>
          <w:rFonts w:eastAsiaTheme="majorEastAsia" w:cs="Calibri"/>
          <w:color w:val="000000" w:themeColor="text1"/>
        </w:rPr>
        <w:t xml:space="preserve">possible option to extend if </w:t>
      </w:r>
      <w:r w:rsidR="00AC0F48">
        <w:rPr>
          <w:rFonts w:eastAsiaTheme="majorEastAsia" w:cs="Calibri"/>
          <w:color w:val="000000" w:themeColor="text1"/>
        </w:rPr>
        <w:t xml:space="preserve">they are </w:t>
      </w:r>
      <w:r w:rsidRPr="00767E04">
        <w:rPr>
          <w:rFonts w:eastAsiaTheme="majorEastAsia" w:cs="Calibri"/>
          <w:color w:val="000000" w:themeColor="text1"/>
        </w:rPr>
        <w:t>in good standing</w:t>
      </w:r>
      <w:r w:rsidR="00F34708">
        <w:rPr>
          <w:rFonts w:eastAsiaTheme="majorEastAsia" w:cs="Calibri"/>
          <w:color w:val="000000" w:themeColor="text1"/>
        </w:rPr>
        <w:t>.</w:t>
      </w:r>
      <w:r w:rsidR="008A7A6A">
        <w:rPr>
          <w:rFonts w:eastAsiaTheme="majorEastAsia" w:cs="Calibri"/>
          <w:color w:val="000000" w:themeColor="text1"/>
        </w:rPr>
        <w:t xml:space="preserve"> </w:t>
      </w:r>
      <w:r w:rsidRPr="00354EFE">
        <w:rPr>
          <w:rFonts w:eastAsiaTheme="majorEastAsia" w:cs="Calibri"/>
          <w:i/>
          <w:color w:val="000000" w:themeColor="text1"/>
        </w:rPr>
        <w:t>Best Starts</w:t>
      </w:r>
      <w:r w:rsidRPr="00767E04">
        <w:rPr>
          <w:rFonts w:eastAsiaTheme="majorEastAsia" w:cs="Calibri"/>
          <w:color w:val="000000" w:themeColor="text1"/>
        </w:rPr>
        <w:t xml:space="preserve"> will </w:t>
      </w:r>
      <w:r w:rsidR="001C56DC">
        <w:rPr>
          <w:rFonts w:eastAsiaTheme="majorEastAsia" w:cs="Calibri"/>
          <w:color w:val="000000" w:themeColor="text1"/>
        </w:rPr>
        <w:t xml:space="preserve">continue </w:t>
      </w:r>
      <w:r w:rsidRPr="00767E04">
        <w:rPr>
          <w:rFonts w:eastAsiaTheme="majorEastAsia" w:cs="Calibri"/>
          <w:color w:val="000000" w:themeColor="text1"/>
        </w:rPr>
        <w:t>to ensure better access to available funds through supports like free technical assistance</w:t>
      </w:r>
      <w:r w:rsidRPr="71D2A87E">
        <w:rPr>
          <w:rStyle w:val="FootnoteReference"/>
          <w:rFonts w:eastAsiaTheme="majorEastAsia" w:cs="Calibri"/>
          <w:color w:val="000000" w:themeColor="text1"/>
        </w:rPr>
        <w:footnoteReference w:id="246"/>
      </w:r>
      <w:r w:rsidRPr="00767E04">
        <w:rPr>
          <w:rFonts w:eastAsiaTheme="majorEastAsia" w:cs="Calibri"/>
          <w:color w:val="000000" w:themeColor="text1"/>
        </w:rPr>
        <w:t xml:space="preserve"> in the application process. </w:t>
      </w:r>
      <w:r w:rsidR="001C56DC" w:rsidRPr="00354EFE">
        <w:rPr>
          <w:rFonts w:eastAsiaTheme="majorEastAsia" w:cs="Calibri"/>
          <w:i/>
          <w:color w:val="000000" w:themeColor="text1"/>
        </w:rPr>
        <w:t>Best Starts</w:t>
      </w:r>
      <w:r w:rsidR="001C56DC">
        <w:rPr>
          <w:rFonts w:eastAsiaTheme="majorEastAsia" w:cs="Calibri"/>
          <w:color w:val="000000" w:themeColor="text1"/>
        </w:rPr>
        <w:t xml:space="preserve"> will </w:t>
      </w:r>
      <w:r w:rsidRPr="00767E04">
        <w:rPr>
          <w:rFonts w:eastAsiaTheme="majorEastAsia" w:cs="Calibri"/>
          <w:color w:val="000000" w:themeColor="text1"/>
        </w:rPr>
        <w:t>announc</w:t>
      </w:r>
      <w:r w:rsidR="001C56DC">
        <w:rPr>
          <w:rFonts w:eastAsiaTheme="majorEastAsia" w:cs="Calibri"/>
          <w:color w:val="000000" w:themeColor="text1"/>
        </w:rPr>
        <w:t>e</w:t>
      </w:r>
      <w:r w:rsidRPr="00767E04">
        <w:rPr>
          <w:rFonts w:eastAsiaTheme="majorEastAsia" w:cs="Calibri"/>
          <w:color w:val="000000" w:themeColor="text1"/>
        </w:rPr>
        <w:t xml:space="preserve"> funding opportunities through varied venues including trusted messengers in </w:t>
      </w:r>
      <w:r w:rsidRPr="00767E04">
        <w:rPr>
          <w:rFonts w:eastAsiaTheme="majorEastAsia" w:cs="Calibri"/>
          <w:color w:val="000000" w:themeColor="text1"/>
        </w:rPr>
        <w:lastRenderedPageBreak/>
        <w:t xml:space="preserve">specific communities, social media, information sessions in diverse geographical locations, and online, as well as traditional sources through the county. </w:t>
      </w:r>
    </w:p>
    <w:p w14:paraId="6256456D" w14:textId="77777777" w:rsidR="000C5DC5" w:rsidRDefault="000C5DC5" w:rsidP="00964156">
      <w:pPr>
        <w:rPr>
          <w:rFonts w:eastAsiaTheme="majorEastAsia" w:cs="Calibri"/>
          <w:color w:val="000000" w:themeColor="text1"/>
        </w:rPr>
      </w:pPr>
    </w:p>
    <w:p w14:paraId="3E0E5660" w14:textId="4BAD263B" w:rsidR="000C5DC5" w:rsidRPr="008A4B59" w:rsidRDefault="000C5DC5" w:rsidP="00964156">
      <w:pPr>
        <w:pStyle w:val="ListParagraph"/>
        <w:ind w:left="0"/>
        <w:rPr>
          <w:rFonts w:eastAsia="Calibri" w:cs="Calibri"/>
          <w:color w:val="000000" w:themeColor="text1"/>
        </w:rPr>
      </w:pPr>
      <w:r w:rsidRPr="00767E04">
        <w:rPr>
          <w:rFonts w:eastAsia="Calibri" w:cs="Calibri"/>
          <w:color w:val="000000" w:themeColor="text1"/>
        </w:rPr>
        <w:t xml:space="preserve">Community feedback identified the need for more </w:t>
      </w:r>
      <w:r w:rsidR="00DB3434">
        <w:rPr>
          <w:rFonts w:eastAsia="Calibri" w:cs="Calibri"/>
          <w:color w:val="000000" w:themeColor="text1"/>
        </w:rPr>
        <w:t>alignment in contracting</w:t>
      </w:r>
      <w:r w:rsidR="00DB3434" w:rsidRPr="00767E04">
        <w:rPr>
          <w:rFonts w:eastAsia="Calibri" w:cs="Calibri"/>
          <w:color w:val="000000" w:themeColor="text1"/>
        </w:rPr>
        <w:t xml:space="preserve"> </w:t>
      </w:r>
      <w:r w:rsidRPr="00767E04">
        <w:rPr>
          <w:rFonts w:eastAsia="Calibri" w:cs="Calibri"/>
          <w:color w:val="000000" w:themeColor="text1"/>
        </w:rPr>
        <w:t xml:space="preserve">requirements from </w:t>
      </w:r>
      <w:r w:rsidR="00DB3434">
        <w:rPr>
          <w:rFonts w:eastAsia="Calibri" w:cs="Calibri"/>
          <w:color w:val="000000" w:themeColor="text1"/>
        </w:rPr>
        <w:t>the two</w:t>
      </w:r>
      <w:r w:rsidR="00DB3434" w:rsidRPr="00767E04">
        <w:rPr>
          <w:rFonts w:eastAsia="Calibri" w:cs="Calibri"/>
          <w:color w:val="000000" w:themeColor="text1"/>
        </w:rPr>
        <w:t xml:space="preserve"> </w:t>
      </w:r>
      <w:r w:rsidRPr="00767E04">
        <w:rPr>
          <w:rFonts w:eastAsia="Calibri" w:cs="Calibri"/>
          <w:color w:val="000000" w:themeColor="text1"/>
        </w:rPr>
        <w:t>King County department</w:t>
      </w:r>
      <w:r w:rsidR="00DB3434">
        <w:rPr>
          <w:rFonts w:eastAsia="Calibri" w:cs="Calibri"/>
          <w:color w:val="000000" w:themeColor="text1"/>
        </w:rPr>
        <w:t>s</w:t>
      </w:r>
      <w:r w:rsidRPr="00767E04">
        <w:rPr>
          <w:rFonts w:eastAsia="Calibri" w:cs="Calibri"/>
          <w:color w:val="000000" w:themeColor="text1"/>
        </w:rPr>
        <w:t xml:space="preserve"> that distribute </w:t>
      </w:r>
      <w:r w:rsidRPr="00767E04">
        <w:rPr>
          <w:rFonts w:eastAsia="Calibri" w:cs="Calibri"/>
          <w:i/>
          <w:color w:val="000000" w:themeColor="text1"/>
        </w:rPr>
        <w:t>Best</w:t>
      </w:r>
      <w:r w:rsidRPr="00767E04">
        <w:rPr>
          <w:rFonts w:eastAsia="Calibri" w:cs="Calibri"/>
          <w:i/>
          <w:iCs/>
          <w:color w:val="000000" w:themeColor="text1"/>
        </w:rPr>
        <w:t xml:space="preserve"> Starts</w:t>
      </w:r>
      <w:r w:rsidRPr="00767E04">
        <w:rPr>
          <w:rFonts w:eastAsia="Calibri" w:cs="Calibri"/>
          <w:color w:val="000000" w:themeColor="text1"/>
        </w:rPr>
        <w:t xml:space="preserve"> funding.</w:t>
      </w:r>
      <w:r w:rsidRPr="002E6320">
        <w:rPr>
          <w:rStyle w:val="FootnoteReference"/>
          <w:rFonts w:eastAsia="Calibri" w:cs="Calibri"/>
          <w:color w:val="000000" w:themeColor="text1"/>
        </w:rPr>
        <w:footnoteReference w:id="247"/>
      </w:r>
      <w:r w:rsidRPr="00767E04">
        <w:rPr>
          <w:rFonts w:eastAsia="Calibri" w:cs="Calibri"/>
          <w:color w:val="000000" w:themeColor="text1"/>
        </w:rPr>
        <w:t xml:space="preserve"> The goal is to move toward one template for RFPs, one platform to apply for funds online, one invoice template</w:t>
      </w:r>
      <w:r>
        <w:rPr>
          <w:rFonts w:eastAsia="Calibri" w:cs="Calibri"/>
          <w:color w:val="000000" w:themeColor="text1"/>
        </w:rPr>
        <w:t xml:space="preserve"> to make it easier for funded organizations.</w:t>
      </w:r>
      <w:r w:rsidRPr="00767E04">
        <w:rPr>
          <w:rFonts w:eastAsia="Calibri" w:cs="Calibri"/>
          <w:color w:val="000000" w:themeColor="text1"/>
        </w:rPr>
        <w:t xml:space="preserve"> </w:t>
      </w:r>
      <w:r w:rsidR="004B4F11">
        <w:rPr>
          <w:rFonts w:eastAsia="Calibri" w:cs="Calibri"/>
          <w:color w:val="000000" w:themeColor="text1"/>
        </w:rPr>
        <w:t>C</w:t>
      </w:r>
      <w:r w:rsidRPr="00767E04">
        <w:rPr>
          <w:rFonts w:eastAsia="Calibri" w:cs="Calibri"/>
          <w:color w:val="000000" w:themeColor="text1"/>
        </w:rPr>
        <w:t xml:space="preserve">apacity building will remain available to ensure organizations have the necessary information and are prepared to contract with the </w:t>
      </w:r>
      <w:r w:rsidR="00DB3434">
        <w:rPr>
          <w:rFonts w:eastAsia="Calibri" w:cs="Calibri"/>
          <w:color w:val="000000" w:themeColor="text1"/>
        </w:rPr>
        <w:t>C</w:t>
      </w:r>
      <w:r w:rsidRPr="00767E04">
        <w:rPr>
          <w:rFonts w:eastAsia="Calibri" w:cs="Calibri"/>
          <w:color w:val="000000" w:themeColor="text1"/>
        </w:rPr>
        <w:t>ounty</w:t>
      </w:r>
      <w:r w:rsidRPr="00767E04" w:rsidDel="00791013">
        <w:rPr>
          <w:rFonts w:eastAsia="Calibri" w:cs="Calibri"/>
          <w:color w:val="000000" w:themeColor="text1"/>
        </w:rPr>
        <w:t>.</w:t>
      </w:r>
      <w:r w:rsidR="009B5564">
        <w:rPr>
          <w:rStyle w:val="FootnoteReference"/>
          <w:rFonts w:eastAsia="Calibri" w:cs="Calibri"/>
          <w:color w:val="000000" w:themeColor="text1"/>
        </w:rPr>
        <w:footnoteReference w:id="248"/>
      </w:r>
      <w:r w:rsidR="008A7A6A">
        <w:rPr>
          <w:rFonts w:eastAsia="Calibri" w:cs="Calibri"/>
          <w:color w:val="000000" w:themeColor="text1"/>
        </w:rPr>
        <w:t xml:space="preserve"> </w:t>
      </w:r>
      <w:r w:rsidRPr="00767E04">
        <w:rPr>
          <w:rFonts w:eastAsia="Calibri" w:cs="Calibri"/>
          <w:color w:val="000000" w:themeColor="text1"/>
        </w:rPr>
        <w:t>These</w:t>
      </w:r>
      <w:r w:rsidRPr="00767E04" w:rsidDel="005E50B2">
        <w:rPr>
          <w:rFonts w:eastAsia="Calibri" w:cs="Calibri"/>
          <w:color w:val="000000" w:themeColor="text1"/>
        </w:rPr>
        <w:t xml:space="preserve"> </w:t>
      </w:r>
      <w:r w:rsidRPr="00767E04">
        <w:rPr>
          <w:rFonts w:eastAsia="Calibri" w:cs="Calibri"/>
          <w:color w:val="000000" w:themeColor="text1"/>
        </w:rPr>
        <w:t xml:space="preserve">improvements, originating from community feedback, will strengthen the </w:t>
      </w:r>
      <w:r>
        <w:rPr>
          <w:rFonts w:eastAsia="Calibri" w:cs="Calibri"/>
          <w:color w:val="000000" w:themeColor="text1"/>
        </w:rPr>
        <w:t xml:space="preserve">partnership between </w:t>
      </w:r>
      <w:r w:rsidRPr="00767E04">
        <w:rPr>
          <w:rFonts w:eastAsia="Calibri" w:cs="Calibri"/>
          <w:color w:val="000000" w:themeColor="text1"/>
        </w:rPr>
        <w:t>the community and</w:t>
      </w:r>
      <w:r w:rsidRPr="00767E04" w:rsidDel="4F58C1FC">
        <w:rPr>
          <w:rFonts w:eastAsia="Calibri" w:cs="Calibri"/>
          <w:color w:val="000000" w:themeColor="text1"/>
        </w:rPr>
        <w:t xml:space="preserve"> </w:t>
      </w:r>
      <w:r w:rsidRPr="00767E04">
        <w:rPr>
          <w:rFonts w:eastAsia="Calibri" w:cs="Calibri"/>
          <w:color w:val="000000" w:themeColor="text1"/>
        </w:rPr>
        <w:t xml:space="preserve">County government. </w:t>
      </w:r>
    </w:p>
    <w:p w14:paraId="2331549F" w14:textId="77777777" w:rsidR="00451E14" w:rsidRDefault="00451E14" w:rsidP="00964156">
      <w:pPr>
        <w:pStyle w:val="ListParagraph"/>
        <w:ind w:left="0"/>
        <w:rPr>
          <w:rFonts w:eastAsia="Calibri" w:cs="Calibri"/>
          <w:color w:val="000000" w:themeColor="text1"/>
        </w:rPr>
      </w:pPr>
    </w:p>
    <w:p w14:paraId="6D0911CA" w14:textId="2C239055" w:rsidR="00451E14" w:rsidRDefault="00451E14" w:rsidP="00964156">
      <w:pPr>
        <w:pStyle w:val="paragraph"/>
        <w:spacing w:beforeAutospacing="0" w:after="0" w:afterAutospacing="0"/>
        <w:contextualSpacing/>
        <w:rPr>
          <w:rFonts w:eastAsiaTheme="majorEastAsia"/>
        </w:rPr>
      </w:pPr>
      <w:r w:rsidRPr="71D2A87E">
        <w:rPr>
          <w:rFonts w:eastAsiaTheme="majorEastAsia"/>
        </w:rPr>
        <w:t xml:space="preserve">While </w:t>
      </w:r>
      <w:r w:rsidR="00CA6D99">
        <w:rPr>
          <w:rFonts w:eastAsiaTheme="majorEastAsia"/>
        </w:rPr>
        <w:t>particular</w:t>
      </w:r>
      <w:r w:rsidR="00CA6D99" w:rsidRPr="71D2A87E">
        <w:rPr>
          <w:rFonts w:eastAsiaTheme="majorEastAsia"/>
        </w:rPr>
        <w:t xml:space="preserve"> </w:t>
      </w:r>
      <w:r w:rsidRPr="71D2A87E">
        <w:rPr>
          <w:rFonts w:eastAsiaTheme="majorEastAsia"/>
          <w:i/>
          <w:iCs/>
        </w:rPr>
        <w:t>Best Starts</w:t>
      </w:r>
      <w:r w:rsidRPr="71D2A87E">
        <w:rPr>
          <w:rFonts w:eastAsiaTheme="majorEastAsia"/>
        </w:rPr>
        <w:t xml:space="preserve"> RFP</w:t>
      </w:r>
      <w:r w:rsidR="00812B09">
        <w:rPr>
          <w:rFonts w:eastAsiaTheme="majorEastAsia"/>
        </w:rPr>
        <w:t>s</w:t>
      </w:r>
      <w:r w:rsidRPr="71D2A87E">
        <w:rPr>
          <w:rFonts w:eastAsiaTheme="majorEastAsia"/>
        </w:rPr>
        <w:t xml:space="preserve"> may have unique eligibility requirements depending on the </w:t>
      </w:r>
      <w:r w:rsidR="00567304">
        <w:rPr>
          <w:rFonts w:eastAsiaTheme="majorEastAsia"/>
        </w:rPr>
        <w:t>framework and results</w:t>
      </w:r>
      <w:r w:rsidRPr="71D2A87E">
        <w:rPr>
          <w:rFonts w:eastAsiaTheme="majorEastAsia"/>
        </w:rPr>
        <w:t xml:space="preserve"> of </w:t>
      </w:r>
      <w:r w:rsidR="00812B09">
        <w:rPr>
          <w:rFonts w:eastAsiaTheme="majorEastAsia"/>
        </w:rPr>
        <w:t xml:space="preserve">that </w:t>
      </w:r>
      <w:r w:rsidRPr="71D2A87E">
        <w:rPr>
          <w:rFonts w:eastAsiaTheme="majorEastAsia"/>
        </w:rPr>
        <w:t xml:space="preserve">particular investment, </w:t>
      </w:r>
      <w:r w:rsidR="00910B9E">
        <w:rPr>
          <w:rFonts w:eastAsiaTheme="majorEastAsia"/>
        </w:rPr>
        <w:t xml:space="preserve">the procurement </w:t>
      </w:r>
      <w:r w:rsidR="0018556D">
        <w:rPr>
          <w:rFonts w:eastAsiaTheme="majorEastAsia"/>
        </w:rPr>
        <w:t xml:space="preserve">and contracting </w:t>
      </w:r>
      <w:r w:rsidR="00910B9E">
        <w:rPr>
          <w:rFonts w:eastAsiaTheme="majorEastAsia"/>
        </w:rPr>
        <w:t xml:space="preserve">processes described above </w:t>
      </w:r>
      <w:r w:rsidR="00812B09">
        <w:rPr>
          <w:rFonts w:eastAsiaTheme="majorEastAsia"/>
        </w:rPr>
        <w:t xml:space="preserve">will </w:t>
      </w:r>
      <w:r w:rsidR="00812B09" w:rsidRPr="00812B09">
        <w:rPr>
          <w:rFonts w:eastAsiaTheme="majorEastAsia"/>
        </w:rPr>
        <w:t>ensure</w:t>
      </w:r>
      <w:r w:rsidR="002A1EC6">
        <w:rPr>
          <w:rFonts w:eastAsiaTheme="majorEastAsia"/>
        </w:rPr>
        <w:t xml:space="preserve"> overall</w:t>
      </w:r>
      <w:r w:rsidR="00812B09" w:rsidRPr="00812B09">
        <w:rPr>
          <w:rFonts w:eastAsiaTheme="majorEastAsia"/>
        </w:rPr>
        <w:t xml:space="preserve"> that residents throughout </w:t>
      </w:r>
      <w:r w:rsidR="00DB3434">
        <w:rPr>
          <w:rFonts w:eastAsiaTheme="majorEastAsia"/>
        </w:rPr>
        <w:t>King County</w:t>
      </w:r>
      <w:r w:rsidR="00DB3434" w:rsidRPr="00812B09">
        <w:rPr>
          <w:rFonts w:eastAsiaTheme="majorEastAsia"/>
        </w:rPr>
        <w:t xml:space="preserve"> </w:t>
      </w:r>
      <w:r w:rsidR="00812B09" w:rsidRPr="00812B09">
        <w:rPr>
          <w:rFonts w:eastAsiaTheme="majorEastAsia"/>
        </w:rPr>
        <w:t xml:space="preserve">and in any city in </w:t>
      </w:r>
      <w:r w:rsidR="00DB3434">
        <w:rPr>
          <w:rFonts w:eastAsiaTheme="majorEastAsia"/>
        </w:rPr>
        <w:t>King County</w:t>
      </w:r>
      <w:r w:rsidR="00DB3434" w:rsidRPr="00812B09">
        <w:rPr>
          <w:rFonts w:eastAsiaTheme="majorEastAsia"/>
        </w:rPr>
        <w:t xml:space="preserve"> </w:t>
      </w:r>
      <w:r w:rsidR="00812B09" w:rsidRPr="00812B09">
        <w:rPr>
          <w:rFonts w:eastAsiaTheme="majorEastAsia"/>
        </w:rPr>
        <w:t>can access levy-funded strategies regardless of availability of similar services and programs provided by their city or in their community</w:t>
      </w:r>
      <w:r w:rsidRPr="71D2A87E">
        <w:rPr>
          <w:rFonts w:eastAsiaTheme="majorEastAsia"/>
        </w:rPr>
        <w:t xml:space="preserve">. </w:t>
      </w:r>
    </w:p>
    <w:p w14:paraId="1CCF05E8" w14:textId="77777777" w:rsidR="003C3D4B" w:rsidRDefault="003C3D4B" w:rsidP="00451E14">
      <w:pPr>
        <w:pStyle w:val="paragraph"/>
        <w:spacing w:beforeAutospacing="0" w:after="0" w:afterAutospacing="0"/>
        <w:ind w:left="360"/>
        <w:contextualSpacing/>
        <w:rPr>
          <w:rFonts w:eastAsiaTheme="majorEastAsia"/>
        </w:rPr>
      </w:pPr>
    </w:p>
    <w:p w14:paraId="16A230FB" w14:textId="5C9E3931" w:rsidR="00694779" w:rsidRDefault="003C3D4B" w:rsidP="00694779">
      <w:pPr>
        <w:pStyle w:val="paragraph"/>
        <w:spacing w:beforeAutospacing="0" w:after="0" w:afterAutospacing="0"/>
        <w:contextualSpacing/>
        <w:rPr>
          <w:rFonts w:eastAsiaTheme="majorEastAsia"/>
        </w:rPr>
      </w:pPr>
      <w:r>
        <w:rPr>
          <w:rFonts w:eastAsiaTheme="majorEastAsia"/>
        </w:rPr>
        <w:t xml:space="preserve">For a full list of fiscal and procurement policies, see </w:t>
      </w:r>
      <w:r w:rsidRPr="000E1578">
        <w:rPr>
          <w:rFonts w:eastAsiaTheme="majorEastAsia"/>
        </w:rPr>
        <w:t xml:space="preserve">Appendix </w:t>
      </w:r>
      <w:r w:rsidR="00DF6101" w:rsidRPr="000E1578">
        <w:rPr>
          <w:rFonts w:eastAsiaTheme="majorEastAsia"/>
        </w:rPr>
        <w:t>I</w:t>
      </w:r>
      <w:r>
        <w:rPr>
          <w:rFonts w:eastAsiaTheme="majorEastAsia"/>
        </w:rPr>
        <w:t>.</w:t>
      </w:r>
    </w:p>
    <w:p w14:paraId="64F29958" w14:textId="77777777" w:rsidR="00767E04" w:rsidRPr="00185015" w:rsidRDefault="00767E04" w:rsidP="001437A9">
      <w:pPr>
        <w:pStyle w:val="paragraph"/>
        <w:spacing w:beforeAutospacing="0" w:after="0" w:afterAutospacing="0"/>
        <w:ind w:left="360"/>
        <w:contextualSpacing/>
        <w:rPr>
          <w:rFonts w:eastAsiaTheme="majorEastAsia"/>
        </w:rPr>
      </w:pPr>
    </w:p>
    <w:p w14:paraId="49F1B7E9" w14:textId="77777777" w:rsidR="00767E04" w:rsidRPr="00EF013C" w:rsidRDefault="00767E04" w:rsidP="00EF013C">
      <w:pPr>
        <w:rPr>
          <w:b/>
          <w:bCs/>
        </w:rPr>
      </w:pPr>
      <w:r w:rsidRPr="00EF013C">
        <w:rPr>
          <w:b/>
          <w:bCs/>
        </w:rPr>
        <w:t>Investment Flexibility</w:t>
      </w:r>
    </w:p>
    <w:p w14:paraId="05BCB566" w14:textId="53214346" w:rsidR="009738F9" w:rsidRDefault="00501F4B" w:rsidP="00EF013C">
      <w:pPr>
        <w:pStyle w:val="ListParagraph"/>
        <w:ind w:left="0"/>
        <w:rPr>
          <w:rFonts w:eastAsiaTheme="majorEastAsia" w:cs="Calibri"/>
          <w:color w:val="000000" w:themeColor="text1"/>
        </w:rPr>
      </w:pPr>
      <w:r>
        <w:rPr>
          <w:rFonts w:eastAsiaTheme="majorEastAsia" w:cs="Calibri"/>
          <w:color w:val="000000" w:themeColor="text1"/>
        </w:rPr>
        <w:t xml:space="preserve">During the COVID-19 pandemic </w:t>
      </w:r>
      <w:r w:rsidR="00E755EC">
        <w:rPr>
          <w:rFonts w:eastAsiaTheme="majorEastAsia" w:cs="Calibri"/>
          <w:color w:val="000000" w:themeColor="text1"/>
        </w:rPr>
        <w:t xml:space="preserve">in </w:t>
      </w:r>
      <w:r w:rsidR="002F201C">
        <w:rPr>
          <w:rFonts w:eastAsiaTheme="majorEastAsia" w:cs="Calibri"/>
          <w:color w:val="000000" w:themeColor="text1"/>
        </w:rPr>
        <w:t>2</w:t>
      </w:r>
      <w:r w:rsidR="00E755EC">
        <w:rPr>
          <w:rFonts w:eastAsiaTheme="majorEastAsia" w:cs="Calibri"/>
          <w:color w:val="000000" w:themeColor="text1"/>
        </w:rPr>
        <w:t>02</w:t>
      </w:r>
      <w:r w:rsidR="004D1E94">
        <w:rPr>
          <w:rFonts w:eastAsiaTheme="majorEastAsia" w:cs="Calibri"/>
          <w:color w:val="000000" w:themeColor="text1"/>
        </w:rPr>
        <w:t>0</w:t>
      </w:r>
      <w:r w:rsidR="00E755EC">
        <w:rPr>
          <w:rFonts w:eastAsiaTheme="majorEastAsia" w:cs="Calibri"/>
          <w:color w:val="000000" w:themeColor="text1"/>
        </w:rPr>
        <w:t xml:space="preserve"> and 2021, </w:t>
      </w:r>
      <w:r w:rsidRPr="00354EFE">
        <w:rPr>
          <w:rFonts w:eastAsiaTheme="majorEastAsia" w:cs="Calibri"/>
          <w:i/>
          <w:color w:val="000000" w:themeColor="text1"/>
        </w:rPr>
        <w:t>Best Starts</w:t>
      </w:r>
      <w:r>
        <w:rPr>
          <w:rFonts w:eastAsiaTheme="majorEastAsia" w:cs="Calibri"/>
          <w:color w:val="000000" w:themeColor="text1"/>
        </w:rPr>
        <w:t xml:space="preserve"> </w:t>
      </w:r>
      <w:r w:rsidR="000770F4">
        <w:rPr>
          <w:rFonts w:eastAsiaTheme="majorEastAsia" w:cs="Calibri"/>
          <w:color w:val="000000" w:themeColor="text1"/>
        </w:rPr>
        <w:t xml:space="preserve">worked with partners to </w:t>
      </w:r>
      <w:r w:rsidR="006A519B">
        <w:rPr>
          <w:rFonts w:eastAsiaTheme="majorEastAsia" w:cs="Calibri"/>
          <w:color w:val="000000" w:themeColor="text1"/>
        </w:rPr>
        <w:t xml:space="preserve">revise scopes of work within contracts to </w:t>
      </w:r>
      <w:r w:rsidR="00053623">
        <w:rPr>
          <w:rFonts w:eastAsiaTheme="majorEastAsia" w:cs="Calibri"/>
          <w:color w:val="000000" w:themeColor="text1"/>
        </w:rPr>
        <w:t xml:space="preserve">enable community agencies to </w:t>
      </w:r>
      <w:r w:rsidR="006A519B">
        <w:rPr>
          <w:rFonts w:eastAsiaTheme="majorEastAsia" w:cs="Calibri"/>
          <w:color w:val="000000" w:themeColor="text1"/>
        </w:rPr>
        <w:t>be more flexible to meet the needs of families. For example</w:t>
      </w:r>
      <w:r w:rsidR="00E755EC">
        <w:rPr>
          <w:rFonts w:eastAsiaTheme="majorEastAsia" w:cs="Calibri"/>
          <w:color w:val="000000" w:themeColor="text1"/>
        </w:rPr>
        <w:t xml:space="preserve">, </w:t>
      </w:r>
      <w:r w:rsidR="00613CBF">
        <w:rPr>
          <w:rFonts w:eastAsiaTheme="majorEastAsia" w:cs="Calibri"/>
          <w:color w:val="000000" w:themeColor="text1"/>
        </w:rPr>
        <w:t>organization</w:t>
      </w:r>
      <w:r w:rsidR="00053623">
        <w:rPr>
          <w:rFonts w:eastAsiaTheme="majorEastAsia" w:cs="Calibri"/>
          <w:color w:val="000000" w:themeColor="text1"/>
        </w:rPr>
        <w:t>s</w:t>
      </w:r>
      <w:r w:rsidR="006A519B">
        <w:rPr>
          <w:rFonts w:eastAsiaTheme="majorEastAsia" w:cs="Calibri"/>
          <w:color w:val="000000" w:themeColor="text1"/>
        </w:rPr>
        <w:t xml:space="preserve"> </w:t>
      </w:r>
      <w:r w:rsidR="001C7E1C">
        <w:rPr>
          <w:rFonts w:eastAsiaTheme="majorEastAsia" w:cs="Calibri"/>
          <w:color w:val="000000" w:themeColor="text1"/>
        </w:rPr>
        <w:t xml:space="preserve">shifted funding to </w:t>
      </w:r>
      <w:r w:rsidR="00043BD0">
        <w:rPr>
          <w:rFonts w:eastAsiaTheme="majorEastAsia" w:cs="Calibri"/>
          <w:color w:val="000000" w:themeColor="text1"/>
        </w:rPr>
        <w:t>provide</w:t>
      </w:r>
      <w:r w:rsidR="001C7E1C">
        <w:rPr>
          <w:rFonts w:eastAsiaTheme="majorEastAsia" w:cs="Calibri"/>
          <w:color w:val="000000" w:themeColor="text1"/>
        </w:rPr>
        <w:t xml:space="preserve"> </w:t>
      </w:r>
      <w:r w:rsidR="001F658D">
        <w:rPr>
          <w:rFonts w:eastAsiaTheme="majorEastAsia" w:cs="Calibri"/>
          <w:color w:val="000000" w:themeColor="text1"/>
        </w:rPr>
        <w:t xml:space="preserve">virtual programming, </w:t>
      </w:r>
      <w:r w:rsidR="00324FD9">
        <w:rPr>
          <w:rFonts w:eastAsiaTheme="majorEastAsia" w:cs="Calibri"/>
          <w:color w:val="000000" w:themeColor="text1"/>
        </w:rPr>
        <w:t xml:space="preserve">basic needs, and </w:t>
      </w:r>
      <w:r w:rsidR="00043BD0">
        <w:rPr>
          <w:rFonts w:eastAsiaTheme="majorEastAsia" w:cs="Calibri"/>
          <w:color w:val="000000" w:themeColor="text1"/>
        </w:rPr>
        <w:t xml:space="preserve">purchase </w:t>
      </w:r>
      <w:r w:rsidR="00DF05B1">
        <w:rPr>
          <w:rFonts w:eastAsiaTheme="majorEastAsia" w:cs="Calibri"/>
          <w:color w:val="000000" w:themeColor="text1"/>
        </w:rPr>
        <w:t xml:space="preserve">personal protective equipment. </w:t>
      </w:r>
      <w:r w:rsidR="00767E04" w:rsidRPr="00767E04">
        <w:rPr>
          <w:rFonts w:eastAsiaTheme="majorEastAsia" w:cs="Calibri"/>
          <w:color w:val="000000" w:themeColor="text1"/>
        </w:rPr>
        <w:t>Through the community conversations held in October and November 2020</w:t>
      </w:r>
      <w:r w:rsidR="000B4AC5">
        <w:rPr>
          <w:rFonts w:eastAsiaTheme="majorEastAsia" w:cs="Calibri"/>
          <w:color w:val="000000" w:themeColor="text1"/>
        </w:rPr>
        <w:t xml:space="preserve"> </w:t>
      </w:r>
      <w:r w:rsidR="00767E04" w:rsidRPr="00767E04">
        <w:rPr>
          <w:rFonts w:eastAsiaTheme="majorEastAsia" w:cs="Calibri"/>
          <w:i/>
          <w:iCs/>
          <w:color w:val="000000" w:themeColor="text1"/>
        </w:rPr>
        <w:t>Best Starts</w:t>
      </w:r>
      <w:r w:rsidR="00767E04" w:rsidRPr="00767E04">
        <w:rPr>
          <w:rFonts w:eastAsiaTheme="majorEastAsia" w:cs="Calibri"/>
          <w:color w:val="000000" w:themeColor="text1"/>
        </w:rPr>
        <w:t xml:space="preserve"> partners expressed that the flexible funding during the COVID-19 pandemic was essential </w:t>
      </w:r>
      <w:r w:rsidR="00DB05FC">
        <w:rPr>
          <w:rFonts w:eastAsiaTheme="majorEastAsia" w:cs="Calibri"/>
          <w:color w:val="000000" w:themeColor="text1"/>
        </w:rPr>
        <w:t>for</w:t>
      </w:r>
      <w:r w:rsidR="00053623">
        <w:rPr>
          <w:rFonts w:eastAsiaTheme="majorEastAsia" w:cs="Calibri"/>
          <w:color w:val="000000" w:themeColor="text1"/>
        </w:rPr>
        <w:t xml:space="preserve"> them to survive</w:t>
      </w:r>
      <w:r w:rsidR="00767E04" w:rsidRPr="00767E04">
        <w:rPr>
          <w:rFonts w:eastAsiaTheme="majorEastAsia" w:cs="Calibri"/>
          <w:color w:val="000000" w:themeColor="text1"/>
        </w:rPr>
        <w:t xml:space="preserve"> unprecedented times.</w:t>
      </w:r>
      <w:r w:rsidR="00F46761" w:rsidRPr="71D2A87E">
        <w:rPr>
          <w:rStyle w:val="FootnoteReference"/>
          <w:rFonts w:eastAsiaTheme="majorEastAsia" w:cs="Calibri"/>
          <w:color w:val="000000" w:themeColor="text1"/>
        </w:rPr>
        <w:footnoteReference w:id="249"/>
      </w:r>
      <w:r w:rsidR="00F46761">
        <w:rPr>
          <w:rStyle w:val="FootnoteReference"/>
          <w:rFonts w:eastAsiaTheme="majorEastAsia" w:cs="Calibri"/>
          <w:color w:val="000000" w:themeColor="text1"/>
        </w:rPr>
        <w:t>,</w:t>
      </w:r>
      <w:r w:rsidR="00767E04" w:rsidRPr="71D2A87E">
        <w:rPr>
          <w:rStyle w:val="FootnoteReference"/>
          <w:rFonts w:eastAsiaTheme="majorEastAsia" w:cs="Calibri"/>
          <w:color w:val="000000" w:themeColor="text1"/>
        </w:rPr>
        <w:footnoteReference w:id="250"/>
      </w:r>
      <w:r w:rsidR="00767E04" w:rsidRPr="00767E04">
        <w:rPr>
          <w:rFonts w:eastAsiaTheme="majorEastAsia" w:cs="Calibri"/>
          <w:color w:val="000000" w:themeColor="text1"/>
        </w:rPr>
        <w:t xml:space="preserve"> </w:t>
      </w:r>
      <w:r w:rsidR="009738F9">
        <w:rPr>
          <w:rFonts w:eastAsiaTheme="majorEastAsia" w:cs="Calibri"/>
          <w:color w:val="000000" w:themeColor="text1"/>
        </w:rPr>
        <w:t xml:space="preserve">Therefore, </w:t>
      </w:r>
      <w:r w:rsidR="009738F9" w:rsidRPr="00061C91">
        <w:rPr>
          <w:rFonts w:eastAsiaTheme="majorEastAsia" w:cs="Calibri"/>
          <w:i/>
          <w:color w:val="000000" w:themeColor="text1"/>
        </w:rPr>
        <w:t>Best Starts</w:t>
      </w:r>
      <w:r w:rsidR="009738F9">
        <w:rPr>
          <w:rFonts w:eastAsiaTheme="majorEastAsia" w:cs="Calibri"/>
          <w:color w:val="000000" w:themeColor="text1"/>
        </w:rPr>
        <w:t xml:space="preserve"> intends to </w:t>
      </w:r>
      <w:r w:rsidR="009738F9" w:rsidRPr="00767E04">
        <w:rPr>
          <w:rFonts w:eastAsiaTheme="majorEastAsia" w:cs="Calibri"/>
          <w:color w:val="000000" w:themeColor="text1"/>
        </w:rPr>
        <w:t xml:space="preserve">continue </w:t>
      </w:r>
      <w:r w:rsidR="009738F9">
        <w:rPr>
          <w:rFonts w:eastAsiaTheme="majorEastAsia" w:cs="Calibri"/>
          <w:color w:val="000000" w:themeColor="text1"/>
        </w:rPr>
        <w:t xml:space="preserve">that type of flexibility </w:t>
      </w:r>
      <w:r w:rsidR="009738F9" w:rsidRPr="00767E04">
        <w:rPr>
          <w:rFonts w:eastAsiaTheme="majorEastAsia" w:cs="Calibri"/>
          <w:color w:val="000000" w:themeColor="text1"/>
        </w:rPr>
        <w:t>as communities rebuild from the pandemic in the coming years</w:t>
      </w:r>
      <w:r w:rsidR="009738F9">
        <w:rPr>
          <w:rFonts w:eastAsiaTheme="majorEastAsia" w:cs="Calibri"/>
          <w:color w:val="000000" w:themeColor="text1"/>
        </w:rPr>
        <w:t xml:space="preserve">. </w:t>
      </w:r>
    </w:p>
    <w:p w14:paraId="79ACDA01" w14:textId="77777777" w:rsidR="009738F9" w:rsidRDefault="009738F9" w:rsidP="00EF013C">
      <w:pPr>
        <w:pStyle w:val="ListParagraph"/>
        <w:ind w:left="0"/>
        <w:rPr>
          <w:rFonts w:eastAsiaTheme="majorEastAsia" w:cs="Calibri"/>
          <w:color w:val="000000" w:themeColor="text1"/>
        </w:rPr>
      </w:pPr>
    </w:p>
    <w:p w14:paraId="1F543269" w14:textId="3387BEBB" w:rsidR="00767E04" w:rsidRPr="00320602" w:rsidRDefault="00767E04" w:rsidP="00EF013C">
      <w:pPr>
        <w:pStyle w:val="ListParagraph"/>
        <w:ind w:left="0"/>
        <w:rPr>
          <w:rFonts w:eastAsiaTheme="majorEastAsia" w:cs="Calibri"/>
          <w:color w:val="000000" w:themeColor="text1"/>
        </w:rPr>
      </w:pPr>
      <w:r w:rsidRPr="00767E04">
        <w:rPr>
          <w:rFonts w:eastAsiaTheme="majorEastAsia" w:cs="Calibri"/>
          <w:color w:val="000000" w:themeColor="text1"/>
        </w:rPr>
        <w:t xml:space="preserve">Even prior to 2020, organizations </w:t>
      </w:r>
      <w:r w:rsidR="00704059">
        <w:rPr>
          <w:rFonts w:eastAsiaTheme="majorEastAsia" w:cs="Calibri"/>
          <w:color w:val="000000" w:themeColor="text1"/>
        </w:rPr>
        <w:t xml:space="preserve">serving children and youth </w:t>
      </w:r>
      <w:r w:rsidRPr="00767E04">
        <w:rPr>
          <w:rFonts w:eastAsiaTheme="majorEastAsia" w:cs="Calibri"/>
          <w:color w:val="000000" w:themeColor="text1"/>
        </w:rPr>
        <w:t xml:space="preserve">embraced </w:t>
      </w:r>
      <w:r w:rsidRPr="00767E04">
        <w:rPr>
          <w:rFonts w:eastAsiaTheme="majorEastAsia" w:cs="Calibri"/>
          <w:i/>
          <w:iCs/>
          <w:color w:val="000000" w:themeColor="text1"/>
        </w:rPr>
        <w:t>Best Starts</w:t>
      </w:r>
      <w:r w:rsidR="00704059">
        <w:rPr>
          <w:rFonts w:eastAsiaTheme="majorEastAsia" w:cs="Calibri"/>
          <w:i/>
          <w:iCs/>
          <w:color w:val="000000" w:themeColor="text1"/>
        </w:rPr>
        <w:t>’</w:t>
      </w:r>
      <w:r w:rsidRPr="00767E04">
        <w:rPr>
          <w:rFonts w:eastAsiaTheme="majorEastAsia" w:cs="Calibri"/>
          <w:color w:val="000000" w:themeColor="text1"/>
        </w:rPr>
        <w:t xml:space="preserve"> value for taking risks and trying new things, even if course corrections may be necessary. The trust built between </w:t>
      </w:r>
      <w:r w:rsidRPr="00767E04">
        <w:rPr>
          <w:rFonts w:eastAsiaTheme="majorEastAsia" w:cs="Calibri"/>
          <w:i/>
          <w:iCs/>
          <w:color w:val="000000" w:themeColor="text1"/>
        </w:rPr>
        <w:t>Best Starts</w:t>
      </w:r>
      <w:r w:rsidRPr="00767E04">
        <w:rPr>
          <w:rFonts w:eastAsiaTheme="majorEastAsia" w:cs="Calibri"/>
          <w:color w:val="000000" w:themeColor="text1"/>
        </w:rPr>
        <w:t xml:space="preserve"> and </w:t>
      </w:r>
      <w:r w:rsidR="00704059">
        <w:rPr>
          <w:rFonts w:eastAsiaTheme="majorEastAsia" w:cs="Calibri"/>
          <w:color w:val="000000" w:themeColor="text1"/>
        </w:rPr>
        <w:t>its</w:t>
      </w:r>
      <w:r w:rsidR="00704059" w:rsidRPr="00767E04">
        <w:rPr>
          <w:rFonts w:eastAsiaTheme="majorEastAsia" w:cs="Calibri"/>
          <w:color w:val="000000" w:themeColor="text1"/>
        </w:rPr>
        <w:t xml:space="preserve"> </w:t>
      </w:r>
      <w:r w:rsidRPr="00767E04">
        <w:rPr>
          <w:rFonts w:eastAsiaTheme="majorEastAsia" w:cs="Calibri"/>
          <w:color w:val="000000" w:themeColor="text1"/>
        </w:rPr>
        <w:t xml:space="preserve">community-based </w:t>
      </w:r>
      <w:r w:rsidR="00704059">
        <w:rPr>
          <w:rFonts w:eastAsiaTheme="majorEastAsia" w:cs="Calibri"/>
          <w:color w:val="000000" w:themeColor="text1"/>
        </w:rPr>
        <w:t>partners</w:t>
      </w:r>
      <w:r w:rsidRPr="00767E04">
        <w:rPr>
          <w:rFonts w:eastAsiaTheme="majorEastAsia" w:cs="Calibri"/>
          <w:color w:val="000000" w:themeColor="text1"/>
        </w:rPr>
        <w:t xml:space="preserve">, combined with the County’s willingness to bear some risk, made this possible. Organizations were more willing to </w:t>
      </w:r>
      <w:r w:rsidR="00704059">
        <w:rPr>
          <w:rFonts w:eastAsiaTheme="majorEastAsia" w:cs="Calibri"/>
          <w:color w:val="000000" w:themeColor="text1"/>
        </w:rPr>
        <w:t>transparently communicate</w:t>
      </w:r>
      <w:r w:rsidRPr="00767E04">
        <w:rPr>
          <w:rFonts w:eastAsiaTheme="majorEastAsia" w:cs="Calibri"/>
          <w:color w:val="000000" w:themeColor="text1"/>
        </w:rPr>
        <w:t xml:space="preserve"> with the County about strategies they tried</w:t>
      </w:r>
      <w:r w:rsidRPr="00767E04" w:rsidDel="005E50B2">
        <w:rPr>
          <w:rFonts w:eastAsiaTheme="majorEastAsia" w:cs="Calibri"/>
          <w:color w:val="000000" w:themeColor="text1"/>
        </w:rPr>
        <w:t xml:space="preserve"> </w:t>
      </w:r>
      <w:r w:rsidRPr="00767E04">
        <w:rPr>
          <w:rFonts w:eastAsiaTheme="majorEastAsia" w:cs="Calibri"/>
          <w:color w:val="000000" w:themeColor="text1"/>
        </w:rPr>
        <w:t xml:space="preserve">that had been less successful, without fearing their funding would be discontinued. </w:t>
      </w:r>
      <w:r w:rsidRPr="00767E04">
        <w:rPr>
          <w:rFonts w:eastAsiaTheme="majorEastAsia" w:cs="Calibri"/>
          <w:i/>
          <w:iCs/>
          <w:color w:val="000000" w:themeColor="text1"/>
        </w:rPr>
        <w:t>Best Starts</w:t>
      </w:r>
      <w:r w:rsidRPr="00767E04">
        <w:rPr>
          <w:rFonts w:eastAsiaTheme="majorEastAsia" w:cs="Calibri"/>
          <w:color w:val="000000" w:themeColor="text1"/>
        </w:rPr>
        <w:t xml:space="preserve"> </w:t>
      </w:r>
      <w:r w:rsidR="00BC3937">
        <w:rPr>
          <w:rFonts w:eastAsiaTheme="majorEastAsia" w:cs="Calibri"/>
          <w:color w:val="000000" w:themeColor="text1"/>
        </w:rPr>
        <w:t>will</w:t>
      </w:r>
      <w:r w:rsidRPr="00767E04">
        <w:rPr>
          <w:rFonts w:eastAsiaTheme="majorEastAsia" w:cs="Calibri"/>
          <w:color w:val="000000" w:themeColor="text1"/>
        </w:rPr>
        <w:t xml:space="preserve"> continue to lead with this value of partnership</w:t>
      </w:r>
      <w:r w:rsidR="00920749">
        <w:rPr>
          <w:rFonts w:eastAsiaTheme="majorEastAsia" w:cs="Calibri"/>
          <w:color w:val="000000" w:themeColor="text1"/>
        </w:rPr>
        <w:t>,</w:t>
      </w:r>
      <w:r w:rsidR="386E9A62" w:rsidRPr="3E205C2C">
        <w:rPr>
          <w:rFonts w:eastAsiaTheme="majorEastAsia" w:cs="Calibri"/>
          <w:color w:val="000000" w:themeColor="text1"/>
        </w:rPr>
        <w:t xml:space="preserve"> </w:t>
      </w:r>
      <w:r w:rsidR="005E0084" w:rsidRPr="00767E04">
        <w:rPr>
          <w:rFonts w:eastAsiaTheme="majorEastAsia" w:cs="Calibri"/>
          <w:color w:val="000000" w:themeColor="text1"/>
        </w:rPr>
        <w:t>flexibility,</w:t>
      </w:r>
      <w:r w:rsidRPr="00767E04">
        <w:rPr>
          <w:rFonts w:eastAsiaTheme="majorEastAsia" w:cs="Calibri"/>
          <w:color w:val="000000" w:themeColor="text1"/>
        </w:rPr>
        <w:t xml:space="preserve"> and accountability. </w:t>
      </w:r>
      <w:bookmarkStart w:id="97" w:name="_Hlk74569404"/>
    </w:p>
    <w:p w14:paraId="7C1EB1AB" w14:textId="77777777" w:rsidR="00767E04" w:rsidRPr="00767E04" w:rsidRDefault="00767E04" w:rsidP="001437A9">
      <w:pPr>
        <w:pStyle w:val="ListParagraph"/>
        <w:ind w:left="360"/>
        <w:rPr>
          <w:rFonts w:cstheme="majorHAnsi"/>
        </w:rPr>
      </w:pPr>
    </w:p>
    <w:bookmarkEnd w:id="97"/>
    <w:p w14:paraId="4092F0EC" w14:textId="051F9655" w:rsidR="00767E04" w:rsidRPr="00EF013C" w:rsidRDefault="00767E04" w:rsidP="00EF013C">
      <w:pPr>
        <w:rPr>
          <w:b/>
          <w:bCs/>
        </w:rPr>
      </w:pPr>
      <w:r w:rsidRPr="00EF013C">
        <w:rPr>
          <w:b/>
          <w:bCs/>
        </w:rPr>
        <w:t xml:space="preserve">Geographic Distribution </w:t>
      </w:r>
      <w:r w:rsidR="00E220AF">
        <w:rPr>
          <w:b/>
          <w:bCs/>
        </w:rPr>
        <w:t>and</w:t>
      </w:r>
      <w:r w:rsidRPr="00EF013C">
        <w:rPr>
          <w:b/>
          <w:bCs/>
        </w:rPr>
        <w:t xml:space="preserve"> Targeted Universalism</w:t>
      </w:r>
    </w:p>
    <w:p w14:paraId="70C022DC" w14:textId="7CF2B21D" w:rsidR="00F33DB9" w:rsidRDefault="00767E04" w:rsidP="00EF013C">
      <w:pPr>
        <w:pStyle w:val="paragraph"/>
        <w:spacing w:beforeAutospacing="0" w:after="0" w:afterAutospacing="0"/>
        <w:contextualSpacing/>
        <w:rPr>
          <w:rFonts w:eastAsiaTheme="majorEastAsia"/>
        </w:rPr>
      </w:pPr>
      <w:r w:rsidRPr="00767E04">
        <w:rPr>
          <w:rFonts w:eastAsia="Calibri" w:cs="Calibri"/>
          <w:i/>
          <w:iCs/>
          <w:color w:val="000000" w:themeColor="text1"/>
        </w:rPr>
        <w:t>Best Starts</w:t>
      </w:r>
      <w:r w:rsidRPr="00767E04">
        <w:rPr>
          <w:rFonts w:eastAsia="Calibri"/>
          <w:color w:val="000000" w:themeColor="text1"/>
        </w:rPr>
        <w:t xml:space="preserve"> is committed to directly addressing regional, racial, and economic disparities in King County and the systems that create these disparities. To</w:t>
      </w:r>
      <w:r w:rsidRPr="00767E04" w:rsidDel="00AA1679">
        <w:rPr>
          <w:rFonts w:eastAsia="Calibri"/>
          <w:color w:val="000000" w:themeColor="text1"/>
        </w:rPr>
        <w:t xml:space="preserve"> </w:t>
      </w:r>
      <w:r w:rsidRPr="00767E04">
        <w:rPr>
          <w:rFonts w:eastAsia="Calibri"/>
          <w:color w:val="000000" w:themeColor="text1"/>
        </w:rPr>
        <w:t xml:space="preserve">do this, </w:t>
      </w:r>
      <w:r w:rsidRPr="00767E04">
        <w:rPr>
          <w:rFonts w:eastAsia="Calibri" w:cs="Calibri"/>
          <w:i/>
          <w:iCs/>
          <w:color w:val="000000" w:themeColor="text1"/>
        </w:rPr>
        <w:t>Best Starts</w:t>
      </w:r>
      <w:r w:rsidRPr="00767E04">
        <w:rPr>
          <w:rFonts w:eastAsia="Calibri"/>
          <w:i/>
          <w:iCs/>
          <w:color w:val="000000" w:themeColor="text1"/>
        </w:rPr>
        <w:t xml:space="preserve"> </w:t>
      </w:r>
      <w:r w:rsidRPr="00767E04">
        <w:rPr>
          <w:rFonts w:eastAsia="Calibri"/>
          <w:color w:val="000000" w:themeColor="text1"/>
        </w:rPr>
        <w:t xml:space="preserve">services are distributed </w:t>
      </w:r>
      <w:r w:rsidR="005B6EB4">
        <w:rPr>
          <w:rFonts w:eastAsia="Calibri"/>
          <w:color w:val="000000" w:themeColor="text1"/>
        </w:rPr>
        <w:t xml:space="preserve">with </w:t>
      </w:r>
      <w:r w:rsidR="00C72B72">
        <w:rPr>
          <w:rFonts w:eastAsia="Calibri"/>
          <w:color w:val="000000" w:themeColor="text1"/>
        </w:rPr>
        <w:lastRenderedPageBreak/>
        <w:t xml:space="preserve">countywide </w:t>
      </w:r>
      <w:r w:rsidRPr="00767E04">
        <w:rPr>
          <w:rFonts w:eastAsia="Calibri"/>
          <w:color w:val="000000" w:themeColor="text1"/>
        </w:rPr>
        <w:t>geographic</w:t>
      </w:r>
      <w:r w:rsidR="005B6EB4">
        <w:rPr>
          <w:rFonts w:eastAsia="Calibri"/>
          <w:color w:val="000000" w:themeColor="text1"/>
        </w:rPr>
        <w:t xml:space="preserve"> </w:t>
      </w:r>
      <w:r w:rsidR="00417402">
        <w:rPr>
          <w:rFonts w:eastAsia="Calibri"/>
          <w:color w:val="000000" w:themeColor="text1"/>
        </w:rPr>
        <w:t xml:space="preserve">access </w:t>
      </w:r>
      <w:r w:rsidR="00CF4702">
        <w:rPr>
          <w:rFonts w:eastAsia="Calibri"/>
          <w:color w:val="000000" w:themeColor="text1"/>
        </w:rPr>
        <w:t xml:space="preserve">and </w:t>
      </w:r>
      <w:r w:rsidR="005B6EB4">
        <w:rPr>
          <w:rFonts w:eastAsia="Calibri"/>
          <w:color w:val="000000" w:themeColor="text1"/>
        </w:rPr>
        <w:t>racial</w:t>
      </w:r>
      <w:r w:rsidRPr="00767E04">
        <w:rPr>
          <w:rFonts w:eastAsia="Calibri"/>
          <w:color w:val="000000" w:themeColor="text1"/>
        </w:rPr>
        <w:t xml:space="preserve"> </w:t>
      </w:r>
      <w:r w:rsidR="00CF4702">
        <w:rPr>
          <w:rFonts w:eastAsia="Calibri"/>
          <w:color w:val="000000" w:themeColor="text1"/>
        </w:rPr>
        <w:t xml:space="preserve">equity </w:t>
      </w:r>
      <w:r w:rsidR="001E72E8">
        <w:rPr>
          <w:rFonts w:eastAsia="Calibri"/>
          <w:color w:val="000000" w:themeColor="text1"/>
        </w:rPr>
        <w:t>in mind</w:t>
      </w:r>
      <w:r w:rsidRPr="00767E04">
        <w:rPr>
          <w:rFonts w:eastAsia="Calibri"/>
          <w:color w:val="000000" w:themeColor="text1"/>
        </w:rPr>
        <w:t>, respond</w:t>
      </w:r>
      <w:r w:rsidR="001E72E8">
        <w:rPr>
          <w:rFonts w:eastAsia="Calibri"/>
          <w:color w:val="000000" w:themeColor="text1"/>
        </w:rPr>
        <w:t>ing</w:t>
      </w:r>
      <w:r w:rsidRPr="00767E04">
        <w:rPr>
          <w:rFonts w:eastAsia="Calibri"/>
          <w:color w:val="000000" w:themeColor="text1"/>
        </w:rPr>
        <w:t xml:space="preserve"> to </w:t>
      </w:r>
      <w:r w:rsidR="009A11CA">
        <w:rPr>
          <w:rFonts w:eastAsia="Calibri"/>
          <w:color w:val="000000" w:themeColor="text1"/>
        </w:rPr>
        <w:t>the</w:t>
      </w:r>
      <w:r w:rsidRPr="00767E04">
        <w:rPr>
          <w:rFonts w:eastAsia="Calibri"/>
          <w:color w:val="000000" w:themeColor="text1"/>
        </w:rPr>
        <w:t xml:space="preserve"> community</w:t>
      </w:r>
      <w:r w:rsidR="009A11CA">
        <w:rPr>
          <w:rFonts w:eastAsia="Calibri"/>
          <w:color w:val="000000" w:themeColor="text1"/>
        </w:rPr>
        <w:t>’s</w:t>
      </w:r>
      <w:r w:rsidRPr="00767E04">
        <w:rPr>
          <w:rFonts w:eastAsia="Calibri"/>
          <w:color w:val="000000" w:themeColor="text1"/>
        </w:rPr>
        <w:t xml:space="preserve"> ideas and feedback and reflect</w:t>
      </w:r>
      <w:r w:rsidR="001E72E8">
        <w:rPr>
          <w:rFonts w:eastAsia="Calibri"/>
          <w:color w:val="000000" w:themeColor="text1"/>
        </w:rPr>
        <w:t>ing</w:t>
      </w:r>
      <w:r w:rsidRPr="00767E04">
        <w:rPr>
          <w:rFonts w:eastAsia="Calibri"/>
          <w:color w:val="000000" w:themeColor="text1"/>
        </w:rPr>
        <w:t xml:space="preserve"> the results of competitive procurement processes. This </w:t>
      </w:r>
      <w:r w:rsidR="009A11CA">
        <w:rPr>
          <w:rFonts w:eastAsia="Calibri"/>
          <w:color w:val="000000" w:themeColor="text1"/>
        </w:rPr>
        <w:t xml:space="preserve">intentional </w:t>
      </w:r>
      <w:r w:rsidR="00F46761">
        <w:rPr>
          <w:rFonts w:eastAsia="Calibri"/>
          <w:color w:val="000000" w:themeColor="text1"/>
        </w:rPr>
        <w:t>method</w:t>
      </w:r>
      <w:r w:rsidR="009A11CA">
        <w:rPr>
          <w:rFonts w:eastAsia="Calibri"/>
          <w:color w:val="000000" w:themeColor="text1"/>
        </w:rPr>
        <w:t xml:space="preserve"> </w:t>
      </w:r>
      <w:r w:rsidR="00795A0F">
        <w:rPr>
          <w:rFonts w:eastAsia="Calibri"/>
          <w:color w:val="000000" w:themeColor="text1"/>
        </w:rPr>
        <w:t xml:space="preserve">of open solicitation for proposals and weighing geographic spread and need during the awards decision </w:t>
      </w:r>
      <w:r w:rsidR="004F3788">
        <w:rPr>
          <w:rFonts w:eastAsia="Calibri"/>
          <w:color w:val="000000" w:themeColor="text1"/>
        </w:rPr>
        <w:t xml:space="preserve">process </w:t>
      </w:r>
      <w:r w:rsidRPr="00767E04">
        <w:rPr>
          <w:rFonts w:eastAsia="Calibri"/>
          <w:color w:val="000000" w:themeColor="text1"/>
        </w:rPr>
        <w:t xml:space="preserve">yields an array of services available to cities and communities throughout King County while also delivering interventions where they are needed most. </w:t>
      </w:r>
      <w:r w:rsidR="00F33DB9" w:rsidRPr="71D2A87E">
        <w:rPr>
          <w:rFonts w:eastAsiaTheme="majorEastAsia"/>
          <w:i/>
          <w:iCs/>
        </w:rPr>
        <w:t>Best Starts</w:t>
      </w:r>
      <w:r w:rsidR="00F33DB9" w:rsidRPr="71D2A87E">
        <w:rPr>
          <w:rFonts w:eastAsiaTheme="majorEastAsia"/>
        </w:rPr>
        <w:t xml:space="preserve"> is committed to assuring opportunities are available across the diversity of </w:t>
      </w:r>
      <w:r w:rsidR="00F33DB9" w:rsidRPr="71D2A87E" w:rsidDel="005E50B2">
        <w:rPr>
          <w:rFonts w:eastAsiaTheme="majorEastAsia"/>
        </w:rPr>
        <w:t xml:space="preserve">geographic </w:t>
      </w:r>
      <w:r w:rsidR="00F33DB9" w:rsidRPr="71D2A87E">
        <w:rPr>
          <w:rFonts w:eastAsiaTheme="majorEastAsia"/>
        </w:rPr>
        <w:t>locations in the County, as described in the</w:t>
      </w:r>
      <w:r w:rsidR="00F33DB9" w:rsidRPr="0077047E">
        <w:t xml:space="preserve"> </w:t>
      </w:r>
      <w:r w:rsidR="00F33DB9">
        <w:t>2019 Human Services Geographic Equity Plan.</w:t>
      </w:r>
      <w:r w:rsidR="00F33DB9" w:rsidRPr="71D2A87E">
        <w:rPr>
          <w:rStyle w:val="FootnoteReference"/>
          <w:rFonts w:eastAsiaTheme="majorEastAsia"/>
        </w:rPr>
        <w:footnoteReference w:id="251"/>
      </w:r>
      <w:r w:rsidR="00F33DB9" w:rsidRPr="71D2A87E" w:rsidDel="005E50B2">
        <w:rPr>
          <w:rFonts w:eastAsiaTheme="majorEastAsia"/>
        </w:rPr>
        <w:t xml:space="preserve"> </w:t>
      </w:r>
      <w:r w:rsidR="00F33DB9" w:rsidRPr="71D2A87E">
        <w:rPr>
          <w:rFonts w:eastAsiaTheme="majorEastAsia"/>
        </w:rPr>
        <w:t xml:space="preserve">Therefore, it welcomes </w:t>
      </w:r>
      <w:r w:rsidR="4D772288" w:rsidRPr="20942A6F">
        <w:rPr>
          <w:rFonts w:eastAsiaTheme="majorEastAsia"/>
        </w:rPr>
        <w:t>and consider</w:t>
      </w:r>
      <w:r w:rsidR="664ABD07" w:rsidRPr="20942A6F">
        <w:rPr>
          <w:rFonts w:eastAsiaTheme="majorEastAsia"/>
        </w:rPr>
        <w:t xml:space="preserve">s </w:t>
      </w:r>
      <w:r w:rsidR="00F33DB9" w:rsidRPr="71D2A87E">
        <w:rPr>
          <w:rFonts w:eastAsiaTheme="majorEastAsia"/>
        </w:rPr>
        <w:t xml:space="preserve">proposals from all </w:t>
      </w:r>
      <w:r w:rsidR="6ADF4CF8" w:rsidRPr="20942A6F">
        <w:rPr>
          <w:rFonts w:eastAsiaTheme="majorEastAsia"/>
        </w:rPr>
        <w:t>cities</w:t>
      </w:r>
      <w:r w:rsidR="456C0916" w:rsidRPr="20942A6F">
        <w:rPr>
          <w:rFonts w:eastAsiaTheme="majorEastAsia"/>
        </w:rPr>
        <w:t xml:space="preserve">, </w:t>
      </w:r>
      <w:r w:rsidR="00C55F2A">
        <w:rPr>
          <w:rFonts w:eastAsiaTheme="majorEastAsia"/>
        </w:rPr>
        <w:t>sub</w:t>
      </w:r>
      <w:r w:rsidR="00F33DB9" w:rsidRPr="71D2A87E">
        <w:rPr>
          <w:rFonts w:eastAsiaTheme="majorEastAsia"/>
        </w:rPr>
        <w:t xml:space="preserve">regions, </w:t>
      </w:r>
      <w:r w:rsidR="00C55F2A">
        <w:rPr>
          <w:rFonts w:eastAsiaTheme="majorEastAsia"/>
        </w:rPr>
        <w:t xml:space="preserve">and unincorporated areas </w:t>
      </w:r>
      <w:r w:rsidR="00F33DB9" w:rsidRPr="71D2A87E">
        <w:rPr>
          <w:rFonts w:eastAsiaTheme="majorEastAsia"/>
        </w:rPr>
        <w:t>across the county</w:t>
      </w:r>
      <w:r w:rsidR="21AF8E0F" w:rsidRPr="20942A6F">
        <w:rPr>
          <w:rFonts w:eastAsiaTheme="majorEastAsia"/>
        </w:rPr>
        <w:t xml:space="preserve"> for all strategies</w:t>
      </w:r>
      <w:r w:rsidR="00F33DB9" w:rsidRPr="71D2A87E">
        <w:rPr>
          <w:rFonts w:eastAsiaTheme="majorEastAsia"/>
        </w:rPr>
        <w:t xml:space="preserve">. </w:t>
      </w:r>
    </w:p>
    <w:p w14:paraId="6E7329D8" w14:textId="77777777" w:rsidR="00767E04" w:rsidRPr="00767E04" w:rsidRDefault="00767E04" w:rsidP="00EF013C">
      <w:pPr>
        <w:rPr>
          <w:rFonts w:eastAsia="Calibri" w:cs="Calibri"/>
          <w:i/>
          <w:iCs/>
          <w:color w:val="000000" w:themeColor="text1"/>
        </w:rPr>
      </w:pPr>
    </w:p>
    <w:p w14:paraId="73B27808" w14:textId="3AF71362" w:rsidR="00CD039E" w:rsidRDefault="00767E04" w:rsidP="00EF013C">
      <w:pPr>
        <w:pStyle w:val="ListParagraph"/>
        <w:ind w:left="0"/>
        <w:rPr>
          <w:rFonts w:eastAsia="Calibri"/>
          <w:color w:val="000000" w:themeColor="text1"/>
        </w:rPr>
      </w:pPr>
      <w:r w:rsidRPr="77E112F9">
        <w:rPr>
          <w:rFonts w:eastAsia="Calibri" w:cs="Calibri"/>
          <w:i/>
          <w:iCs/>
          <w:color w:val="000000" w:themeColor="text1"/>
        </w:rPr>
        <w:t>Best Starts</w:t>
      </w:r>
      <w:r w:rsidRPr="00767E04">
        <w:rPr>
          <w:rFonts w:eastAsia="Calibri"/>
          <w:color w:val="000000" w:themeColor="text1"/>
        </w:rPr>
        <w:t xml:space="preserve"> </w:t>
      </w:r>
      <w:r w:rsidR="004F3788">
        <w:rPr>
          <w:rFonts w:eastAsia="Calibri"/>
          <w:color w:val="000000" w:themeColor="text1"/>
        </w:rPr>
        <w:t>funding</w:t>
      </w:r>
      <w:r w:rsidRPr="00767E04">
        <w:rPr>
          <w:rFonts w:eastAsia="Calibri"/>
          <w:color w:val="000000" w:themeColor="text1"/>
        </w:rPr>
        <w:t xml:space="preserve"> alone is not sufficient to fully connect all of King County’s over two million residents to the services they need. Therefore, King County plans to continue to deploy </w:t>
      </w:r>
      <w:r w:rsidRPr="77E112F9">
        <w:rPr>
          <w:rFonts w:eastAsia="Calibri" w:cs="Calibri"/>
          <w:i/>
          <w:iCs/>
          <w:color w:val="000000" w:themeColor="text1"/>
        </w:rPr>
        <w:t>Best Starts</w:t>
      </w:r>
      <w:r w:rsidRPr="00767E04">
        <w:rPr>
          <w:rFonts w:eastAsia="Calibri"/>
          <w:color w:val="000000" w:themeColor="text1"/>
        </w:rPr>
        <w:t xml:space="preserve"> resources to promote equitable access for the populations facing the largest disparities in health and well-being, often linked to poverty as well as those farthest from opportunity.</w:t>
      </w:r>
      <w:r w:rsidRPr="1984AE1C">
        <w:rPr>
          <w:rStyle w:val="FootnoteReference"/>
          <w:rFonts w:eastAsia="Calibri"/>
          <w:color w:val="000000" w:themeColor="text1"/>
        </w:rPr>
        <w:footnoteReference w:id="252"/>
      </w:r>
      <w:r>
        <w:rPr>
          <w:rFonts w:eastAsia="Calibri"/>
          <w:color w:val="000000" w:themeColor="text1"/>
        </w:rPr>
        <w:t xml:space="preserve"> </w:t>
      </w:r>
    </w:p>
    <w:p w14:paraId="2BE2CA2A" w14:textId="77777777" w:rsidR="00CD039E" w:rsidRDefault="00CD039E" w:rsidP="00EF013C">
      <w:pPr>
        <w:pStyle w:val="ListParagraph"/>
        <w:ind w:left="0"/>
        <w:rPr>
          <w:rFonts w:eastAsia="Calibri"/>
          <w:color w:val="000000" w:themeColor="text1"/>
        </w:rPr>
      </w:pPr>
    </w:p>
    <w:p w14:paraId="06E201BA" w14:textId="383B2C41" w:rsidR="00767E04" w:rsidRPr="007C3AEE" w:rsidRDefault="00011BDC" w:rsidP="00EF013C">
      <w:pPr>
        <w:pStyle w:val="ListParagraph"/>
        <w:ind w:left="0"/>
        <w:rPr>
          <w:rFonts w:eastAsia="Calibri"/>
        </w:rPr>
      </w:pPr>
      <w:r>
        <w:rPr>
          <w:rFonts w:eastAsia="Calibri"/>
          <w:color w:val="000000" w:themeColor="text1"/>
        </w:rPr>
        <w:t>To address these issues</w:t>
      </w:r>
      <w:r w:rsidR="00030D35">
        <w:rPr>
          <w:rFonts w:eastAsia="Calibri"/>
          <w:color w:val="000000" w:themeColor="text1"/>
        </w:rPr>
        <w:t>,</w:t>
      </w:r>
      <w:r w:rsidR="00030D35">
        <w:rPr>
          <w:rFonts w:eastAsia="Calibri"/>
        </w:rPr>
        <w:t xml:space="preserve"> a </w:t>
      </w:r>
      <w:r w:rsidR="00767E04" w:rsidRPr="00767E04">
        <w:rPr>
          <w:rFonts w:eastAsia="Calibri"/>
        </w:rPr>
        <w:t xml:space="preserve">targeted universalism approach </w:t>
      </w:r>
      <w:r w:rsidR="000B29DC">
        <w:rPr>
          <w:rFonts w:eastAsia="Calibri"/>
        </w:rPr>
        <w:t xml:space="preserve">that recognizes that services must be </w:t>
      </w:r>
      <w:r w:rsidR="00CD039E">
        <w:rPr>
          <w:rFonts w:eastAsia="Calibri"/>
        </w:rPr>
        <w:t>directed to</w:t>
      </w:r>
      <w:r w:rsidR="000B29DC">
        <w:rPr>
          <w:rFonts w:eastAsia="Calibri"/>
        </w:rPr>
        <w:t xml:space="preserve"> areas of greatest need</w:t>
      </w:r>
      <w:r w:rsidR="000B29DC" w:rsidRPr="00767E04">
        <w:rPr>
          <w:rFonts w:eastAsia="Calibri"/>
        </w:rPr>
        <w:t xml:space="preserve"> </w:t>
      </w:r>
      <w:r w:rsidR="00767E04" w:rsidRPr="00767E04">
        <w:rPr>
          <w:rFonts w:eastAsia="Calibri"/>
        </w:rPr>
        <w:t xml:space="preserve">guides </w:t>
      </w:r>
      <w:r w:rsidR="00767E04" w:rsidRPr="77E112F9">
        <w:rPr>
          <w:rFonts w:eastAsia="Calibri" w:cs="Calibri"/>
          <w:i/>
          <w:iCs/>
        </w:rPr>
        <w:t>Best Starts</w:t>
      </w:r>
      <w:r w:rsidR="00767E04" w:rsidRPr="77E112F9">
        <w:rPr>
          <w:rFonts w:eastAsia="Calibri"/>
          <w:i/>
          <w:iCs/>
        </w:rPr>
        <w:t>’</w:t>
      </w:r>
      <w:r w:rsidR="00767E04" w:rsidRPr="00767E04">
        <w:rPr>
          <w:rFonts w:eastAsia="Calibri"/>
        </w:rPr>
        <w:t xml:space="preserve"> service distribution. </w:t>
      </w:r>
      <w:r w:rsidR="00767E04" w:rsidRPr="004E6471">
        <w:rPr>
          <w:rFonts w:eastAsia="Calibri"/>
        </w:rPr>
        <w:t xml:space="preserve">With this framework, </w:t>
      </w:r>
      <w:r w:rsidR="00767E04" w:rsidRPr="004E6471">
        <w:rPr>
          <w:rFonts w:eastAsia="Calibri" w:cs="Calibri"/>
          <w:i/>
        </w:rPr>
        <w:t>Best Starts</w:t>
      </w:r>
      <w:r w:rsidR="00767E04" w:rsidRPr="004E6471">
        <w:rPr>
          <w:rFonts w:eastAsia="Calibri"/>
        </w:rPr>
        <w:t xml:space="preserve"> pursues universal goals for all children, youth, and families by </w:t>
      </w:r>
      <w:r w:rsidR="00767E04" w:rsidRPr="004E6471" w:rsidDel="002407A6">
        <w:rPr>
          <w:rFonts w:eastAsia="Calibri"/>
        </w:rPr>
        <w:t xml:space="preserve">deploying </w:t>
      </w:r>
      <w:r w:rsidR="00767E04" w:rsidRPr="004E6471">
        <w:rPr>
          <w:rFonts w:eastAsia="Calibri"/>
        </w:rPr>
        <w:t xml:space="preserve">a range of strategies and services specific to the varying needs and circumstances of each group or community. </w:t>
      </w:r>
      <w:r w:rsidR="00EB565B" w:rsidRPr="004E6471">
        <w:rPr>
          <w:rFonts w:eastAsia="Calibri"/>
          <w:i/>
        </w:rPr>
        <w:t>Best Starts’</w:t>
      </w:r>
      <w:r w:rsidR="00EB565B" w:rsidRPr="004E6471">
        <w:rPr>
          <w:rFonts w:eastAsia="Calibri"/>
        </w:rPr>
        <w:t xml:space="preserve"> targeted universalism approach considers communities and populations experiencing rapidly increasing challenges</w:t>
      </w:r>
      <w:r w:rsidR="006A287E" w:rsidRPr="004E6471">
        <w:rPr>
          <w:rFonts w:eastAsia="Calibri"/>
        </w:rPr>
        <w:t xml:space="preserve"> facing children and families</w:t>
      </w:r>
      <w:r w:rsidR="00EB565B" w:rsidRPr="004E6471">
        <w:rPr>
          <w:rFonts w:eastAsia="Calibri"/>
        </w:rPr>
        <w:t>, and ensures that opportunities</w:t>
      </w:r>
      <w:r w:rsidR="00EB565B" w:rsidRPr="004E6471">
        <w:rPr>
          <w:rFonts w:eastAsia="Calibri"/>
          <w:vertAlign w:val="superscript"/>
        </w:rPr>
        <w:t xml:space="preserve"> </w:t>
      </w:r>
      <w:r w:rsidR="00EB565B" w:rsidRPr="004E6471">
        <w:rPr>
          <w:rFonts w:eastAsia="Calibri"/>
        </w:rPr>
        <w:t>are available in the communities where they are needed the most.</w:t>
      </w:r>
      <w:r w:rsidR="00EB565B" w:rsidRPr="1984AE1C">
        <w:rPr>
          <w:rStyle w:val="FootnoteReference"/>
          <w:rFonts w:eastAsia="Calibri"/>
        </w:rPr>
        <w:footnoteReference w:id="253"/>
      </w:r>
      <w:r w:rsidR="00EB565B" w:rsidRPr="004E6471">
        <w:rPr>
          <w:rFonts w:eastAsia="Calibri"/>
        </w:rPr>
        <w:t xml:space="preserve"> </w:t>
      </w:r>
      <w:r w:rsidR="006A287E" w:rsidRPr="004E6471">
        <w:rPr>
          <w:rFonts w:eastAsia="Calibri"/>
          <w:i/>
        </w:rPr>
        <w:t>Best Starts</w:t>
      </w:r>
      <w:r w:rsidR="006A287E" w:rsidRPr="004E6471">
        <w:rPr>
          <w:rFonts w:eastAsia="Calibri"/>
        </w:rPr>
        <w:t xml:space="preserve"> also offers a combination of strategies that are designed to be more universal in approach</w:t>
      </w:r>
      <w:r w:rsidR="00EC2881">
        <w:rPr>
          <w:rFonts w:eastAsia="Calibri"/>
        </w:rPr>
        <w:t xml:space="preserve">, </w:t>
      </w:r>
      <w:r w:rsidR="00C26A83" w:rsidRPr="004E6471">
        <w:rPr>
          <w:rFonts w:eastAsia="Calibri"/>
        </w:rPr>
        <w:t>while</w:t>
      </w:r>
      <w:r w:rsidR="006A287E" w:rsidRPr="004E6471">
        <w:rPr>
          <w:rFonts w:eastAsia="Calibri"/>
        </w:rPr>
        <w:t xml:space="preserve"> some </w:t>
      </w:r>
      <w:r w:rsidR="00C26A83" w:rsidRPr="004E6471">
        <w:rPr>
          <w:rFonts w:eastAsia="Calibri"/>
        </w:rPr>
        <w:t xml:space="preserve">are </w:t>
      </w:r>
      <w:r w:rsidR="00C26A83">
        <w:t xml:space="preserve">focused within specific communities, as a means to </w:t>
      </w:r>
      <w:r w:rsidR="00EC2881">
        <w:t xml:space="preserve">target resources to </w:t>
      </w:r>
      <w:r w:rsidR="00C26A83">
        <w:t xml:space="preserve">reduce the disproportionality that exists </w:t>
      </w:r>
      <w:r w:rsidR="00EC2881">
        <w:t>with</w:t>
      </w:r>
      <w:r w:rsidR="00C26A83">
        <w:t>in King County</w:t>
      </w:r>
      <w:r w:rsidR="008A7A6A">
        <w:rPr>
          <w:rFonts w:eastAsia="Calibri"/>
        </w:rPr>
        <w:t xml:space="preserve">. </w:t>
      </w:r>
      <w:r w:rsidR="00791013" w:rsidRPr="004E6471">
        <w:rPr>
          <w:rFonts w:eastAsia="Calibri"/>
        </w:rPr>
        <w:t xml:space="preserve"> </w:t>
      </w:r>
      <w:r w:rsidR="00767E04" w:rsidRPr="004E6471">
        <w:rPr>
          <w:rFonts w:eastAsia="Calibri"/>
        </w:rPr>
        <w:t xml:space="preserve">A case study from the Othering and Belonging Institute indicated that </w:t>
      </w:r>
      <w:r w:rsidR="00C12083" w:rsidRPr="004E6471">
        <w:rPr>
          <w:rFonts w:eastAsia="Calibri"/>
        </w:rPr>
        <w:t>King County</w:t>
      </w:r>
      <w:r w:rsidR="00767E04" w:rsidRPr="004E6471">
        <w:rPr>
          <w:rFonts w:eastAsia="Calibri"/>
        </w:rPr>
        <w:t xml:space="preserve"> was</w:t>
      </w:r>
      <w:r w:rsidR="00C12083" w:rsidRPr="004E6471">
        <w:rPr>
          <w:rFonts w:eastAsia="Calibri"/>
        </w:rPr>
        <w:t xml:space="preserve"> using th</w:t>
      </w:r>
      <w:r w:rsidR="00D8503A" w:rsidRPr="004E6471">
        <w:rPr>
          <w:rFonts w:eastAsia="Calibri"/>
        </w:rPr>
        <w:t>is method</w:t>
      </w:r>
      <w:r w:rsidR="00EC2881">
        <w:rPr>
          <w:rFonts w:eastAsia="Calibri"/>
        </w:rPr>
        <w:t>,</w:t>
      </w:r>
      <w:r w:rsidR="00767E04" w:rsidRPr="004E6471">
        <w:rPr>
          <w:rFonts w:eastAsia="Calibri"/>
        </w:rPr>
        <w:t xml:space="preserve"> and</w:t>
      </w:r>
      <w:r w:rsidR="00EC2881">
        <w:rPr>
          <w:rFonts w:eastAsia="Calibri"/>
        </w:rPr>
        <w:t xml:space="preserve"> that</w:t>
      </w:r>
      <w:r w:rsidR="00767E04" w:rsidRPr="004E6471">
        <w:rPr>
          <w:rFonts w:eastAsia="Calibri"/>
        </w:rPr>
        <w:t xml:space="preserve"> continuing this approach would be critical to moving towards more equitable access.</w:t>
      </w:r>
      <w:r w:rsidR="00767E04">
        <w:rPr>
          <w:rStyle w:val="FootnoteReference"/>
          <w:rFonts w:eastAsia="Calibri"/>
        </w:rPr>
        <w:footnoteReference w:id="254"/>
      </w:r>
      <w:r w:rsidR="00767E04" w:rsidRPr="004E6471">
        <w:rPr>
          <w:rFonts w:eastAsia="Calibri"/>
        </w:rPr>
        <w:t xml:space="preserve"> </w:t>
      </w:r>
    </w:p>
    <w:p w14:paraId="5B83D41E" w14:textId="77777777" w:rsidR="005C12AD" w:rsidRPr="005C12AD" w:rsidRDefault="005C12AD" w:rsidP="003420B4">
      <w:pPr>
        <w:rPr>
          <w:highlight w:val="yellow"/>
        </w:rPr>
      </w:pPr>
    </w:p>
    <w:p w14:paraId="31A3450C" w14:textId="59D55A20" w:rsidR="00FF46BC" w:rsidRPr="00FF46BC" w:rsidRDefault="005F3688" w:rsidP="00DD060A">
      <w:pPr>
        <w:pStyle w:val="Heading2"/>
      </w:pPr>
      <w:bookmarkStart w:id="98" w:name="_Toc85188554"/>
      <w:r>
        <w:t>M</w:t>
      </w:r>
      <w:r w:rsidR="008D2E24">
        <w:t xml:space="preserve">. </w:t>
      </w:r>
      <w:r w:rsidR="008E3E8E">
        <w:tab/>
      </w:r>
      <w:r w:rsidR="00462214">
        <w:t>Mitigation of Prorationing</w:t>
      </w:r>
      <w:bookmarkEnd w:id="98"/>
    </w:p>
    <w:p w14:paraId="7AA3C639" w14:textId="1423E9E8" w:rsidR="44CF78CA" w:rsidRDefault="44CF78CA" w:rsidP="005F3393">
      <w:pPr>
        <w:contextualSpacing/>
      </w:pPr>
    </w:p>
    <w:p w14:paraId="42BB0F5D" w14:textId="1C52E932" w:rsidR="17A0C98C" w:rsidRPr="00D03F1F" w:rsidRDefault="17A0C98C" w:rsidP="003420B4">
      <w:pPr>
        <w:contextualSpacing/>
        <w:rPr>
          <w:rFonts w:eastAsia="Calibri" w:cs="Calibri"/>
          <w:b/>
        </w:rPr>
      </w:pPr>
      <w:r w:rsidRPr="00D03F1F">
        <w:rPr>
          <w:rFonts w:eastAsia="Calibri" w:cs="Calibri"/>
          <w:b/>
        </w:rPr>
        <w:t>Background</w:t>
      </w:r>
      <w:r w:rsidR="005C12AD">
        <w:rPr>
          <w:rFonts w:eastAsia="Calibri" w:cs="Calibri"/>
          <w:b/>
        </w:rPr>
        <w:t xml:space="preserve"> on Junior Taxing District Prorationing</w:t>
      </w:r>
    </w:p>
    <w:p w14:paraId="6F0CFCE3" w14:textId="03B1D36B" w:rsidR="17A0C98C" w:rsidRPr="00D03F1F" w:rsidRDefault="17A0C98C" w:rsidP="003420B4">
      <w:pPr>
        <w:contextualSpacing/>
        <w:rPr>
          <w:rFonts w:cs="Calibri"/>
        </w:rPr>
      </w:pPr>
      <w:r w:rsidRPr="00D03F1F">
        <w:rPr>
          <w:rFonts w:cs="Calibri"/>
        </w:rPr>
        <w:t>Many jurisdictions in Washington State are authorized to levy property taxes, which require residents of that jurisdiction to pay taxes based on the assessed value of their property.</w:t>
      </w:r>
      <w:r w:rsidR="00C747FD">
        <w:rPr>
          <w:rStyle w:val="FootnoteReference"/>
          <w:rFonts w:cs="Calibri"/>
        </w:rPr>
        <w:footnoteReference w:id="255"/>
      </w:r>
      <w:r w:rsidRPr="00D03F1F">
        <w:rPr>
          <w:rFonts w:cs="Calibri"/>
        </w:rPr>
        <w:t xml:space="preserve"> Each taxing district is authorized to levy a property tax under Revised Code of Washington (RCW) </w:t>
      </w:r>
      <w:r w:rsidR="00E76263">
        <w:rPr>
          <w:rFonts w:cs="Calibri"/>
        </w:rPr>
        <w:t>84.52, which</w:t>
      </w:r>
      <w:r w:rsidRPr="00D03F1F">
        <w:rPr>
          <w:rFonts w:cs="Calibri"/>
        </w:rPr>
        <w:t xml:space="preserve"> provides authorization and provides a limit on the rate that the type of jurisdiction may charge.</w:t>
      </w:r>
      <w:r w:rsidR="008671AC">
        <w:rPr>
          <w:rStyle w:val="FootnoteReference"/>
          <w:rFonts w:cs="Calibri"/>
        </w:rPr>
        <w:footnoteReference w:id="256"/>
      </w:r>
      <w:r w:rsidRPr="00D03F1F">
        <w:rPr>
          <w:rFonts w:cs="Calibri"/>
        </w:rPr>
        <w:t xml:space="preserve"> </w:t>
      </w:r>
    </w:p>
    <w:p w14:paraId="07EC29C1" w14:textId="77777777" w:rsidR="006E51D6" w:rsidRPr="0085093E" w:rsidRDefault="006E51D6" w:rsidP="003420B4">
      <w:pPr>
        <w:contextualSpacing/>
        <w:rPr>
          <w:rFonts w:cs="Calibri"/>
        </w:rPr>
      </w:pPr>
    </w:p>
    <w:p w14:paraId="4F83F911" w14:textId="14413030" w:rsidR="0092698F" w:rsidRPr="00D03F1F" w:rsidRDefault="17A0C98C" w:rsidP="003420B4">
      <w:pPr>
        <w:contextualSpacing/>
        <w:rPr>
          <w:rFonts w:cs="Calibri"/>
        </w:rPr>
      </w:pPr>
      <w:r w:rsidRPr="00D03F1F">
        <w:rPr>
          <w:rFonts w:cs="Calibri"/>
        </w:rPr>
        <w:lastRenderedPageBreak/>
        <w:t xml:space="preserve">Property tax levy prorationing occurs because taxing districts have the individual taxing authority to levy rates that, when combined, add to more than the aggregate property tax limit of $5.90 per </w:t>
      </w:r>
      <w:r w:rsidR="00602B2F">
        <w:rPr>
          <w:rFonts w:cs="Calibri"/>
        </w:rPr>
        <w:t>$1,000</w:t>
      </w:r>
      <w:r w:rsidRPr="00D03F1F">
        <w:rPr>
          <w:rFonts w:cs="Calibri"/>
        </w:rPr>
        <w:t xml:space="preserve"> of </w:t>
      </w:r>
      <w:r w:rsidR="00BF7515">
        <w:rPr>
          <w:rFonts w:cs="Calibri"/>
        </w:rPr>
        <w:t>assessed value</w:t>
      </w:r>
      <w:r w:rsidRPr="00D03F1F">
        <w:rPr>
          <w:rFonts w:cs="Calibri"/>
        </w:rPr>
        <w:t xml:space="preserve">. When a senior taxing district, such as King County, levies a new or increased property tax, it can result in </w:t>
      </w:r>
      <w:r w:rsidR="00B52F08">
        <w:rPr>
          <w:rFonts w:cs="Calibri"/>
        </w:rPr>
        <w:t>prorationing</w:t>
      </w:r>
      <w:r w:rsidR="00B52F08" w:rsidRPr="00D03F1F">
        <w:rPr>
          <w:rFonts w:cs="Calibri"/>
        </w:rPr>
        <w:t xml:space="preserve"> </w:t>
      </w:r>
      <w:r w:rsidR="00B52F08">
        <w:rPr>
          <w:rFonts w:cs="Calibri"/>
        </w:rPr>
        <w:t xml:space="preserve">(or reducing) </w:t>
      </w:r>
      <w:r w:rsidRPr="00D03F1F">
        <w:rPr>
          <w:rFonts w:cs="Calibri"/>
        </w:rPr>
        <w:t>junior taxing districts to a lower rate and therefore receiving less revenue</w:t>
      </w:r>
      <w:r w:rsidR="00B52F08">
        <w:rPr>
          <w:rFonts w:cs="Calibri"/>
        </w:rPr>
        <w:t xml:space="preserve"> in order to comply with the </w:t>
      </w:r>
      <w:r w:rsidR="00215D49">
        <w:rPr>
          <w:rFonts w:cs="Calibri"/>
        </w:rPr>
        <w:t>limit</w:t>
      </w:r>
      <w:r w:rsidRPr="00D03F1F">
        <w:rPr>
          <w:rFonts w:cs="Calibri"/>
        </w:rPr>
        <w:t>.</w:t>
      </w:r>
      <w:r w:rsidR="00D27813">
        <w:rPr>
          <w:rStyle w:val="FootnoteReference"/>
          <w:rFonts w:cs="Calibri"/>
        </w:rPr>
        <w:footnoteReference w:id="257"/>
      </w:r>
      <w:r w:rsidRPr="00D03F1F">
        <w:rPr>
          <w:rFonts w:cs="Calibri"/>
        </w:rPr>
        <w:t xml:space="preserve"> </w:t>
      </w:r>
    </w:p>
    <w:p w14:paraId="72C404D4" w14:textId="77777777" w:rsidR="008F513A" w:rsidRPr="00D03F1F" w:rsidRDefault="008F513A" w:rsidP="003420B4">
      <w:pPr>
        <w:contextualSpacing/>
        <w:rPr>
          <w:rFonts w:cs="Calibri"/>
        </w:rPr>
      </w:pPr>
    </w:p>
    <w:p w14:paraId="338DABE6" w14:textId="670D9CE5" w:rsidR="00530650" w:rsidRPr="00D03F1F" w:rsidRDefault="60A13375" w:rsidP="003420B4">
      <w:pPr>
        <w:contextualSpacing/>
        <w:rPr>
          <w:rFonts w:cs="Calibri"/>
        </w:rPr>
      </w:pPr>
      <w:r w:rsidRPr="00D03F1F">
        <w:rPr>
          <w:rFonts w:cs="Calibri"/>
        </w:rPr>
        <w:t xml:space="preserve">The hierarchy of taxing districts defined in RCW 84.52.010 </w:t>
      </w:r>
      <w:r w:rsidR="00F002BA">
        <w:rPr>
          <w:rFonts w:cs="Calibri"/>
        </w:rPr>
        <w:t>sets a specific</w:t>
      </w:r>
      <w:r w:rsidRPr="00D03F1F">
        <w:rPr>
          <w:rFonts w:cs="Calibri"/>
        </w:rPr>
        <w:t xml:space="preserve"> order </w:t>
      </w:r>
      <w:r w:rsidR="4A3AB4EF" w:rsidRPr="71D2A87E">
        <w:rPr>
          <w:rFonts w:cs="Calibri"/>
        </w:rPr>
        <w:t>by</w:t>
      </w:r>
      <w:r w:rsidRPr="00D03F1F">
        <w:rPr>
          <w:rFonts w:cs="Calibri"/>
        </w:rPr>
        <w:t xml:space="preserve"> which jurisdiction</w:t>
      </w:r>
      <w:r w:rsidR="4A3AB4EF" w:rsidRPr="71D2A87E">
        <w:rPr>
          <w:rFonts w:cs="Calibri"/>
        </w:rPr>
        <w:t xml:space="preserve"> </w:t>
      </w:r>
      <w:r w:rsidRPr="00D03F1F">
        <w:rPr>
          <w:rFonts w:cs="Calibri"/>
        </w:rPr>
        <w:t xml:space="preserve">rates </w:t>
      </w:r>
      <w:r w:rsidR="4A3AB4EF" w:rsidRPr="71D2A87E">
        <w:rPr>
          <w:rFonts w:cs="Calibri"/>
        </w:rPr>
        <w:t xml:space="preserve">are </w:t>
      </w:r>
      <w:r w:rsidRPr="00D03F1F">
        <w:rPr>
          <w:rFonts w:cs="Calibri"/>
        </w:rPr>
        <w:t>prorationed when aggregate levels go above the $5.90 limit.</w:t>
      </w:r>
      <w:r w:rsidRPr="00F46761">
        <w:rPr>
          <w:rStyle w:val="FootnoteReference"/>
          <w:rFonts w:cs="Calibri"/>
        </w:rPr>
        <w:t xml:space="preserve"> </w:t>
      </w:r>
      <w:r w:rsidR="00F46761" w:rsidRPr="00D03F1F">
        <w:rPr>
          <w:rStyle w:val="FootnoteReference"/>
          <w:rFonts w:cs="Calibri"/>
        </w:rPr>
        <w:footnoteReference w:id="258"/>
      </w:r>
      <w:r w:rsidR="00F46761" w:rsidRPr="00D03F1F">
        <w:rPr>
          <w:rFonts w:cs="Calibri"/>
        </w:rPr>
        <w:t xml:space="preserve"> </w:t>
      </w:r>
      <w:r w:rsidR="00F002BA">
        <w:rPr>
          <w:rFonts w:cs="Calibri"/>
        </w:rPr>
        <w:t>The</w:t>
      </w:r>
      <w:r w:rsidRPr="00D03F1F">
        <w:rPr>
          <w:rFonts w:cs="Calibri"/>
        </w:rPr>
        <w:t xml:space="preserve"> King County Department of Assessments </w:t>
      </w:r>
      <w:r w:rsidR="00F002BA">
        <w:rPr>
          <w:rFonts w:cs="Calibri"/>
        </w:rPr>
        <w:t xml:space="preserve">uses this methodology </w:t>
      </w:r>
      <w:r w:rsidRPr="00D03F1F">
        <w:rPr>
          <w:rFonts w:cs="Calibri"/>
        </w:rPr>
        <w:t>to certify levy rates that meet legal requirements each year.</w:t>
      </w:r>
    </w:p>
    <w:p w14:paraId="1983EE8E" w14:textId="77777777" w:rsidR="00887219" w:rsidRPr="00D03F1F" w:rsidRDefault="00887219" w:rsidP="003420B4">
      <w:pPr>
        <w:contextualSpacing/>
        <w:rPr>
          <w:rFonts w:cs="Calibri"/>
        </w:rPr>
      </w:pPr>
    </w:p>
    <w:p w14:paraId="31ADE57D" w14:textId="5ECC67EE" w:rsidR="004A68C3" w:rsidRPr="00D03F1F" w:rsidRDefault="60A13375" w:rsidP="003420B4">
      <w:pPr>
        <w:contextualSpacing/>
        <w:rPr>
          <w:rFonts w:cs="Calibri"/>
        </w:rPr>
      </w:pPr>
      <w:r w:rsidRPr="00D03F1F">
        <w:rPr>
          <w:rFonts w:cs="Calibri"/>
        </w:rPr>
        <w:t xml:space="preserve">Ordinance </w:t>
      </w:r>
      <w:r w:rsidR="2C067F76" w:rsidRPr="00D03F1F">
        <w:rPr>
          <w:rFonts w:cs="Calibri"/>
        </w:rPr>
        <w:t>192</w:t>
      </w:r>
      <w:r w:rsidR="77409189" w:rsidRPr="00D03F1F">
        <w:rPr>
          <w:rFonts w:cs="Calibri"/>
        </w:rPr>
        <w:t>67</w:t>
      </w:r>
      <w:r w:rsidR="007068FC">
        <w:rPr>
          <w:rFonts w:cs="Calibri"/>
        </w:rPr>
        <w:t xml:space="preserve"> </w:t>
      </w:r>
      <w:r w:rsidRPr="00D03F1F">
        <w:rPr>
          <w:rFonts w:cs="Calibri"/>
        </w:rPr>
        <w:t xml:space="preserve">identifies that </w:t>
      </w:r>
      <w:r w:rsidR="00E76263" w:rsidRPr="00FC70FF">
        <w:rPr>
          <w:rFonts w:cs="Calibri"/>
          <w:i/>
        </w:rPr>
        <w:t>Best Starts</w:t>
      </w:r>
      <w:r w:rsidR="00E76263" w:rsidRPr="00D03F1F">
        <w:rPr>
          <w:rFonts w:cs="Calibri"/>
        </w:rPr>
        <w:t xml:space="preserve"> </w:t>
      </w:r>
      <w:r w:rsidRPr="00D03F1F">
        <w:rPr>
          <w:rFonts w:cs="Calibri"/>
        </w:rPr>
        <w:t>levy revenue can be used for eligible services provided by junior taxing districts</w:t>
      </w:r>
      <w:r w:rsidR="4A3AB4EF" w:rsidRPr="71D2A87E">
        <w:rPr>
          <w:rFonts w:cs="Calibri"/>
        </w:rPr>
        <w:t xml:space="preserve"> that have been</w:t>
      </w:r>
      <w:r w:rsidRPr="00D03F1F">
        <w:rPr>
          <w:rFonts w:cs="Calibri"/>
        </w:rPr>
        <w:t xml:space="preserve"> prorationed, in three circumstances:</w:t>
      </w:r>
      <w:r w:rsidR="009C2BE3">
        <w:rPr>
          <w:rFonts w:cs="Calibri"/>
        </w:rPr>
        <w:t xml:space="preserve"> metropolitan park districts </w:t>
      </w:r>
      <w:r w:rsidR="00D718F5">
        <w:rPr>
          <w:rFonts w:cs="Calibri"/>
        </w:rPr>
        <w:t>fire districts, and local hospital districts.</w:t>
      </w:r>
      <w:r w:rsidR="00F46761" w:rsidRPr="00F46761">
        <w:rPr>
          <w:rStyle w:val="FootnoteReference"/>
          <w:rFonts w:cs="Calibri"/>
        </w:rPr>
        <w:t xml:space="preserve"> </w:t>
      </w:r>
      <w:r w:rsidR="00F46761" w:rsidRPr="00D03F1F">
        <w:rPr>
          <w:rStyle w:val="FootnoteReference"/>
          <w:rFonts w:cs="Calibri"/>
        </w:rPr>
        <w:footnoteReference w:id="259"/>
      </w:r>
      <w:r w:rsidR="00385571">
        <w:rPr>
          <w:rStyle w:val="FootnoteReference"/>
          <w:rFonts w:cs="Calibri"/>
        </w:rPr>
        <w:t>,</w:t>
      </w:r>
      <w:r w:rsidR="00F46761">
        <w:rPr>
          <w:rStyle w:val="FootnoteReference"/>
          <w:rFonts w:cs="Calibri"/>
        </w:rPr>
        <w:footnoteReference w:id="260"/>
      </w:r>
      <w:r w:rsidR="00F46761">
        <w:rPr>
          <w:rFonts w:cs="Calibri"/>
        </w:rPr>
        <w:t xml:space="preserve"> </w:t>
      </w:r>
    </w:p>
    <w:p w14:paraId="6B5EDF6A" w14:textId="77777777" w:rsidR="004A68C3" w:rsidRPr="00D03F1F" w:rsidRDefault="004A68C3" w:rsidP="005F3393">
      <w:pPr>
        <w:pStyle w:val="ListParagraph"/>
        <w:rPr>
          <w:rFonts w:cs="Calibri"/>
        </w:rPr>
      </w:pPr>
    </w:p>
    <w:p w14:paraId="7C160FE5" w14:textId="77777777" w:rsidR="00E76263" w:rsidRPr="00D03F1F" w:rsidRDefault="00E76263" w:rsidP="003420B4">
      <w:pPr>
        <w:contextualSpacing/>
        <w:rPr>
          <w:rFonts w:eastAsia="Calibri" w:cs="Calibri"/>
          <w:b/>
        </w:rPr>
      </w:pPr>
      <w:r w:rsidRPr="00783BC2">
        <w:rPr>
          <w:rFonts w:eastAsia="Calibri" w:cs="Calibri"/>
          <w:b/>
          <w:i/>
          <w:iCs/>
        </w:rPr>
        <w:t>Best Starts</w:t>
      </w:r>
      <w:r>
        <w:rPr>
          <w:rFonts w:eastAsia="Calibri" w:cs="Calibri"/>
          <w:b/>
        </w:rPr>
        <w:t xml:space="preserve"> Plan to Mitigate Any Prorationing</w:t>
      </w:r>
    </w:p>
    <w:p w14:paraId="5A50E864" w14:textId="71E90D45" w:rsidR="00A5130D" w:rsidRPr="00D03F1F" w:rsidRDefault="00EC7534" w:rsidP="003420B4">
      <w:pPr>
        <w:contextualSpacing/>
        <w:rPr>
          <w:rFonts w:cs="Calibri"/>
        </w:rPr>
      </w:pPr>
      <w:r>
        <w:rPr>
          <w:rFonts w:cs="Calibri"/>
        </w:rPr>
        <w:t>E</w:t>
      </w:r>
      <w:r w:rsidR="17A0C98C" w:rsidRPr="00D03F1F">
        <w:rPr>
          <w:rFonts w:cs="Calibri"/>
        </w:rPr>
        <w:t xml:space="preserve">ach year after the King County Department of Assessments certifies levy rates, the County will calculate </w:t>
      </w:r>
      <w:r w:rsidR="00F002BA">
        <w:rPr>
          <w:rFonts w:cs="Calibri"/>
        </w:rPr>
        <w:t>whether and how much any</w:t>
      </w:r>
      <w:r w:rsidR="17A0C98C" w:rsidRPr="00D03F1F">
        <w:rPr>
          <w:rFonts w:cs="Calibri"/>
        </w:rPr>
        <w:t xml:space="preserve"> metropolitan park districts</w:t>
      </w:r>
      <w:r w:rsidR="00C03A42">
        <w:rPr>
          <w:rFonts w:cs="Calibri"/>
        </w:rPr>
        <w:t>, hospital</w:t>
      </w:r>
      <w:r w:rsidR="17A0C98C" w:rsidRPr="00D03F1F">
        <w:rPr>
          <w:rFonts w:cs="Calibri"/>
        </w:rPr>
        <w:t xml:space="preserve"> </w:t>
      </w:r>
      <w:r w:rsidR="00F002BA">
        <w:rPr>
          <w:rFonts w:cs="Calibri"/>
        </w:rPr>
        <w:t>districts, or</w:t>
      </w:r>
      <w:r w:rsidR="17A0C98C" w:rsidRPr="00D03F1F">
        <w:rPr>
          <w:rFonts w:cs="Calibri"/>
        </w:rPr>
        <w:t xml:space="preserve"> fire districts are prorationed</w:t>
      </w:r>
      <w:r w:rsidR="001F5A2D">
        <w:rPr>
          <w:rFonts w:cs="Calibri"/>
        </w:rPr>
        <w:t>.</w:t>
      </w:r>
      <w:r w:rsidR="001F5A2D">
        <w:rPr>
          <w:rStyle w:val="FootnoteReference"/>
        </w:rPr>
        <w:footnoteReference w:id="261"/>
      </w:r>
      <w:r w:rsidR="002A1E36" w:rsidRPr="002A1E36">
        <w:t> </w:t>
      </w:r>
      <w:r w:rsidR="00B44237">
        <w:t xml:space="preserve">If prorationing occurs, </w:t>
      </w:r>
      <w:r w:rsidR="00B44237" w:rsidRPr="00FC70FF">
        <w:rPr>
          <w:rFonts w:cs="Calibri"/>
          <w:i/>
        </w:rPr>
        <w:t>Best Starts</w:t>
      </w:r>
      <w:r w:rsidR="00222171">
        <w:rPr>
          <w:rFonts w:cs="Calibri"/>
        </w:rPr>
        <w:t xml:space="preserve"> will partner with </w:t>
      </w:r>
      <w:r w:rsidR="00DA1C7C">
        <w:rPr>
          <w:rFonts w:cs="Calibri"/>
        </w:rPr>
        <w:t>jurisdictions to identify eligible services to fund</w:t>
      </w:r>
      <w:r w:rsidR="005F5840">
        <w:rPr>
          <w:rFonts w:cs="Calibri"/>
        </w:rPr>
        <w:t xml:space="preserve"> that</w:t>
      </w:r>
      <w:r w:rsidR="17A0C98C" w:rsidRPr="00D03F1F">
        <w:rPr>
          <w:rFonts w:cs="Calibri"/>
        </w:rPr>
        <w:t xml:space="preserve"> include services that improve health and wellbeing outcomes of children and youth, as well as the families and the communities in which they live.</w:t>
      </w:r>
    </w:p>
    <w:p w14:paraId="35BCB9AD" w14:textId="77777777" w:rsidR="00923105" w:rsidRPr="00D03F1F" w:rsidRDefault="00923105" w:rsidP="003420B4">
      <w:pPr>
        <w:contextualSpacing/>
        <w:rPr>
          <w:rFonts w:eastAsia="Calibri" w:cs="Calibri"/>
        </w:rPr>
      </w:pPr>
    </w:p>
    <w:p w14:paraId="1AF2C11D" w14:textId="5958138E" w:rsidR="00602B2F" w:rsidRPr="00D03F1F" w:rsidRDefault="00602B2F" w:rsidP="003420B4">
      <w:pPr>
        <w:contextualSpacing/>
        <w:rPr>
          <w:rFonts w:eastAsia="Calibri" w:cs="Calibri"/>
          <w:b/>
        </w:rPr>
      </w:pPr>
      <w:r>
        <w:rPr>
          <w:rFonts w:eastAsia="Calibri" w:cs="Calibri"/>
          <w:b/>
        </w:rPr>
        <w:t>Current Modeling Anticipates No Prorationing in 2022-2027</w:t>
      </w:r>
    </w:p>
    <w:p w14:paraId="3B7E851D" w14:textId="0FBDCA12" w:rsidR="005E50B2" w:rsidRPr="0015515B" w:rsidRDefault="00923105" w:rsidP="003420B4">
      <w:pPr>
        <w:contextualSpacing/>
        <w:rPr>
          <w:rFonts w:cs="Calibri"/>
        </w:rPr>
      </w:pPr>
      <w:r w:rsidRPr="00D03F1F">
        <w:rPr>
          <w:rFonts w:cs="Calibri"/>
        </w:rPr>
        <w:t xml:space="preserve">Current modeling </w:t>
      </w:r>
      <w:r w:rsidR="00602B2F">
        <w:rPr>
          <w:rFonts w:cs="Calibri"/>
        </w:rPr>
        <w:t xml:space="preserve">as of mid-2021 </w:t>
      </w:r>
      <w:r w:rsidRPr="00D03F1F">
        <w:rPr>
          <w:rFonts w:cs="Calibri"/>
        </w:rPr>
        <w:t xml:space="preserve">does not suggest prorationing will occur during </w:t>
      </w:r>
      <w:r w:rsidR="00B44237">
        <w:rPr>
          <w:rFonts w:cs="Calibri"/>
        </w:rPr>
        <w:t>the 2022-2027</w:t>
      </w:r>
      <w:r w:rsidR="00B44237" w:rsidRPr="00D03F1F">
        <w:rPr>
          <w:rFonts w:cs="Calibri"/>
        </w:rPr>
        <w:t xml:space="preserve"> </w:t>
      </w:r>
      <w:r w:rsidRPr="00D03F1F">
        <w:rPr>
          <w:rFonts w:cs="Calibri"/>
        </w:rPr>
        <w:t>levy period given current levy rates countywide</w:t>
      </w:r>
      <w:r w:rsidR="00B44237">
        <w:rPr>
          <w:rFonts w:cs="Calibri"/>
        </w:rPr>
        <w:t>. If</w:t>
      </w:r>
      <w:r w:rsidRPr="00D03F1F">
        <w:rPr>
          <w:rFonts w:cs="Calibri"/>
        </w:rPr>
        <w:t xml:space="preserve"> economic trends </w:t>
      </w:r>
      <w:r w:rsidR="00B44237">
        <w:rPr>
          <w:rFonts w:cs="Calibri"/>
        </w:rPr>
        <w:t>reduce</w:t>
      </w:r>
      <w:r w:rsidR="00B44237" w:rsidRPr="00D03F1F">
        <w:rPr>
          <w:rFonts w:cs="Calibri"/>
        </w:rPr>
        <w:t xml:space="preserve"> </w:t>
      </w:r>
      <w:r w:rsidRPr="00D03F1F">
        <w:rPr>
          <w:rFonts w:cs="Calibri"/>
        </w:rPr>
        <w:t>assessed property value or rate</w:t>
      </w:r>
      <w:r w:rsidR="00B44237">
        <w:rPr>
          <w:rFonts w:cs="Calibri"/>
        </w:rPr>
        <w:t xml:space="preserve">s </w:t>
      </w:r>
      <w:r w:rsidRPr="00D03F1F">
        <w:rPr>
          <w:rFonts w:cs="Calibri"/>
        </w:rPr>
        <w:t xml:space="preserve">from other taxing districts </w:t>
      </w:r>
      <w:r w:rsidR="00B44237">
        <w:rPr>
          <w:rFonts w:cs="Calibri"/>
        </w:rPr>
        <w:t xml:space="preserve">increase, this forecast </w:t>
      </w:r>
      <w:r w:rsidRPr="00D03F1F">
        <w:rPr>
          <w:rFonts w:cs="Calibri"/>
        </w:rPr>
        <w:t>may change.</w:t>
      </w:r>
      <w:bookmarkStart w:id="99" w:name="_Hlk74252877"/>
    </w:p>
    <w:bookmarkEnd w:id="99"/>
    <w:p w14:paraId="7FC578BB" w14:textId="77777777" w:rsidR="005E50B2" w:rsidRPr="00D03F1F" w:rsidRDefault="005E50B2" w:rsidP="005E50B2">
      <w:pPr>
        <w:contextualSpacing/>
        <w:rPr>
          <w:rFonts w:eastAsiaTheme="majorEastAsia" w:cs="Calibri"/>
          <w:color w:val="2F5496" w:themeColor="accent1" w:themeShade="BF"/>
        </w:rPr>
      </w:pPr>
    </w:p>
    <w:p w14:paraId="02DACF38" w14:textId="77777777" w:rsidR="004B7301" w:rsidRDefault="004B7301">
      <w:pPr>
        <w:spacing w:line="240" w:lineRule="auto"/>
        <w:rPr>
          <w:rFonts w:eastAsiaTheme="majorEastAsia" w:cstheme="majorBidi"/>
          <w:b/>
          <w:bCs/>
          <w:color w:val="2F5496" w:themeColor="accent1" w:themeShade="BF"/>
          <w:sz w:val="28"/>
          <w:szCs w:val="32"/>
        </w:rPr>
      </w:pPr>
      <w:r>
        <w:rPr>
          <w:b/>
          <w:bCs/>
        </w:rPr>
        <w:br w:type="page"/>
      </w:r>
    </w:p>
    <w:p w14:paraId="7EC732E8" w14:textId="587163AE" w:rsidR="00462214" w:rsidRPr="004B7301" w:rsidRDefault="00661705" w:rsidP="009C3A0B">
      <w:pPr>
        <w:pStyle w:val="Heading1"/>
        <w:rPr>
          <w:b/>
        </w:rPr>
      </w:pPr>
      <w:bookmarkStart w:id="100" w:name="_Toc85188555"/>
      <w:r w:rsidRPr="004B7301">
        <w:rPr>
          <w:b/>
        </w:rPr>
        <w:lastRenderedPageBreak/>
        <w:t>V.</w:t>
      </w:r>
      <w:r w:rsidR="00224D92" w:rsidRPr="004B7301">
        <w:rPr>
          <w:b/>
        </w:rPr>
        <w:tab/>
      </w:r>
      <w:r w:rsidR="00462214" w:rsidRPr="004B7301">
        <w:rPr>
          <w:b/>
        </w:rPr>
        <w:t>Conclusion &amp; Next Steps</w:t>
      </w:r>
      <w:bookmarkEnd w:id="100"/>
    </w:p>
    <w:p w14:paraId="2E8818E8" w14:textId="77777777" w:rsidR="002F6518" w:rsidRPr="002F6518" w:rsidRDefault="002F6518" w:rsidP="005F3393">
      <w:pPr>
        <w:contextualSpacing/>
      </w:pPr>
    </w:p>
    <w:p w14:paraId="54746B28" w14:textId="33AF77A3" w:rsidR="007A4502" w:rsidRDefault="00797683" w:rsidP="00797683">
      <w:pPr>
        <w:pStyle w:val="CommentText"/>
        <w:rPr>
          <w:rFonts w:cs="Calibri"/>
        </w:rPr>
      </w:pPr>
      <w:r w:rsidRPr="63F1F6BC">
        <w:t xml:space="preserve">The </w:t>
      </w:r>
      <w:r w:rsidRPr="00D03F1F">
        <w:rPr>
          <w:rFonts w:cs="Calibri"/>
          <w:i/>
        </w:rPr>
        <w:t xml:space="preserve">Best Starts for </w:t>
      </w:r>
      <w:r w:rsidRPr="00D03F1F">
        <w:rPr>
          <w:rFonts w:cs="Calibri"/>
          <w:i/>
          <w:iCs/>
        </w:rPr>
        <w:t>Kids</w:t>
      </w:r>
      <w:r w:rsidRPr="63F1F6BC">
        <w:t xml:space="preserve"> </w:t>
      </w:r>
      <w:r>
        <w:t>l</w:t>
      </w:r>
      <w:r w:rsidRPr="63F1F6BC">
        <w:t>evy</w:t>
      </w:r>
      <w:r w:rsidR="00A03314">
        <w:t xml:space="preserve"> and the programs and services it supports</w:t>
      </w:r>
      <w:r w:rsidRPr="63F1F6BC">
        <w:t xml:space="preserve"> </w:t>
      </w:r>
      <w:r>
        <w:t>reflect</w:t>
      </w:r>
      <w:r w:rsidRPr="63F1F6BC">
        <w:t xml:space="preserve"> the fundamental belie</w:t>
      </w:r>
      <w:r>
        <w:t>fs</w:t>
      </w:r>
      <w:r w:rsidRPr="63F1F6BC">
        <w:t xml:space="preserve"> that King County is a region of considerable opportunity, that all residents benefit when </w:t>
      </w:r>
      <w:r>
        <w:t xml:space="preserve">the King County community supports </w:t>
      </w:r>
      <w:r w:rsidRPr="63F1F6BC">
        <w:t>each child, youth, and young adult</w:t>
      </w:r>
      <w:r w:rsidRPr="63F1F6BC" w:rsidDel="00E1643F">
        <w:t xml:space="preserve"> </w:t>
      </w:r>
      <w:r w:rsidRPr="63F1F6BC">
        <w:t>to achieve their fullest potential</w:t>
      </w:r>
      <w:r w:rsidR="00F032D4">
        <w:t>,</w:t>
      </w:r>
      <w:r>
        <w:t xml:space="preserve"> and that lives</w:t>
      </w:r>
      <w:r w:rsidRPr="63F1F6BC">
        <w:t xml:space="preserve"> of health, prosperity and purpose must be within reach for every King County resident</w:t>
      </w:r>
      <w:r w:rsidR="006B46C1">
        <w:t xml:space="preserve">. </w:t>
      </w:r>
      <w:r w:rsidR="000D3AEE">
        <w:t xml:space="preserve">To </w:t>
      </w:r>
      <w:r w:rsidR="00B21418">
        <w:rPr>
          <w:rFonts w:cs="Calibri"/>
        </w:rPr>
        <w:t>create these opportunities for King County’s young people</w:t>
      </w:r>
      <w:r w:rsidR="00CB7CB8">
        <w:rPr>
          <w:rFonts w:cs="Calibri"/>
        </w:rPr>
        <w:t xml:space="preserve">, </w:t>
      </w:r>
      <w:r w:rsidR="00737B0D" w:rsidRPr="00354EFE">
        <w:rPr>
          <w:rFonts w:cs="Calibri"/>
          <w:i/>
        </w:rPr>
        <w:t>Best Starts</w:t>
      </w:r>
      <w:r w:rsidR="00737B0D">
        <w:rPr>
          <w:rFonts w:cs="Calibri"/>
        </w:rPr>
        <w:t xml:space="preserve"> </w:t>
      </w:r>
      <w:r w:rsidR="00ED0BB5">
        <w:rPr>
          <w:rFonts w:cs="Calibri"/>
        </w:rPr>
        <w:t xml:space="preserve">will maintain </w:t>
      </w:r>
      <w:r w:rsidR="000D3AEE">
        <w:rPr>
          <w:rFonts w:cs="Calibri"/>
        </w:rPr>
        <w:t xml:space="preserve">upstream prevention and promotion </w:t>
      </w:r>
      <w:r w:rsidR="00C41E97">
        <w:rPr>
          <w:rFonts w:cs="Calibri"/>
        </w:rPr>
        <w:t xml:space="preserve">investments </w:t>
      </w:r>
      <w:r w:rsidR="000D3AEE">
        <w:rPr>
          <w:rFonts w:cs="Calibri"/>
        </w:rPr>
        <w:t xml:space="preserve">from the first Best Starts levy, </w:t>
      </w:r>
      <w:r w:rsidR="00C41E97">
        <w:rPr>
          <w:rFonts w:cs="Calibri"/>
        </w:rPr>
        <w:t>while building</w:t>
      </w:r>
      <w:r w:rsidR="00453033">
        <w:rPr>
          <w:rFonts w:cs="Calibri"/>
        </w:rPr>
        <w:t xml:space="preserve"> </w:t>
      </w:r>
      <w:r w:rsidR="000D3AEE">
        <w:rPr>
          <w:rFonts w:cs="Calibri"/>
        </w:rPr>
        <w:t>upon its successes by launching</w:t>
      </w:r>
      <w:r w:rsidR="00453033">
        <w:rPr>
          <w:rFonts w:cs="Calibri"/>
        </w:rPr>
        <w:t xml:space="preserve"> new programming </w:t>
      </w:r>
      <w:r w:rsidR="006A046F">
        <w:rPr>
          <w:rFonts w:cs="Calibri"/>
        </w:rPr>
        <w:t>including</w:t>
      </w:r>
      <w:r w:rsidR="00453033">
        <w:rPr>
          <w:rFonts w:cs="Calibri"/>
        </w:rPr>
        <w:t xml:space="preserve"> child care</w:t>
      </w:r>
      <w:r w:rsidR="005F29A8">
        <w:rPr>
          <w:rFonts w:cs="Calibri"/>
        </w:rPr>
        <w:t xml:space="preserve"> subsides</w:t>
      </w:r>
      <w:r w:rsidR="000F26C0">
        <w:rPr>
          <w:rFonts w:cs="Calibri"/>
        </w:rPr>
        <w:t>,</w:t>
      </w:r>
      <w:r w:rsidR="00453033">
        <w:rPr>
          <w:rFonts w:cs="Calibri"/>
        </w:rPr>
        <w:t xml:space="preserve"> increas</w:t>
      </w:r>
      <w:r w:rsidR="005F29A8">
        <w:rPr>
          <w:rFonts w:cs="Calibri"/>
        </w:rPr>
        <w:t>ing</w:t>
      </w:r>
      <w:r w:rsidR="00453033">
        <w:rPr>
          <w:rFonts w:cs="Calibri"/>
        </w:rPr>
        <w:t xml:space="preserve"> investments in programs for older youth</w:t>
      </w:r>
      <w:r w:rsidR="000D3AEE">
        <w:rPr>
          <w:rFonts w:cs="Calibri"/>
        </w:rPr>
        <w:t xml:space="preserve">, and capital </w:t>
      </w:r>
      <w:r w:rsidR="00F50237">
        <w:rPr>
          <w:rFonts w:cs="Calibri"/>
        </w:rPr>
        <w:t xml:space="preserve">investments for buildings and </w:t>
      </w:r>
      <w:r w:rsidR="000D3AEE">
        <w:rPr>
          <w:rFonts w:cs="Calibri"/>
        </w:rPr>
        <w:t>facilities serving children and youth</w:t>
      </w:r>
      <w:r w:rsidR="006B46C1">
        <w:rPr>
          <w:rFonts w:cs="Calibri"/>
        </w:rPr>
        <w:t>.</w:t>
      </w:r>
      <w:r w:rsidR="00791013">
        <w:rPr>
          <w:rFonts w:cs="Calibri"/>
        </w:rPr>
        <w:t xml:space="preserve"> </w:t>
      </w:r>
      <w:r w:rsidR="008331F8" w:rsidRPr="00354EFE">
        <w:rPr>
          <w:rFonts w:cs="Calibri"/>
          <w:i/>
        </w:rPr>
        <w:t>Best Starts</w:t>
      </w:r>
      <w:r w:rsidR="008331F8">
        <w:rPr>
          <w:rFonts w:cs="Calibri"/>
        </w:rPr>
        <w:t xml:space="preserve"> will also continue</w:t>
      </w:r>
      <w:r w:rsidR="00453033">
        <w:rPr>
          <w:rFonts w:cs="Calibri"/>
        </w:rPr>
        <w:t xml:space="preserve"> </w:t>
      </w:r>
      <w:r w:rsidR="00DA5465">
        <w:rPr>
          <w:rFonts w:cs="Calibri"/>
        </w:rPr>
        <w:t>to</w:t>
      </w:r>
      <w:r w:rsidR="00453033">
        <w:rPr>
          <w:rFonts w:cs="Calibri"/>
        </w:rPr>
        <w:t xml:space="preserve"> </w:t>
      </w:r>
      <w:r w:rsidR="00295640">
        <w:rPr>
          <w:rFonts w:cs="Calibri"/>
        </w:rPr>
        <w:t xml:space="preserve">provide </w:t>
      </w:r>
      <w:r w:rsidR="00160BD0">
        <w:rPr>
          <w:rFonts w:cs="Calibri"/>
        </w:rPr>
        <w:t>capacity building for</w:t>
      </w:r>
      <w:r w:rsidR="00453033">
        <w:rPr>
          <w:rFonts w:cs="Calibri"/>
        </w:rPr>
        <w:t xml:space="preserve"> organizations in </w:t>
      </w:r>
      <w:r w:rsidR="008E7F3A">
        <w:rPr>
          <w:rFonts w:cs="Calibri"/>
        </w:rPr>
        <w:t>their</w:t>
      </w:r>
      <w:r w:rsidR="00453033">
        <w:rPr>
          <w:rFonts w:cs="Calibri"/>
        </w:rPr>
        <w:t xml:space="preserve"> efforts to maintain sustainability and grow in new areas</w:t>
      </w:r>
      <w:r w:rsidR="00E30704">
        <w:rPr>
          <w:rFonts w:cs="Calibri"/>
        </w:rPr>
        <w:t>.</w:t>
      </w:r>
      <w:r w:rsidR="00453033">
        <w:rPr>
          <w:rFonts w:cs="Calibri"/>
        </w:rPr>
        <w:t xml:space="preserve"> </w:t>
      </w:r>
    </w:p>
    <w:p w14:paraId="54A056DE" w14:textId="77777777" w:rsidR="00AF21BF" w:rsidRDefault="00AF21BF" w:rsidP="00797683">
      <w:pPr>
        <w:pStyle w:val="CommentText"/>
        <w:rPr>
          <w:rFonts w:cs="Calibri"/>
        </w:rPr>
      </w:pPr>
    </w:p>
    <w:p w14:paraId="198C5BC7" w14:textId="0B6DC138" w:rsidR="00DE6A59" w:rsidRDefault="00AF21BF" w:rsidP="00DE6A59">
      <w:pPr>
        <w:pStyle w:val="CommentText"/>
        <w:rPr>
          <w:rFonts w:cs="Calibri"/>
        </w:rPr>
      </w:pPr>
      <w:r w:rsidRPr="00354EFE">
        <w:rPr>
          <w:i/>
        </w:rPr>
        <w:t>Best Starts</w:t>
      </w:r>
      <w:r w:rsidRPr="00403FBA">
        <w:t xml:space="preserve"> </w:t>
      </w:r>
      <w:r w:rsidR="000E19CD">
        <w:t xml:space="preserve">will continue to </w:t>
      </w:r>
      <w:r w:rsidRPr="00403FBA">
        <w:t xml:space="preserve">promote changes in policies and systems </w:t>
      </w:r>
      <w:r w:rsidR="004D1AC4">
        <w:t xml:space="preserve">to </w:t>
      </w:r>
      <w:r w:rsidR="00B25CD6">
        <w:t xml:space="preserve">dismantle </w:t>
      </w:r>
      <w:r w:rsidRPr="00403FBA">
        <w:t xml:space="preserve">long standing racial inequities in health outcomes, such as inequities in maternal and infant health and lack of quality, affordable childcare for working </w:t>
      </w:r>
      <w:r w:rsidRPr="00D03F1F">
        <w:t>families.</w:t>
      </w:r>
      <w:r w:rsidRPr="00D03F1F">
        <w:rPr>
          <w:rStyle w:val="FootnoteReference"/>
          <w:rFonts w:cs="Calibri"/>
        </w:rPr>
        <w:footnoteReference w:id="262"/>
      </w:r>
      <w:r w:rsidRPr="00D03F1F">
        <w:t xml:space="preserve">  </w:t>
      </w:r>
      <w:r>
        <w:t>C</w:t>
      </w:r>
      <w:r w:rsidRPr="00D03F1F">
        <w:t xml:space="preserve">ommunities </w:t>
      </w:r>
      <w:r w:rsidR="00B25CD6">
        <w:t>will continue to</w:t>
      </w:r>
      <w:r w:rsidRPr="00D03F1F">
        <w:t xml:space="preserve"> benefi</w:t>
      </w:r>
      <w:r w:rsidR="00B25CD6">
        <w:t>t</w:t>
      </w:r>
      <w:r w:rsidRPr="00D03F1F">
        <w:t xml:space="preserve"> from new funding</w:t>
      </w:r>
      <w:r w:rsidR="003858A7">
        <w:t xml:space="preserve"> </w:t>
      </w:r>
      <w:r w:rsidR="00CD76F2">
        <w:t xml:space="preserve">to </w:t>
      </w:r>
      <w:r w:rsidR="003858A7">
        <w:t xml:space="preserve">support </w:t>
      </w:r>
      <w:r w:rsidR="0060065C">
        <w:t xml:space="preserve">happy, healthy, safe and thriving children, youth and communities. </w:t>
      </w:r>
    </w:p>
    <w:p w14:paraId="3D3A855C" w14:textId="77777777" w:rsidR="00EB6314" w:rsidRDefault="00EB6314" w:rsidP="00B25CD6">
      <w:pPr>
        <w:pStyle w:val="CommentText"/>
        <w:rPr>
          <w:rFonts w:cs="Calibri"/>
        </w:rPr>
      </w:pPr>
    </w:p>
    <w:p w14:paraId="470107A5" w14:textId="0C9A3B6B" w:rsidR="00A44162" w:rsidRDefault="00CD76F2" w:rsidP="005F3393">
      <w:pPr>
        <w:contextualSpacing/>
        <w:rPr>
          <w:rFonts w:cs="Calibri"/>
        </w:rPr>
      </w:pPr>
      <w:r>
        <w:rPr>
          <w:rFonts w:cs="Calibri"/>
        </w:rPr>
        <w:t xml:space="preserve">Upon adoption of this </w:t>
      </w:r>
      <w:r w:rsidR="00252B3B">
        <w:rPr>
          <w:rFonts w:cs="Calibri"/>
        </w:rPr>
        <w:t xml:space="preserve">implementation </w:t>
      </w:r>
      <w:r>
        <w:rPr>
          <w:rFonts w:cs="Calibri"/>
        </w:rPr>
        <w:t>plan by the King County Council, Best Starts will b</w:t>
      </w:r>
      <w:r w:rsidR="00252B3B">
        <w:rPr>
          <w:rFonts w:cs="Calibri"/>
        </w:rPr>
        <w:t>ring this plan to life by working</w:t>
      </w:r>
      <w:r w:rsidR="00B409F2">
        <w:rPr>
          <w:rFonts w:cs="Calibri"/>
        </w:rPr>
        <w:t xml:space="preserve"> with the community to</w:t>
      </w:r>
      <w:r w:rsidR="00242454">
        <w:rPr>
          <w:rFonts w:cs="Calibri"/>
        </w:rPr>
        <w:t xml:space="preserve"> </w:t>
      </w:r>
      <w:r w:rsidR="00D948D5">
        <w:rPr>
          <w:rFonts w:cs="Calibri"/>
        </w:rPr>
        <w:t>refine</w:t>
      </w:r>
      <w:r w:rsidR="00242454">
        <w:rPr>
          <w:rFonts w:cs="Calibri"/>
        </w:rPr>
        <w:t xml:space="preserve"> each strategy </w:t>
      </w:r>
      <w:r w:rsidR="00D948D5">
        <w:rPr>
          <w:rFonts w:cs="Calibri"/>
        </w:rPr>
        <w:t xml:space="preserve">to </w:t>
      </w:r>
      <w:r>
        <w:rPr>
          <w:rFonts w:cs="Calibri"/>
        </w:rPr>
        <w:t xml:space="preserve">ensure that its implementation </w:t>
      </w:r>
      <w:r w:rsidR="00D948D5">
        <w:rPr>
          <w:rFonts w:cs="Calibri"/>
        </w:rPr>
        <w:t>meet</w:t>
      </w:r>
      <w:r w:rsidR="00252B3B">
        <w:rPr>
          <w:rFonts w:cs="Calibri"/>
        </w:rPr>
        <w:t>s</w:t>
      </w:r>
      <w:r w:rsidR="00D948D5">
        <w:rPr>
          <w:rFonts w:cs="Calibri"/>
        </w:rPr>
        <w:t xml:space="preserve"> community need</w:t>
      </w:r>
      <w:r w:rsidR="00252B3B">
        <w:rPr>
          <w:rFonts w:cs="Calibri"/>
        </w:rPr>
        <w:t xml:space="preserve">. Best Starts will </w:t>
      </w:r>
      <w:r w:rsidR="00E51396">
        <w:rPr>
          <w:rFonts w:cs="Calibri"/>
        </w:rPr>
        <w:t>also</w:t>
      </w:r>
      <w:r w:rsidR="00252B3B">
        <w:rPr>
          <w:rFonts w:cs="Calibri"/>
        </w:rPr>
        <w:t xml:space="preserve"> continue its ongoing effort </w:t>
      </w:r>
      <w:r w:rsidR="00242454">
        <w:rPr>
          <w:rFonts w:cs="Calibri"/>
        </w:rPr>
        <w:t xml:space="preserve">to make it easier for organizations to apply for funds and </w:t>
      </w:r>
      <w:r w:rsidR="007924B5">
        <w:rPr>
          <w:rFonts w:cs="Calibri"/>
        </w:rPr>
        <w:t xml:space="preserve">begin to prepare </w:t>
      </w:r>
      <w:r w:rsidR="00DC27D5">
        <w:rPr>
          <w:rFonts w:cs="Calibri"/>
        </w:rPr>
        <w:t xml:space="preserve">RFPs so that </w:t>
      </w:r>
      <w:r w:rsidR="000F26C0">
        <w:rPr>
          <w:rFonts w:cs="Calibri"/>
        </w:rPr>
        <w:t xml:space="preserve">strategies </w:t>
      </w:r>
      <w:r w:rsidR="00E51396">
        <w:rPr>
          <w:rFonts w:cs="Calibri"/>
        </w:rPr>
        <w:t>can</w:t>
      </w:r>
      <w:r w:rsidR="000F26C0">
        <w:rPr>
          <w:rFonts w:cs="Calibri"/>
        </w:rPr>
        <w:t xml:space="preserve"> </w:t>
      </w:r>
      <w:r w:rsidR="00953591">
        <w:rPr>
          <w:rFonts w:cs="Calibri"/>
        </w:rPr>
        <w:t xml:space="preserve">continue and build </w:t>
      </w:r>
      <w:r w:rsidR="000F26C0">
        <w:rPr>
          <w:rFonts w:cs="Calibri"/>
        </w:rPr>
        <w:t>at the beginning of 2022</w:t>
      </w:r>
      <w:r w:rsidR="00D50EE7">
        <w:rPr>
          <w:rFonts w:cs="Calibri"/>
        </w:rPr>
        <w:t>.</w:t>
      </w:r>
      <w:r w:rsidR="00791013">
        <w:rPr>
          <w:rFonts w:cs="Calibri"/>
        </w:rPr>
        <w:t xml:space="preserve"> </w:t>
      </w:r>
      <w:r w:rsidR="00F97D43">
        <w:rPr>
          <w:rFonts w:cs="Calibri"/>
        </w:rPr>
        <w:t xml:space="preserve">All currently funded investment strategies will be re-procured during the 2022-2023 timeframe. </w:t>
      </w:r>
      <w:r w:rsidR="00F97D43" w:rsidDel="00F97D43">
        <w:rPr>
          <w:rStyle w:val="CommentReference"/>
        </w:rPr>
        <w:t xml:space="preserve"> </w:t>
      </w:r>
      <w:r w:rsidR="005C59B9">
        <w:rPr>
          <w:rFonts w:cs="Calibri"/>
        </w:rPr>
        <w:t xml:space="preserve">To assure transparency and accountability, </w:t>
      </w:r>
      <w:r w:rsidR="005C59B9" w:rsidRPr="003420B4">
        <w:rPr>
          <w:rFonts w:cs="Calibri"/>
          <w:i/>
          <w:iCs/>
        </w:rPr>
        <w:t>B</w:t>
      </w:r>
      <w:r w:rsidR="00DF2E98" w:rsidRPr="003420B4">
        <w:rPr>
          <w:rFonts w:cs="Calibri"/>
          <w:i/>
          <w:iCs/>
        </w:rPr>
        <w:t>est Starts</w:t>
      </w:r>
      <w:r w:rsidR="00DF2E98">
        <w:rPr>
          <w:rFonts w:cs="Calibri"/>
        </w:rPr>
        <w:t xml:space="preserve"> will report on </w:t>
      </w:r>
      <w:r w:rsidR="005C59B9">
        <w:rPr>
          <w:rFonts w:cs="Calibri"/>
        </w:rPr>
        <w:t xml:space="preserve">its </w:t>
      </w:r>
      <w:r w:rsidR="00DF2E98">
        <w:rPr>
          <w:rFonts w:cs="Calibri"/>
        </w:rPr>
        <w:t>outcomes</w:t>
      </w:r>
      <w:r w:rsidR="00450C65">
        <w:rPr>
          <w:rFonts w:cs="Calibri"/>
        </w:rPr>
        <w:t xml:space="preserve">, </w:t>
      </w:r>
      <w:r w:rsidR="00DF2E98">
        <w:rPr>
          <w:rFonts w:cs="Calibri"/>
        </w:rPr>
        <w:t>expenditures</w:t>
      </w:r>
      <w:r w:rsidR="00450C65">
        <w:rPr>
          <w:rFonts w:cs="Calibri"/>
        </w:rPr>
        <w:t xml:space="preserve">, and program implementation </w:t>
      </w:r>
      <w:r w:rsidR="00DF2E98">
        <w:rPr>
          <w:rFonts w:cs="Calibri"/>
        </w:rPr>
        <w:t>annually</w:t>
      </w:r>
      <w:r w:rsidR="00450C65">
        <w:rPr>
          <w:rFonts w:cs="Calibri"/>
        </w:rPr>
        <w:t>.</w:t>
      </w:r>
    </w:p>
    <w:p w14:paraId="333491AE" w14:textId="77777777" w:rsidR="00B66A65" w:rsidRDefault="00B66A65">
      <w:pPr>
        <w:spacing w:line="240" w:lineRule="auto"/>
        <w:rPr>
          <w:rFonts w:eastAsiaTheme="majorEastAsia" w:cstheme="majorBidi"/>
          <w:color w:val="2F5496" w:themeColor="accent1" w:themeShade="BF"/>
          <w:sz w:val="28"/>
          <w:szCs w:val="32"/>
        </w:rPr>
      </w:pPr>
      <w:bookmarkStart w:id="101" w:name="_Toc75175308"/>
      <w:r>
        <w:br w:type="page"/>
      </w:r>
    </w:p>
    <w:p w14:paraId="51A5EA62" w14:textId="051C8C07" w:rsidR="00D70758" w:rsidRPr="004B7301" w:rsidRDefault="00D70758" w:rsidP="00D70758">
      <w:pPr>
        <w:pStyle w:val="Heading1"/>
        <w:spacing w:before="0"/>
        <w:contextualSpacing/>
        <w:rPr>
          <w:b/>
        </w:rPr>
      </w:pPr>
      <w:bookmarkStart w:id="102" w:name="_Toc85188556"/>
      <w:r w:rsidRPr="004B7301">
        <w:rPr>
          <w:b/>
        </w:rPr>
        <w:lastRenderedPageBreak/>
        <w:t>VI.</w:t>
      </w:r>
      <w:r w:rsidRPr="004B7301">
        <w:rPr>
          <w:b/>
        </w:rPr>
        <w:tab/>
        <w:t>Appendices</w:t>
      </w:r>
      <w:bookmarkEnd w:id="101"/>
      <w:bookmarkEnd w:id="102"/>
    </w:p>
    <w:p w14:paraId="651DA5AA" w14:textId="4BBEAB2F" w:rsidR="00D70758" w:rsidRDefault="00D70758" w:rsidP="00025030">
      <w:pPr>
        <w:pStyle w:val="Heading2"/>
        <w:numPr>
          <w:ilvl w:val="0"/>
          <w:numId w:val="56"/>
        </w:numPr>
      </w:pPr>
      <w:bookmarkStart w:id="103" w:name="_Toc75175309"/>
      <w:bookmarkStart w:id="104" w:name="_Toc85188557"/>
      <w:r>
        <w:t>Ordinance 19267</w:t>
      </w:r>
      <w:bookmarkEnd w:id="103"/>
      <w:bookmarkEnd w:id="104"/>
    </w:p>
    <w:p w14:paraId="06B977AE" w14:textId="77777777" w:rsidR="00731944" w:rsidRDefault="00731944" w:rsidP="00731944"/>
    <w:p w14:paraId="457875D6" w14:textId="77777777" w:rsidR="00731944" w:rsidRDefault="00731944" w:rsidP="00731944">
      <w:r>
        <w:t xml:space="preserve">AN ORDINANCE providing for the submission to the qualified electors of King County at a special election to be held in King County on August 3, 2021, of a proposition providing for resident oversight and authorizing a property tax levy in excess of the levy limitation contained in chapter 84.55 RCW for a six-year consecutive period at a rate of not more than $0.19 per one thousand dollars of assessed valuation in the first year, and limiting annual levy increases to three percent in the five succeeding years, all for the purpose of funding prevention and early intervention strategies and a capital grants program to improve the health and well-being of children, youth and their communities. </w:t>
      </w:r>
    </w:p>
    <w:p w14:paraId="0122DE30" w14:textId="77777777" w:rsidR="00731944" w:rsidRDefault="00731944" w:rsidP="00731944"/>
    <w:p w14:paraId="394D7473" w14:textId="13DC2FCF" w:rsidR="00731944" w:rsidRDefault="00731944" w:rsidP="00731944">
      <w:r>
        <w:t xml:space="preserve">STATEMENT OF FACTS: </w:t>
      </w:r>
    </w:p>
    <w:p w14:paraId="6DD1FF85" w14:textId="77777777" w:rsidR="00AE4BD2" w:rsidRDefault="00AE4BD2" w:rsidP="00731944"/>
    <w:p w14:paraId="6C1EAED0" w14:textId="58B3D835" w:rsidR="00611301" w:rsidRDefault="00731944" w:rsidP="00025030">
      <w:pPr>
        <w:pStyle w:val="ListParagraph"/>
        <w:numPr>
          <w:ilvl w:val="0"/>
          <w:numId w:val="67"/>
        </w:numPr>
      </w:pPr>
      <w:r>
        <w:t xml:space="preserve">In 2015, King County enacted Ordinance 18088, placing a six-year Best Starts for Kids levy on the ballot.  King County residents voted and approved the Best Starts for Kids levy to fund programs and services that support promotion, prevention and early intervention for King County's 19 children, youth and families. </w:t>
      </w:r>
    </w:p>
    <w:p w14:paraId="1E3E579D" w14:textId="638CEE0F" w:rsidR="00032E44" w:rsidRDefault="00ED291D" w:rsidP="00025030">
      <w:pPr>
        <w:pStyle w:val="ListParagraph"/>
        <w:numPr>
          <w:ilvl w:val="0"/>
          <w:numId w:val="67"/>
        </w:numPr>
      </w:pPr>
      <w:r w:rsidRPr="00ED291D">
        <w:t>The goals of the Best Starts for Kids levy that voters approved in 2015 are to ensure babies are born healthy, King County is a place where everyone has equitable opportunities for health and safety as they progress through childhood and communities offer safe, welcoming and healthy environments that help improve outcomes for all of King County's children and families.</w:t>
      </w:r>
    </w:p>
    <w:p w14:paraId="57337DD9" w14:textId="57EE59D9" w:rsidR="00ED291D" w:rsidRDefault="00A0133C" w:rsidP="00025030">
      <w:pPr>
        <w:pStyle w:val="ListParagraph"/>
        <w:numPr>
          <w:ilvl w:val="0"/>
          <w:numId w:val="67"/>
        </w:numPr>
      </w:pPr>
      <w:r w:rsidRPr="00A0133C">
        <w:t>Since its inception, the Best Starts for Kids levy has funded five hundred and seventy programs and has reached over five hundred seven thousand babies, children, youth and families throughout the county with community-driven programming.  Levy programs trained sixty-eight thousand child care providers, pediatricians, community health workers and other staff who work with children and youth on healthy child development and racially and culturally appropriate care.  The Best Starts for Kids levy distributes resources across the region, focusing investments on those most in need.</w:t>
      </w:r>
    </w:p>
    <w:p w14:paraId="09230992" w14:textId="49C7125B" w:rsidR="00A0133C" w:rsidRDefault="00F0196B" w:rsidP="00025030">
      <w:pPr>
        <w:pStyle w:val="ListParagraph"/>
        <w:numPr>
          <w:ilvl w:val="0"/>
          <w:numId w:val="67"/>
        </w:numPr>
      </w:pPr>
      <w:r w:rsidRPr="00F0196B">
        <w:t>In June 2020, the council directed the executive in Motion 15651 to produce an assessment report to inform deliberations regarding renewal of the current Best Starts for Kids levy.  The report includes assessment of early measurements and successes, challenges in launching this first levy, an analysis of the levy's advancement of equity and early recommendations for renewal.  Executive staff combined findings of staff research, a community survey conducted in June 2020, community input from ten geographically based virtual community listening sessions as well as five virtual stakeholder listening sessions, and input from ongoing Best Starts for Kids community partner learning circles.  In total, almost seven hundred and twenty community responses informed completion of the report.  The council accepted the assessment report in Motion 15769.</w:t>
      </w:r>
    </w:p>
    <w:p w14:paraId="0CFC0ED9" w14:textId="600B1C77" w:rsidR="00F0196B" w:rsidRDefault="006F2856" w:rsidP="00025030">
      <w:pPr>
        <w:pStyle w:val="ListParagraph"/>
        <w:numPr>
          <w:ilvl w:val="0"/>
          <w:numId w:val="67"/>
        </w:numPr>
      </w:pPr>
      <w:r w:rsidRPr="006F2856">
        <w:t xml:space="preserve">The existing Best Starts for Kids levy will expire at the end of 2021.  Renewal of the Best Starts for Kids levy requires voter approval.  Acknowledging the importance of the Best Starts for Kids levy in serving the county's children, youth and families with upstream promotion, prevention and early intervention programs, and, in light of the current impact the COVID-19 pandemic, has </w:t>
      </w:r>
      <w:r w:rsidRPr="006F2856">
        <w:lastRenderedPageBreak/>
        <w:t>had on the health and well-being of the children, youth and families of King County as well as the regional economic and human services systems including child care, the Best Starts for Kids levy warrants renewal.</w:t>
      </w:r>
    </w:p>
    <w:p w14:paraId="26949DCE" w14:textId="20157DF2" w:rsidR="006F2856" w:rsidRDefault="00AB3506" w:rsidP="00025030">
      <w:pPr>
        <w:pStyle w:val="ListParagraph"/>
        <w:numPr>
          <w:ilvl w:val="0"/>
          <w:numId w:val="67"/>
        </w:numPr>
      </w:pPr>
      <w:r w:rsidRPr="00AB3506">
        <w:t>Over twenty-five thousand babies are born in King County each year.  County residents under twenty-five years old comprise thirty percent of the population.  Fifty-three percent of the people under eighteen years old in King County are Black, Indigenous and People of Color.</w:t>
      </w:r>
    </w:p>
    <w:p w14:paraId="4257EB55" w14:textId="70DE44F3" w:rsidR="00AB3506" w:rsidRDefault="004B177C" w:rsidP="00025030">
      <w:pPr>
        <w:pStyle w:val="ListParagraph"/>
        <w:numPr>
          <w:ilvl w:val="0"/>
          <w:numId w:val="67"/>
        </w:numPr>
      </w:pPr>
      <w:r w:rsidRPr="004B177C">
        <w:t>Research shows that there are significant disparities in the health and well-being of King County residents.  The percentage of children five and under living in poverty is as low as five percent in some regions of the county and as high as fifteen percent in other regions.  Infant mortality is four times higher for American Indian/Alaskan Natives compared to whites and more than two times higher for African Americans.  Thirty</w:t>
      </w:r>
      <w:r>
        <w:t xml:space="preserve"> </w:t>
      </w:r>
      <w:r w:rsidRPr="004B177C">
        <w:t>eight percent of toddler and preschoolers are not flourishing and resilient in King County, and that number rises to seventy-one percent for elementary-aged children.  Among youth, thirty-three percent report depressive feelings and twenty-four percent report using alcohol or other illicit drugs.  Twenty-six percent of youth say they do not have an adult they can talk to and thirty-three percent do not feel strong connection to their family.  Two thousand students, disproportionally low income and Black, Indigenous and People of Color, drop out of school each year in King County while research shows that by 2024, almost ninety percent of living wage jobs in the county will require some sort of post-secondary education.</w:t>
      </w:r>
    </w:p>
    <w:p w14:paraId="1D6BD697" w14:textId="72D73B39" w:rsidR="0054163D" w:rsidRDefault="0054163D" w:rsidP="00025030">
      <w:pPr>
        <w:pStyle w:val="ListParagraph"/>
        <w:numPr>
          <w:ilvl w:val="0"/>
          <w:numId w:val="67"/>
        </w:numPr>
      </w:pPr>
      <w:r>
        <w:t>Child care is unaffordable for many families in King County, and child care for our youngest residents now costs more than in-state, public college tuition.  King County's child care workforce is disproportionately made up of women and Black, Indigenous and People of Color, as well as immigrants and refugees.  Wages remain low, with providers earning near</w:t>
      </w:r>
      <w:r w:rsidR="008B5D60">
        <w:t xml:space="preserve"> </w:t>
      </w:r>
      <w:r>
        <w:t xml:space="preserve">poverty-level salaries. </w:t>
      </w:r>
    </w:p>
    <w:p w14:paraId="3681677C" w14:textId="33F7F1B0" w:rsidR="0054163D" w:rsidRDefault="00DD4685" w:rsidP="00025030">
      <w:pPr>
        <w:pStyle w:val="ListParagraph"/>
        <w:numPr>
          <w:ilvl w:val="0"/>
          <w:numId w:val="67"/>
        </w:numPr>
      </w:pPr>
      <w:r w:rsidRPr="00DD4685">
        <w:t>In 2010, Ordinance 16897 was enacted, establishing the King County Strategic Plan, 2010-2014.  In 2015, the council passed Motion 14317, updating and revising King County's vision, mission, guiding principles and goals.  Included within the county's goals are improving the health and well-being of all people in King County, implementing alternatives to divert people from the criminal justice system and ensuring that county government operates efficiently and effectively and is accountable to the public.</w:t>
      </w:r>
    </w:p>
    <w:p w14:paraId="28408452" w14:textId="52BD66A5" w:rsidR="00DD4685" w:rsidRDefault="006C47B1" w:rsidP="00025030">
      <w:pPr>
        <w:pStyle w:val="ListParagraph"/>
        <w:numPr>
          <w:ilvl w:val="0"/>
          <w:numId w:val="67"/>
        </w:numPr>
      </w:pPr>
      <w:r>
        <w:t>The county's guiding principles in the King County Strategic Plan, 2010-2014 command that pursuit of the county's goals should address the root causes of inequities to provide equal access for all.  In 2015, the county established the office of equity and social justice and, the following year, the office of equity and social justice produced the 2016-2022 Equity and Social Justice Strategic Plan.  King County actively engages in equity and social justice efforts to eliminate racially and ethnically disparate health and human services outcomes in King County, and this is a priority that shall guide the council and the executive in the process of designing, administering and evaluating the policies and programs related to the renewed Best Starts for Kids levy, if approved by voters.</w:t>
      </w:r>
    </w:p>
    <w:p w14:paraId="28F1234E" w14:textId="33CB59A9" w:rsidR="001D7DAD" w:rsidRDefault="001D7DAD" w:rsidP="00025030">
      <w:pPr>
        <w:pStyle w:val="ListParagraph"/>
        <w:numPr>
          <w:ilvl w:val="0"/>
          <w:numId w:val="67"/>
        </w:numPr>
      </w:pPr>
      <w:r>
        <w:t>In 20</w:t>
      </w:r>
      <w:r w:rsidR="00C4544E">
        <w:t>1</w:t>
      </w:r>
      <w:r>
        <w:t xml:space="preserve">4, Ordinance 17738 was enacted, establishing the youth action plan task force and providing policy direction regarding the development of a youth action plan.  In addition to their work with the youth action plan, the youth action plan task force members helped shape the </w:t>
      </w:r>
      <w:r>
        <w:lastRenderedPageBreak/>
        <w:t xml:space="preserve">current Best Starts for Kids levy.  In 2015, the council passed Motion 14378, adopting the completed youth action plan.  The youth action plan continues to provide guidance and policy direction for the Best Starts for Kids levy. </w:t>
      </w:r>
    </w:p>
    <w:p w14:paraId="71158ACC" w14:textId="5F5FBD18" w:rsidR="006C47B1" w:rsidRDefault="001D7DAD" w:rsidP="00025030">
      <w:pPr>
        <w:pStyle w:val="ListParagraph"/>
        <w:numPr>
          <w:ilvl w:val="0"/>
          <w:numId w:val="67"/>
        </w:numPr>
      </w:pPr>
      <w:r>
        <w:t>The strategies supported by the Best Starts for Kids levy achieve a variety of outcomes.  Headline indicators used to measure these outcomes for children under six include the following:  babies born with healthy birth outcomes; children who are flourishing and resilient; children who are ready for kindergarten; and children who are free from abuse or neglect. Headline indicators for children and youth five to twenty-four years old include the following: third graders who meet reading standards; fourth graders who meet math standards; youth who are flourishing and resilient; youth and young adults who are in excellent or very good health; youth who graduated from high school on time; youth and young adults in school or working; high school graduates who earn a college degree or career credential; and youth who are not using illegal substances. Headline indicators for Communities of Opportunity include: adults reporting good or excellent health; youth who have an adult to turn to for help; individuals engaged in civic activities; households paying less than thirty percent or less than fifty percent of their income for housing; local residents who are displaced; youth who eat fruit and vegetables at least four times a day; households with income above two hundred percent of poverty; and youth and young adults in school or working.</w:t>
      </w:r>
    </w:p>
    <w:p w14:paraId="35745D8F" w14:textId="77777777" w:rsidR="00A1415A" w:rsidRDefault="00A1415A" w:rsidP="00A1415A"/>
    <w:p w14:paraId="1483C628" w14:textId="77777777" w:rsidR="00A1415A" w:rsidRDefault="00A1415A" w:rsidP="00A1415A">
      <w:r>
        <w:t xml:space="preserve">BE IT ORDAINED BY THE COUNCIL OF KING COUNTY: </w:t>
      </w:r>
    </w:p>
    <w:p w14:paraId="69E5D7C1" w14:textId="77777777" w:rsidR="00AE4BD2" w:rsidRDefault="00AE4BD2" w:rsidP="00A1415A"/>
    <w:p w14:paraId="1E55B19E" w14:textId="2469538A" w:rsidR="00A1415A" w:rsidRDefault="00A1415A" w:rsidP="00C94ACC">
      <w:pPr>
        <w:ind w:left="720"/>
      </w:pPr>
      <w:r w:rsidRPr="004D1254">
        <w:rPr>
          <w:u w:val="single"/>
        </w:rPr>
        <w:t>SECTION 1.</w:t>
      </w:r>
      <w:r>
        <w:t xml:space="preserve">  </w:t>
      </w:r>
      <w:r w:rsidRPr="004D1254">
        <w:rPr>
          <w:b/>
          <w:bCs/>
        </w:rPr>
        <w:t>Definitions.</w:t>
      </w:r>
      <w:r>
        <w:t xml:space="preserve">  The definitions in this section apply throughout this ordinance unless the context clearly requires otherwise. </w:t>
      </w:r>
    </w:p>
    <w:p w14:paraId="588BC001" w14:textId="75D6CDC7" w:rsidR="00A1415A" w:rsidRDefault="00A1415A" w:rsidP="0040505B">
      <w:pPr>
        <w:pStyle w:val="ListParagraph"/>
        <w:numPr>
          <w:ilvl w:val="0"/>
          <w:numId w:val="76"/>
        </w:numPr>
      </w:pPr>
      <w:r>
        <w:t xml:space="preserve">"Child care workforce demonstration project" means a strategy to improve the provision of child care in King County supplementing wages of a test group of persons who provide child care in exchange for wages and then reporting out on the effects of the strategy upon the quality of child care, including, but not limited to, the strategy's effects upon workforce turnover, workforce experience of poverty and workforce experience levels. </w:t>
      </w:r>
    </w:p>
    <w:p w14:paraId="0451DCC1" w14:textId="77777777" w:rsidR="00A1415A" w:rsidRDefault="00A1415A" w:rsidP="009D4EE7">
      <w:pPr>
        <w:pStyle w:val="ListParagraph"/>
        <w:numPr>
          <w:ilvl w:val="0"/>
          <w:numId w:val="76"/>
        </w:numPr>
      </w:pPr>
      <w:r>
        <w:t xml:space="preserve">"Children and youth" means persons through twenty-four years old. </w:t>
      </w:r>
    </w:p>
    <w:p w14:paraId="538E8B4A" w14:textId="77777777" w:rsidR="00A1415A" w:rsidRDefault="00A1415A" w:rsidP="000C1163">
      <w:pPr>
        <w:pStyle w:val="ListParagraph"/>
        <w:numPr>
          <w:ilvl w:val="0"/>
          <w:numId w:val="76"/>
        </w:numPr>
      </w:pPr>
      <w:r>
        <w:t xml:space="preserve">"Communities of opportunity" means the strategy described in Section VII of the Best Starts for Kids Implementation Plan, that is Attachment A to Ordinance 18373.  Communities of Opportunity is designed to improve equity by addressing the race- and place-based inequitable health and well-being outcomes in King County.  Communities of Opportunity supports communities in improving the health, social and economic outcomes of those specific communities, and does so by partnering with communities to shape and own solutions. </w:t>
      </w:r>
    </w:p>
    <w:p w14:paraId="1E82720C" w14:textId="77777777" w:rsidR="00A1415A" w:rsidRDefault="00A1415A" w:rsidP="000C1163">
      <w:pPr>
        <w:pStyle w:val="ListParagraph"/>
        <w:numPr>
          <w:ilvl w:val="0"/>
          <w:numId w:val="76"/>
        </w:numPr>
      </w:pPr>
      <w:r>
        <w:t xml:space="preserve">"King County child care subsidy program" means a strategy to reduce or fully subsidize the cost of child care to low-income families in King County. </w:t>
      </w:r>
    </w:p>
    <w:p w14:paraId="6947ACBC" w14:textId="70A037A5" w:rsidR="00A1415A" w:rsidRDefault="00A1415A" w:rsidP="00A1415A">
      <w:pPr>
        <w:pStyle w:val="ListParagraph"/>
        <w:numPr>
          <w:ilvl w:val="0"/>
          <w:numId w:val="76"/>
        </w:numPr>
      </w:pPr>
      <w:r>
        <w:t xml:space="preserve">"Levy" means the levy of regular property taxes for the specific purposes and term provided in this ordinance and authorized by the electorate in accordance with Washington law. </w:t>
      </w:r>
    </w:p>
    <w:p w14:paraId="7DBAA87F" w14:textId="77777777" w:rsidR="00A1415A" w:rsidRDefault="00A1415A" w:rsidP="000C1163">
      <w:pPr>
        <w:pStyle w:val="ListParagraph"/>
        <w:numPr>
          <w:ilvl w:val="0"/>
          <w:numId w:val="76"/>
        </w:numPr>
      </w:pPr>
      <w:r>
        <w:t xml:space="preserve">"Levy proceeds" means the principal amount of moneys raised by the levy and any interest earnings on the moneys. </w:t>
      </w:r>
    </w:p>
    <w:p w14:paraId="13495987" w14:textId="0BC13F4A" w:rsidR="00A1415A" w:rsidRDefault="00A1415A" w:rsidP="000C1163">
      <w:pPr>
        <w:pStyle w:val="ListParagraph"/>
        <w:numPr>
          <w:ilvl w:val="0"/>
          <w:numId w:val="76"/>
        </w:numPr>
      </w:pPr>
      <w:r>
        <w:lastRenderedPageBreak/>
        <w:t xml:space="preserve">"Limit factor" for the purposes of calculating the levy limitations in RCW 84.55.010, means one hundred three percent. </w:t>
      </w:r>
    </w:p>
    <w:p w14:paraId="7FFC45EA" w14:textId="77777777" w:rsidR="00A1415A" w:rsidRDefault="00A1415A" w:rsidP="000C1163">
      <w:pPr>
        <w:pStyle w:val="ListParagraph"/>
        <w:numPr>
          <w:ilvl w:val="0"/>
          <w:numId w:val="76"/>
        </w:numPr>
      </w:pPr>
      <w:r>
        <w:t xml:space="preserve">"Strategy" means a program, service, activity, initiative or capital investment intended to achieve the purposes described in subsection 4.B. of this ordinance. </w:t>
      </w:r>
    </w:p>
    <w:p w14:paraId="0C1312DA" w14:textId="77777777" w:rsidR="00A1415A" w:rsidRDefault="00A1415A" w:rsidP="000C1163">
      <w:pPr>
        <w:pStyle w:val="ListParagraph"/>
        <w:numPr>
          <w:ilvl w:val="0"/>
          <w:numId w:val="76"/>
        </w:numPr>
      </w:pPr>
      <w:r>
        <w:t xml:space="preserve">"Technical assistance and capacity building" means assisting organizations seeking or receiving levy proceeds to enable the organizations to apply for, implement and improve delivery of a strategy or strategies for which expenditures of this levy are eligible. </w:t>
      </w:r>
    </w:p>
    <w:p w14:paraId="52C6FDF3" w14:textId="77777777" w:rsidR="00A1415A" w:rsidRDefault="00A1415A" w:rsidP="000C1163">
      <w:pPr>
        <w:pStyle w:val="ListParagraph"/>
        <w:numPr>
          <w:ilvl w:val="0"/>
          <w:numId w:val="76"/>
        </w:numPr>
      </w:pPr>
      <w:r>
        <w:t xml:space="preserve">"Youth and family homelessness prevention initiative" means an initiative intended to prevent and divert children and youth and their families from becoming homeless.  </w:t>
      </w:r>
    </w:p>
    <w:p w14:paraId="53F01C2D" w14:textId="77777777" w:rsidR="00AE4BD2" w:rsidRDefault="00AE4BD2" w:rsidP="00AE4BD2">
      <w:pPr>
        <w:pStyle w:val="ListParagraph"/>
      </w:pPr>
    </w:p>
    <w:p w14:paraId="6FF4B8CE" w14:textId="77777777" w:rsidR="00AE4BD2" w:rsidRDefault="00A1415A" w:rsidP="00A1415A">
      <w:r>
        <w:tab/>
      </w:r>
      <w:r w:rsidRPr="004D1254">
        <w:rPr>
          <w:u w:val="single"/>
        </w:rPr>
        <w:t>SECTION 2.</w:t>
      </w:r>
      <w:r w:rsidRPr="004D1254">
        <w:t xml:space="preserve"> </w:t>
      </w:r>
      <w:r w:rsidRPr="004D1254">
        <w:rPr>
          <w:b/>
          <w:bCs/>
        </w:rPr>
        <w:t xml:space="preserve"> Levy submittal</w:t>
      </w:r>
      <w:r>
        <w:t xml:space="preserve">.  To provide necessary moneys for the purposes identified in section 4 of this ordinance, the King County council shall submit to the qualified electors of the county a proposition authorizing a regular property tax levy in excess of the levy limitation contained in chapter 84.55 RCW for six consecutive years, with collection commencing in 2022, at a rate not to exceed $0.19 per one thousand dollars of assessed value in the first year of the levy period.  The dollar amount of the levy in the first year shall be the base upon which the levy amounts in year two through six shall be calculated.  In accordance with RCW 84.55.050, the levy shall be a regular property tax levy subject to the limit factor as defined in section 1 of this ordinance.  </w:t>
      </w:r>
    </w:p>
    <w:p w14:paraId="725DA038" w14:textId="16C3C8A2" w:rsidR="004D1254" w:rsidRDefault="00A1415A" w:rsidP="00A1415A">
      <w:r>
        <w:tab/>
      </w:r>
    </w:p>
    <w:p w14:paraId="37093B6E" w14:textId="6561C208" w:rsidR="00A1415A" w:rsidRDefault="00A1415A" w:rsidP="004D1254">
      <w:pPr>
        <w:ind w:firstLine="720"/>
      </w:pPr>
      <w:r w:rsidRPr="004D1254">
        <w:rPr>
          <w:u w:val="single"/>
        </w:rPr>
        <w:t>SECTION 3.</w:t>
      </w:r>
      <w:r>
        <w:t xml:space="preserve">  </w:t>
      </w:r>
      <w:r w:rsidRPr="004D1254">
        <w:rPr>
          <w:b/>
          <w:bCs/>
        </w:rPr>
        <w:t>Deposit of levy proceeds.</w:t>
      </w:r>
      <w:r>
        <w:t xml:space="preserve">  The levy proceeds shall be deposited into a dedicated subfund of the best starts for kids fund, or its successor. </w:t>
      </w:r>
    </w:p>
    <w:p w14:paraId="5DC2D720" w14:textId="77777777" w:rsidR="00AE4BD2" w:rsidRDefault="00AE4BD2" w:rsidP="004D1254">
      <w:pPr>
        <w:ind w:firstLine="720"/>
      </w:pPr>
    </w:p>
    <w:p w14:paraId="7839B0DE" w14:textId="5D02B676" w:rsidR="00A1415A" w:rsidRDefault="00A1415A" w:rsidP="00A1415A">
      <w:r>
        <w:tab/>
      </w:r>
      <w:r w:rsidRPr="004D1254">
        <w:rPr>
          <w:u w:val="single"/>
        </w:rPr>
        <w:t>SECTION 4.</w:t>
      </w:r>
      <w:r>
        <w:t xml:space="preserve">  </w:t>
      </w:r>
      <w:r w:rsidRPr="004D1254">
        <w:rPr>
          <w:b/>
          <w:bCs/>
        </w:rPr>
        <w:t>Eligible expenditures.</w:t>
      </w:r>
      <w:r>
        <w:t xml:space="preserve"> </w:t>
      </w:r>
    </w:p>
    <w:p w14:paraId="5843208B" w14:textId="77777777" w:rsidR="00A1415A" w:rsidRDefault="00A1415A" w:rsidP="009501D9">
      <w:pPr>
        <w:pStyle w:val="ListParagraph"/>
        <w:numPr>
          <w:ilvl w:val="0"/>
          <w:numId w:val="77"/>
        </w:numPr>
      </w:pPr>
      <w:r>
        <w:t xml:space="preserve">If approved by the qualified electors of the county, such sums from the first year's levy proceeds as are necessary may be used to provide for the costs and charges incurred by the county that are attributable to the election. </w:t>
      </w:r>
    </w:p>
    <w:p w14:paraId="224463EB" w14:textId="77777777" w:rsidR="00A1415A" w:rsidRDefault="00A1415A" w:rsidP="009501D9">
      <w:pPr>
        <w:pStyle w:val="ListParagraph"/>
        <w:numPr>
          <w:ilvl w:val="0"/>
          <w:numId w:val="77"/>
        </w:numPr>
      </w:pPr>
      <w:r>
        <w:t xml:space="preserve">After the amount authorized in subsection A. of this section, the remaining levy proceeds shall be used to: </w:t>
      </w:r>
    </w:p>
    <w:p w14:paraId="34B9E5AB" w14:textId="77777777" w:rsidR="00A1415A" w:rsidRDefault="00A1415A" w:rsidP="00E03861">
      <w:pPr>
        <w:pStyle w:val="ListParagraph"/>
        <w:numPr>
          <w:ilvl w:val="0"/>
          <w:numId w:val="78"/>
        </w:numPr>
      </w:pPr>
      <w:r>
        <w:t xml:space="preserve">Promote improved health and well-being outcomes of children and youth, as well as the families and the communities in which they live, including, but not limited to:  capital investments for buildings and facilities, including, but not limited to, housing, that serve children and youth; ensuring adequate services and supports for pregnant persons and newborns; access to safe and healthy food; developmental screening for children and youth; programs that care for children and youth when they are not at home including child care and out-of-school-time programs; programs and services that promote social and emotional well-being, mental health and a sense of belonging, connection and positive identity in children and youth; and programs and services that provide academic support and promote academic achievement; </w:t>
      </w:r>
    </w:p>
    <w:p w14:paraId="5AACACE8" w14:textId="77777777" w:rsidR="00A1415A" w:rsidRDefault="00A1415A" w:rsidP="00E03861">
      <w:pPr>
        <w:pStyle w:val="ListParagraph"/>
        <w:numPr>
          <w:ilvl w:val="0"/>
          <w:numId w:val="78"/>
        </w:numPr>
      </w:pPr>
      <w:r>
        <w:t xml:space="preserve">Prevent and intervene early on negative outcomes, including, but not limited to, poor birth outcomes, developmental delays, chronic disease, social emotional isolation, mental health challenges, substance abuse, dropping out of school, homelessness, domestic violence and effects of systemic racism and incarceration; </w:t>
      </w:r>
    </w:p>
    <w:p w14:paraId="03D52590" w14:textId="77777777" w:rsidR="00A26A5A" w:rsidRDefault="00A1415A" w:rsidP="00E03861">
      <w:pPr>
        <w:pStyle w:val="ListParagraph"/>
        <w:numPr>
          <w:ilvl w:val="0"/>
          <w:numId w:val="78"/>
        </w:numPr>
      </w:pPr>
      <w:r>
        <w:lastRenderedPageBreak/>
        <w:t>Reduce inequities in outcomes for children and youth in the county; and</w:t>
      </w:r>
    </w:p>
    <w:p w14:paraId="2D722DAE" w14:textId="09E76440" w:rsidR="00A1415A" w:rsidRDefault="00A1415A" w:rsidP="00E03861">
      <w:pPr>
        <w:pStyle w:val="ListParagraph"/>
        <w:numPr>
          <w:ilvl w:val="0"/>
          <w:numId w:val="78"/>
        </w:numPr>
      </w:pPr>
      <w:r>
        <w:t xml:space="preserve">Strengthen, improve, better coordinate, integrate and encourage innovation in health and human services systems and the agencies, organizations and groups addressing the needs of children and youth, their families and their communities. </w:t>
      </w:r>
    </w:p>
    <w:p w14:paraId="104F272F" w14:textId="0CD87317" w:rsidR="00A1415A" w:rsidRDefault="00A1415A" w:rsidP="00A26A5A">
      <w:pPr>
        <w:pStyle w:val="ListParagraph"/>
        <w:numPr>
          <w:ilvl w:val="0"/>
          <w:numId w:val="77"/>
        </w:numPr>
      </w:pPr>
      <w:r>
        <w:t>Of the eligible expenditures described in subsection B. of this section, an amount of each year's levy proceeds shall be allocated first for the purposes in subsections D. and E. of this section.  In the levy's first year, which is 2022, the total amount allocated for the purposes in subsection D. of this section shall be twenty-two and one-half percent of the first year's levy proceeds remaining after the amount authorized in subsection A. of this section.  In the levy's subsequent years, the amount to be allocated for the purposes in subsections D. and E. of this section shall be allocated so that the six</w:t>
      </w:r>
      <w:r w:rsidR="004D1254">
        <w:t xml:space="preserve"> </w:t>
      </w:r>
      <w:r>
        <w:t xml:space="preserve">year total sum of levy proceeds allocated for the purposes in subsection D. of this section shall be no less than two-hundred forty million dollars.  The implementation plan required by section 7 of this ordinance shall describe the annual allocations of levy proceeds that accomplish allocation requirements of this subsection C. of this section.  After the annual allocation of levy proceeds required by this subsection C. of this section, each year's remaining levy proceeds shall be divided in the following proportions and used for the following purposes: </w:t>
      </w:r>
    </w:p>
    <w:p w14:paraId="479EE7AD" w14:textId="77777777" w:rsidR="00A1415A" w:rsidRDefault="00A1415A" w:rsidP="00A26A5A">
      <w:pPr>
        <w:pStyle w:val="ListParagraph"/>
        <w:numPr>
          <w:ilvl w:val="0"/>
          <w:numId w:val="79"/>
        </w:numPr>
      </w:pPr>
      <w:r>
        <w:t xml:space="preserve">Fifty percent shall be used to plan, provide, fund and administer strategies focused on children and youth under six years old and their caregivers, pregnant persons and individuals or families concerning pregnancy. </w:t>
      </w:r>
    </w:p>
    <w:p w14:paraId="362ABB21" w14:textId="77777777" w:rsidR="00A1415A" w:rsidRDefault="00A1415A" w:rsidP="00A26A5A">
      <w:pPr>
        <w:pStyle w:val="ListParagraph"/>
        <w:numPr>
          <w:ilvl w:val="0"/>
          <w:numId w:val="79"/>
        </w:numPr>
      </w:pPr>
      <w:r>
        <w:t xml:space="preserve">Thirty-seven percent shall be used to plan, provide, fund and administer strategies focused on children and youth age five or older; </w:t>
      </w:r>
    </w:p>
    <w:p w14:paraId="2B811E49" w14:textId="1852B2DC" w:rsidR="00A1415A" w:rsidRDefault="00A1415A" w:rsidP="00A1415A">
      <w:pPr>
        <w:pStyle w:val="ListParagraph"/>
        <w:numPr>
          <w:ilvl w:val="0"/>
          <w:numId w:val="79"/>
        </w:numPr>
      </w:pPr>
      <w:r>
        <w:t xml:space="preserve">Eight percent shall be used to plan, provide, fund and administer Communities of Opportunity; and </w:t>
      </w:r>
    </w:p>
    <w:p w14:paraId="1373AD97" w14:textId="77777777" w:rsidR="00A1415A" w:rsidRDefault="00A1415A" w:rsidP="009D6C45">
      <w:pPr>
        <w:pStyle w:val="ListParagraph"/>
        <w:numPr>
          <w:ilvl w:val="0"/>
          <w:numId w:val="79"/>
        </w:numPr>
      </w:pPr>
      <w:r>
        <w:t xml:space="preserve">Five percent shall be used to plan, provide, fund and administer the following: </w:t>
      </w:r>
    </w:p>
    <w:p w14:paraId="57D72FE1" w14:textId="77777777" w:rsidR="00A1415A" w:rsidRDefault="00A1415A" w:rsidP="009D6C45">
      <w:pPr>
        <w:pStyle w:val="ListParagraph"/>
        <w:numPr>
          <w:ilvl w:val="0"/>
          <w:numId w:val="80"/>
        </w:numPr>
      </w:pPr>
      <w:r>
        <w:t xml:space="preserve">performance measurement of levy-funded strategies, evaluation and data collection activities; </w:t>
      </w:r>
    </w:p>
    <w:p w14:paraId="7554A327" w14:textId="77777777" w:rsidR="00A1415A" w:rsidRDefault="00A1415A" w:rsidP="009D6C45">
      <w:pPr>
        <w:pStyle w:val="ListParagraph"/>
        <w:numPr>
          <w:ilvl w:val="0"/>
          <w:numId w:val="80"/>
        </w:numPr>
      </w:pPr>
      <w:r>
        <w:t xml:space="preserve">stipends for children and youth serving as appointed members of the King County children and youth advisory board under conditions prescribed by the final children and youth advisory board update report required by section 6 of this ordinance in the final form of the children and youth advisory board update report that the council adopts by ordinance. </w:t>
      </w:r>
    </w:p>
    <w:p w14:paraId="4B03F5E5" w14:textId="77777777" w:rsidR="00A1415A" w:rsidRDefault="00A1415A" w:rsidP="001D0B70">
      <w:pPr>
        <w:pStyle w:val="ListParagraph"/>
        <w:numPr>
          <w:ilvl w:val="0"/>
          <w:numId w:val="80"/>
        </w:numPr>
      </w:pPr>
      <w:r>
        <w:t xml:space="preserve">services identified in subsection B. of this section provided by metropolitan park districts in King County.  Of the moneys identified in this subsection C.4.c., an amount equal to the lost revenues to the metropolitan park districts resulting from prorationing as mandated by RCW 84.52.010, up to one million dollars, shall be provided to those metropolitan park districts if authorized by the county council by ordinance; </w:t>
      </w:r>
    </w:p>
    <w:p w14:paraId="71FD2D3A" w14:textId="77777777" w:rsidR="00A1415A" w:rsidRDefault="00A1415A" w:rsidP="001D0B70">
      <w:pPr>
        <w:pStyle w:val="ListParagraph"/>
        <w:numPr>
          <w:ilvl w:val="0"/>
          <w:numId w:val="80"/>
        </w:numPr>
      </w:pPr>
      <w:r>
        <w:t xml:space="preserve">services identified in subsection B. of this section provided by fire districts, in an amount equal to the lost revenues to the fire districts in King County resulting from prorationing, as mandated by RCW 84.52.010, for those services, to the extent the prorationing was caused solely by this levy and if authorized by the county council by ordinance; and </w:t>
      </w:r>
    </w:p>
    <w:p w14:paraId="18BCFE83" w14:textId="77777777" w:rsidR="00A1415A" w:rsidRDefault="00A1415A" w:rsidP="001D0B70">
      <w:pPr>
        <w:pStyle w:val="ListParagraph"/>
        <w:numPr>
          <w:ilvl w:val="0"/>
          <w:numId w:val="80"/>
        </w:numPr>
      </w:pPr>
      <w:r>
        <w:lastRenderedPageBreak/>
        <w:t xml:space="preserve">services identified in subsection B. of this section provided by public hospital districts, in an amount equal to the lost revenues to the public hospital districts in King County resulting from prorationing, as mandated by RCW 84.52.010, for those services, to the extent the prorationing was caused solely by this levy and if authorized by the county council by ordinance. </w:t>
      </w:r>
    </w:p>
    <w:p w14:paraId="257CA58F" w14:textId="77777777" w:rsidR="00A1415A" w:rsidRDefault="00A1415A" w:rsidP="00C94ACC">
      <w:pPr>
        <w:pStyle w:val="ListParagraph"/>
        <w:numPr>
          <w:ilvl w:val="0"/>
          <w:numId w:val="77"/>
        </w:numPr>
      </w:pPr>
      <w:r>
        <w:t xml:space="preserve">Except for levy proceeds reserved for the purposes in subsection E. of this section, the levy proceeds annually reserved in subsection C. of this section shall be used to plan, provide, fund, administer, measure performance and evaluate a youth and family homelessness prevention initiative, a King County child care subsidy program, a child care workforce demonstration project and technical assistance and capacity building activities, including one million dollars annually for a capacity building grant program that includes providing support to grantees to assist with the development of infrastructure in geographic locations lacking services or service infrastructure.  The grant program to support capacity building that includes providing support to grantees to assist with the development of infrastructure in geographic locations lacking services or service infrastructure shall be described in the implementation plan required in section 7 of this ordinance and must include the development of new organizations and expansion of existing organizations.  The youth and family homelessness prevention initiative, King County child care subsidy program, child care workforce demonstration project and technical assistance and capacity building activities required in this subsection shall be described in the implementation plan required in section 7 of this ordinance. </w:t>
      </w:r>
    </w:p>
    <w:p w14:paraId="39E81ABE" w14:textId="77777777" w:rsidR="00A1415A" w:rsidRDefault="00A1415A" w:rsidP="00A1415A">
      <w:pPr>
        <w:pStyle w:val="ListParagraph"/>
        <w:numPr>
          <w:ilvl w:val="0"/>
          <w:numId w:val="77"/>
        </w:numPr>
      </w:pPr>
      <w:r>
        <w:t xml:space="preserve">Except as otherwise provided in this subsection, if the total projected levy proceeds exceeds eight hundred twenty-two million dollars, the levy proceeds greater than eight hundred twenty-two million dollars shall be used to provide grants designed to support repairs and expansion of buildings and facilities, that serve children and youth, and to support the construction of new buildings and facilities that will serve children and youth.  Such buildings and facilities that serve children and youth shall include, but not be limited to, housing and child care, early learning and recreational facilities.  However, the total levy proceeds used to provide grants shall not exceed fifty million dollars.  Additionally, if the total projected levy proceeds falls below eight hundred seventy-two million dollars, the amount of levy proceeds allocated for the purposes of this subsection shall be first reduced before any other reduction in the total amounts allocated for the purposes in subsections C. and D. of this section.  This capital grants program shall be described in the implementation plan required in section 7 of this ordinance.  </w:t>
      </w:r>
    </w:p>
    <w:p w14:paraId="1856C2EB" w14:textId="77777777" w:rsidR="00A1415A" w:rsidRDefault="00A1415A" w:rsidP="00C94ACC">
      <w:pPr>
        <w:pStyle w:val="ListParagraph"/>
      </w:pPr>
      <w:r>
        <w:t xml:space="preserve">Additionally, the executive shall propose in the implementation plan required in section 7 of this ordinance the amount of levy proceeds to be allocated for the capital grants program and a process for determining annually if a reduction to the amount of levy proceeds allocated for the purposes of this subsection is necessary and the amount of any such reduction.  The executive shall also propose in the implementation plan required in section 7 of this ordinance a policy for prioritizing capital investments in new buildings or facilities as compared to capital investments in existing buildings or facilities. </w:t>
      </w:r>
    </w:p>
    <w:p w14:paraId="169A661B" w14:textId="77777777" w:rsidR="00C94ACC" w:rsidRDefault="00C94ACC" w:rsidP="00C94ACC">
      <w:pPr>
        <w:pStyle w:val="ListParagraph"/>
      </w:pPr>
    </w:p>
    <w:p w14:paraId="53806752" w14:textId="01C036A2" w:rsidR="00A1415A" w:rsidRDefault="00A1415A" w:rsidP="00A1415A">
      <w:r>
        <w:tab/>
      </w:r>
      <w:r w:rsidRPr="004D1254">
        <w:rPr>
          <w:u w:val="single"/>
        </w:rPr>
        <w:t>SECTION 5.</w:t>
      </w:r>
      <w:r>
        <w:t xml:space="preserve">  </w:t>
      </w:r>
      <w:r w:rsidRPr="004D1254">
        <w:rPr>
          <w:b/>
          <w:bCs/>
        </w:rPr>
        <w:t>Call for special election.</w:t>
      </w:r>
      <w:r>
        <w:t xml:space="preserve">  In accordance with RCW 29A.04.321, the King County council hereby calls for a special election to be held in conjunction with the primary election on August </w:t>
      </w:r>
      <w:r>
        <w:lastRenderedPageBreak/>
        <w:t xml:space="preserve">03, 2021, to consider a proposition authorizing a regular property tax levy for the purposes described in this ordinance.  The King County director of elections shall cause notice to be given of this ordinance in accordance with the state constitution and general law and to submit to the qualified electors of the county, at the said special county election, the proposition hereinafter set forth.  The clerk of the council shall certify that proposition to the director of elections in substantially the following form: </w:t>
      </w:r>
    </w:p>
    <w:p w14:paraId="4345D8BC" w14:textId="77777777" w:rsidR="00C94ACC" w:rsidRDefault="00C94ACC" w:rsidP="00A1415A"/>
    <w:p w14:paraId="0008863E" w14:textId="77777777" w:rsidR="00A1415A" w:rsidRDefault="00A1415A" w:rsidP="00A1415A">
      <w:r>
        <w:t xml:space="preserve">PROPOSITION___:  The King County Council passed Ordinance ____ concerning funding to improve the well-being of children, youth, families and communities.  If approved, this proposition would fund promotion of positive outcomes, prevention and early intervention related to: child care; healthy pregnancy; newborn family supports; youth development; community well-being; and crisis prevention and intervention for children and youth, including homelessness prevention.  It would authorize an additional six-year property tax levy for collection beginning in 2022 at $0.19 per $1,000 of assessed valuation with the 2022 levy amount being the base for calculating annual increases of up to 3% in 2022 - 2026. </w:t>
      </w:r>
    </w:p>
    <w:p w14:paraId="621296A5" w14:textId="77777777" w:rsidR="00A1415A" w:rsidRDefault="00A1415A" w:rsidP="00C94ACC">
      <w:pPr>
        <w:ind w:left="720"/>
      </w:pPr>
      <w:r>
        <w:t xml:space="preserve">Should this proposition be: </w:t>
      </w:r>
    </w:p>
    <w:p w14:paraId="7E2A1287" w14:textId="77777777" w:rsidR="00A1415A" w:rsidRDefault="00A1415A" w:rsidP="00C94ACC">
      <w:pPr>
        <w:ind w:left="720"/>
      </w:pPr>
      <w:r>
        <w:t xml:space="preserve">Approved? _____  </w:t>
      </w:r>
    </w:p>
    <w:p w14:paraId="2F15C3AC" w14:textId="77777777" w:rsidR="00A1415A" w:rsidRDefault="00A1415A" w:rsidP="00C94ACC">
      <w:pPr>
        <w:ind w:left="720"/>
      </w:pPr>
      <w:r>
        <w:t xml:space="preserve">Rejected? _____  </w:t>
      </w:r>
    </w:p>
    <w:p w14:paraId="19DE39E2" w14:textId="77777777" w:rsidR="00C94ACC" w:rsidRDefault="00C94ACC" w:rsidP="00C94ACC">
      <w:pPr>
        <w:ind w:left="720"/>
      </w:pPr>
    </w:p>
    <w:p w14:paraId="7100766C" w14:textId="77777777" w:rsidR="00A1415A" w:rsidRDefault="00A1415A" w:rsidP="00A1415A">
      <w:r>
        <w:t xml:space="preserve"> </w:t>
      </w:r>
      <w:r>
        <w:tab/>
      </w:r>
      <w:r w:rsidRPr="004D1254">
        <w:rPr>
          <w:u w:val="single"/>
        </w:rPr>
        <w:t>SECTION 6.</w:t>
      </w:r>
      <w:r>
        <w:t xml:space="preserve">  </w:t>
      </w:r>
      <w:r w:rsidRPr="004D1254">
        <w:rPr>
          <w:b/>
          <w:bCs/>
        </w:rPr>
        <w:t>Governance.</w:t>
      </w:r>
      <w:r>
        <w:t xml:space="preserve">  The King County children and youth advisory board described in K.C.C. 2A.300.510 shall serve as the oversight and advisory board for the levy and its strategies, except for Communities of Opportunity, if the levy is approved by the qualified electors of the county.  The communities of opportunity-best starts for kids levy advisory board described in K.C.C. 2A.300.520 shall serve as the advisory body for Communities of Opportunity if the levy is approved by the qualified electors of the county.  If the levy is approved by the qualified electors of the county, the executive shall by October 01, 2021, transmit to the council for consideration and adoption by ordinance a best starts for kids governance update report that describes and explains necessary and recommended changes to sections of the King County Code and applicable ordinances that describe the composition and duties of the King County children and youth advisory board and the communities of opportunity-best starts for kids levy advisory board.  A proposed ordinance or ordinances shall accompany the best starts for kids governance update report, which ordinance or ordinances, upon enactment, would accomplish the changes recommended by the best starts for kids governance update report.  Among the purposes of recommended changes listed and described within the best starts for kids governance update report shall be to update the King County children and youth advisory board's duties and composition as needed to enable the King County children and youth advisory board to oversee and advise on the levy and to extend the existence of the communities of opportunity-best starts for kids levy advisory board to coincide with the levy.  The executive shall consult with the King County children and youth advisory board and the communities of opportunity-best starts for kids levy advisory board in preparing the children and youth advisory board update report. </w:t>
      </w:r>
    </w:p>
    <w:p w14:paraId="269148D2" w14:textId="77777777" w:rsidR="00C94ACC" w:rsidRDefault="00C94ACC" w:rsidP="00A1415A"/>
    <w:p w14:paraId="39CBFE60" w14:textId="77777777" w:rsidR="00A1415A" w:rsidRDefault="00A1415A" w:rsidP="00A1415A">
      <w:r>
        <w:t xml:space="preserve"> </w:t>
      </w:r>
      <w:r>
        <w:tab/>
      </w:r>
      <w:r w:rsidRPr="004D1254">
        <w:rPr>
          <w:u w:val="single"/>
        </w:rPr>
        <w:t>SECTION 7.</w:t>
      </w:r>
      <w:r>
        <w:t xml:space="preserve">  </w:t>
      </w:r>
      <w:r w:rsidRPr="004D1254">
        <w:rPr>
          <w:b/>
          <w:bCs/>
        </w:rPr>
        <w:t>Implementation plan.</w:t>
      </w:r>
      <w:r>
        <w:t xml:space="preserve"> </w:t>
      </w:r>
    </w:p>
    <w:p w14:paraId="61EA8D80" w14:textId="4E37478A" w:rsidR="00A1415A" w:rsidRDefault="00A1415A" w:rsidP="00A1415A">
      <w:r>
        <w:t xml:space="preserve"> </w:t>
      </w:r>
      <w:r w:rsidR="00D02E09">
        <w:tab/>
      </w:r>
      <w:r>
        <w:t xml:space="preserve">A.1.  Not later than July 31, 2021, the executive shall transmit to the council for review and adoption by ordinance a proposed Best Starts for Kids implementation plan that identifies the strategies </w:t>
      </w:r>
      <w:r>
        <w:lastRenderedPageBreak/>
        <w:t xml:space="preserve">to be funded and outcomes to be achieved with the use of levy proceeds described in section 4 of this ordinance.  The Best Starts for Kids implementation plan shall also include a framework to measure the performance of levy strategies in achieving their outcomes and require an annual report on levy expenditures, services and outcomes, including: </w:t>
      </w:r>
    </w:p>
    <w:p w14:paraId="7A9AD9CF" w14:textId="0E2A8BE7" w:rsidR="00A1415A" w:rsidRDefault="00F26F2A" w:rsidP="00F23488">
      <w:pPr>
        <w:ind w:left="720"/>
      </w:pPr>
      <w:r>
        <w:t xml:space="preserve">a. </w:t>
      </w:r>
      <w:r w:rsidR="00A1415A">
        <w:t xml:space="preserve">total expenditures of levy proceeds by program area by ZIP Code in King County; and </w:t>
      </w:r>
    </w:p>
    <w:p w14:paraId="21A2DE73" w14:textId="30DDC68E" w:rsidR="00A1415A" w:rsidRDefault="00487A99" w:rsidP="00487A99">
      <w:pPr>
        <w:ind w:left="720"/>
      </w:pPr>
      <w:r>
        <w:t xml:space="preserve">b. </w:t>
      </w:r>
      <w:r w:rsidR="00A1415A">
        <w:t xml:space="preserve">the number of individuals receiving levy-funded services by program area by ZIP Code in King County of where the individuals reside at the time of service. </w:t>
      </w:r>
    </w:p>
    <w:p w14:paraId="10A43B8A" w14:textId="77777777" w:rsidR="00D02E09" w:rsidRDefault="00D02E09" w:rsidP="00D02E09">
      <w:pPr>
        <w:ind w:firstLine="720"/>
      </w:pPr>
    </w:p>
    <w:p w14:paraId="32A648B6" w14:textId="2134AE11" w:rsidR="00A1415A" w:rsidRDefault="00A1415A" w:rsidP="00F23488">
      <w:pPr>
        <w:ind w:firstLine="720"/>
      </w:pPr>
      <w:r>
        <w:t xml:space="preserve">2. The executive shall develop the proposed Best Starts for Kids implementation plan in consultation with the King County children and youth advisory board and the communities of opportunity-best starts for kids levy advisory board.  In developing the Best Starts for Kids implementation plan required in this section 7, the executive shall consider and promote harmony with the previous Best Starts for Kids Implementation Plan that is Attachment A to Ordinance 18373, specifically describing which strategies from the previous Best Starts for Kids Implementation Plan shall continue in the proposed Best Starts for Kids implementation plan.  Additionally, in developing the Best Starts for Kids implementation plan, the executive shall ensure that residents throughout King County and in any city in King County can access levy-funded strategies regardless of the availability of similar services and programs provided by their city or in their community.  In developing the proposed Best Starts for Kids implementation plan, the executive shall also to the maximum extent possible take into consideration the King County Youth Action Plan, adopted by Motion 14378. </w:t>
      </w:r>
    </w:p>
    <w:p w14:paraId="30404C74" w14:textId="77777777" w:rsidR="00A1415A" w:rsidRDefault="00A1415A" w:rsidP="00A1415A">
      <w:r>
        <w:t xml:space="preserve"> </w:t>
      </w:r>
      <w:r>
        <w:tab/>
        <w:t xml:space="preserve">B.  Levy proceeds may not be expended for the purposes described in section 4 of this ordinance until the effective date of the ordinance with which the Best Starts for Kids implementation plan is adopted. </w:t>
      </w:r>
    </w:p>
    <w:p w14:paraId="2DC1DA4E" w14:textId="77777777" w:rsidR="00A1415A" w:rsidRDefault="00A1415A" w:rsidP="00A1415A">
      <w:r>
        <w:t xml:space="preserve"> </w:t>
      </w:r>
      <w:r>
        <w:tab/>
      </w:r>
      <w:r w:rsidRPr="004D1254">
        <w:rPr>
          <w:u w:val="single"/>
        </w:rPr>
        <w:t>SECTION 8.</w:t>
      </w:r>
      <w:r>
        <w:t xml:space="preserve">  </w:t>
      </w:r>
      <w:r w:rsidRPr="004D1254">
        <w:rPr>
          <w:b/>
          <w:bCs/>
        </w:rPr>
        <w:t>Exemption.</w:t>
      </w:r>
      <w:r>
        <w:t xml:space="preserve">  The additional regular property taxes authorized by this ordinance shall be included in any real property tax exemption authorized by RCW </w:t>
      </w:r>
    </w:p>
    <w:p w14:paraId="00E0A5DA" w14:textId="77777777" w:rsidR="00A1415A" w:rsidRDefault="00A1415A" w:rsidP="00A1415A">
      <w:r>
        <w:t xml:space="preserve">84.36.381. </w:t>
      </w:r>
    </w:p>
    <w:p w14:paraId="4547428F" w14:textId="49E19179" w:rsidR="00A1415A" w:rsidRDefault="00A1415A" w:rsidP="00A1415A">
      <w:r>
        <w:t xml:space="preserve"> </w:t>
      </w:r>
      <w:r>
        <w:tab/>
      </w:r>
      <w:r w:rsidRPr="004D1254">
        <w:rPr>
          <w:u w:val="single"/>
        </w:rPr>
        <w:t>SECTION</w:t>
      </w:r>
      <w:r w:rsidR="004D1254" w:rsidRPr="004D1254">
        <w:rPr>
          <w:u w:val="single"/>
        </w:rPr>
        <w:t xml:space="preserve"> </w:t>
      </w:r>
      <w:r w:rsidRPr="004D1254">
        <w:rPr>
          <w:u w:val="single"/>
        </w:rPr>
        <w:t>9.</w:t>
      </w:r>
      <w:r>
        <w:t xml:space="preserve">  </w:t>
      </w:r>
      <w:r w:rsidRPr="00BB4E1E">
        <w:rPr>
          <w:b/>
          <w:bCs/>
        </w:rPr>
        <w:t>Ratification and confirmation.</w:t>
      </w:r>
      <w:r>
        <w:t xml:space="preserve">  Certification of the proposition by the clerk of the county council to the director of elections in accordance with law before the general election on August 3, 2021, and any other act consistent with the authority and before the effective date of this ordinance are hereby ratified and confirmed. </w:t>
      </w:r>
    </w:p>
    <w:p w14:paraId="59D141CA" w14:textId="77777777" w:rsidR="00A1415A" w:rsidRDefault="00A1415A" w:rsidP="00A1415A">
      <w:r>
        <w:t xml:space="preserve"> </w:t>
      </w:r>
      <w:r>
        <w:tab/>
      </w:r>
      <w:r w:rsidRPr="004D1254">
        <w:rPr>
          <w:u w:val="single"/>
        </w:rPr>
        <w:t>SECTION 10</w:t>
      </w:r>
      <w:r>
        <w:t xml:space="preserve">.  </w:t>
      </w:r>
      <w:r w:rsidRPr="00BB4E1E">
        <w:rPr>
          <w:b/>
          <w:bCs/>
        </w:rPr>
        <w:t>Severability.</w:t>
      </w:r>
      <w:r>
        <w:t xml:space="preserve">  If any provision of this ordinance or its application </w:t>
      </w:r>
    </w:p>
    <w:p w14:paraId="594F30C2" w14:textId="4643697C" w:rsidR="00C053D4" w:rsidRDefault="00A1415A" w:rsidP="00A1415A">
      <w:r>
        <w:t>to any person or circumstance is held invalid, the remainder of the ordinance or the application of the provision to other persons or circumstances is not affected.</w:t>
      </w:r>
    </w:p>
    <w:p w14:paraId="0C8D3B55" w14:textId="778C1CBF" w:rsidR="00D70758" w:rsidRDefault="00D70758" w:rsidP="00025030">
      <w:pPr>
        <w:pStyle w:val="Heading2"/>
        <w:numPr>
          <w:ilvl w:val="0"/>
          <w:numId w:val="56"/>
        </w:numPr>
        <w:rPr>
          <w:rStyle w:val="Heading2Char"/>
        </w:rPr>
      </w:pPr>
      <w:r>
        <w:br w:type="page"/>
      </w:r>
      <w:bookmarkStart w:id="105" w:name="_Toc75175310"/>
      <w:bookmarkStart w:id="106" w:name="_Toc85188558"/>
      <w:r w:rsidRPr="00192FED">
        <w:rPr>
          <w:rStyle w:val="Heading2Char"/>
        </w:rPr>
        <w:lastRenderedPageBreak/>
        <w:t>Motion 15888</w:t>
      </w:r>
      <w:bookmarkEnd w:id="105"/>
      <w:bookmarkEnd w:id="106"/>
    </w:p>
    <w:p w14:paraId="449086B1" w14:textId="77777777" w:rsidR="00F831F8" w:rsidRPr="00F831F8" w:rsidRDefault="00F831F8" w:rsidP="006064CB"/>
    <w:p w14:paraId="77FEED4B" w14:textId="77777777" w:rsidR="00B03970" w:rsidRDefault="00B03970" w:rsidP="008A34EA">
      <w:pPr>
        <w:spacing w:line="240" w:lineRule="auto"/>
        <w:contextualSpacing/>
      </w:pPr>
      <w:r>
        <w:t>A MOTION relating to programs and services for prevention, outreach, and early intervention to address mental health and substance use impacts in children and youth five through twenty-four years old, which have been exacerbated due to the coronavirus disease 2019 pandemic.</w:t>
      </w:r>
    </w:p>
    <w:p w14:paraId="09E23DF3" w14:textId="77777777" w:rsidR="00B03970" w:rsidRDefault="00B03970" w:rsidP="008A34EA">
      <w:pPr>
        <w:spacing w:line="240" w:lineRule="auto"/>
        <w:contextualSpacing/>
      </w:pPr>
    </w:p>
    <w:p w14:paraId="14765AF2" w14:textId="77777777" w:rsidR="008A34EA" w:rsidRDefault="00B03970" w:rsidP="008A34EA">
      <w:pPr>
        <w:spacing w:line="240" w:lineRule="auto"/>
        <w:contextualSpacing/>
      </w:pPr>
      <w:r>
        <w:t>WHEREAS, in 2010, Ordinance 16897 was enacted, establishing the King</w:t>
      </w:r>
      <w:r w:rsidR="008A34EA">
        <w:t xml:space="preserve"> </w:t>
      </w:r>
      <w:r>
        <w:t>County Strategic Plan, 2010-2014. In 2015, the council passed Motion 14317, updating</w:t>
      </w:r>
      <w:r w:rsidR="008A34EA">
        <w:t xml:space="preserve"> </w:t>
      </w:r>
      <w:r>
        <w:t>and revising King County's vision, mission, guiding principles and goals.  Included</w:t>
      </w:r>
      <w:r w:rsidR="008A34EA">
        <w:t xml:space="preserve"> </w:t>
      </w:r>
      <w:r>
        <w:t>within the county's goals are improving the health and well-being of all people in King</w:t>
      </w:r>
      <w:r w:rsidR="008A34EA">
        <w:t xml:space="preserve"> </w:t>
      </w:r>
      <w:r>
        <w:t>County, implementing alternatives to divert people from the criminal justice system and</w:t>
      </w:r>
      <w:r w:rsidR="008A34EA">
        <w:t xml:space="preserve"> </w:t>
      </w:r>
      <w:r>
        <w:t>ensuring that county government operates efficiently and effectively and is accountable</w:t>
      </w:r>
      <w:r w:rsidR="008A34EA">
        <w:t xml:space="preserve"> </w:t>
      </w:r>
      <w:r>
        <w:t>to the public, and</w:t>
      </w:r>
      <w:r w:rsidR="008A34EA">
        <w:t xml:space="preserve"> </w:t>
      </w:r>
    </w:p>
    <w:p w14:paraId="587B0CA9" w14:textId="77777777" w:rsidR="008A34EA" w:rsidRDefault="008A34EA" w:rsidP="008A34EA">
      <w:pPr>
        <w:spacing w:line="240" w:lineRule="auto"/>
        <w:contextualSpacing/>
      </w:pPr>
    </w:p>
    <w:p w14:paraId="1DA8700D" w14:textId="1BA80B27" w:rsidR="00B03970" w:rsidRDefault="00B03970" w:rsidP="008A34EA">
      <w:pPr>
        <w:spacing w:line="240" w:lineRule="auto"/>
        <w:contextualSpacing/>
      </w:pPr>
      <w:r>
        <w:t>WHEREAS, according to the Journal of the American Academy of Child and</w:t>
      </w:r>
      <w:r w:rsidR="008A34EA">
        <w:t xml:space="preserve"> </w:t>
      </w:r>
      <w:r>
        <w:t>Adolescent Psychiatry and eighty studies on the topic, social isolation and loneliness, like</w:t>
      </w:r>
      <w:r w:rsidR="008A34EA">
        <w:t xml:space="preserve"> </w:t>
      </w:r>
      <w:r>
        <w:t>that caused by the coronavirus disease 2019 pandemic, significantly increase the risk of</w:t>
      </w:r>
      <w:r w:rsidR="008A34EA">
        <w:t xml:space="preserve"> </w:t>
      </w:r>
      <w:r>
        <w:t>depression and anxiety in previously healthy children and adolescents, and</w:t>
      </w:r>
    </w:p>
    <w:p w14:paraId="30FD864D" w14:textId="77777777" w:rsidR="008A34EA" w:rsidRDefault="008A34EA" w:rsidP="008A34EA">
      <w:pPr>
        <w:spacing w:line="240" w:lineRule="auto"/>
        <w:contextualSpacing/>
      </w:pPr>
    </w:p>
    <w:p w14:paraId="5C512D8F" w14:textId="40BA3D37" w:rsidR="00B03970" w:rsidRDefault="00B03970" w:rsidP="008A34EA">
      <w:pPr>
        <w:spacing w:line="240" w:lineRule="auto"/>
        <w:contextualSpacing/>
      </w:pPr>
      <w:r>
        <w:t>WHEREAS, a 2014 study done by the University of Southern California of four</w:t>
      </w:r>
      <w:r w:rsidR="008A34EA">
        <w:t xml:space="preserve"> </w:t>
      </w:r>
      <w:r>
        <w:t>hundred seventy-six adolescents, with the mean age of fourteen years old, concluded that</w:t>
      </w:r>
      <w:r w:rsidR="008A34EA">
        <w:t xml:space="preserve"> </w:t>
      </w:r>
      <w:r>
        <w:t>depression levels directly associated with an increased likelihood of a lifetime use of</w:t>
      </w:r>
      <w:r w:rsidR="008A34EA">
        <w:t xml:space="preserve"> </w:t>
      </w:r>
      <w:r>
        <w:t>inhalants, prescription pain killers and many other substances, and</w:t>
      </w:r>
    </w:p>
    <w:p w14:paraId="314DAAE8" w14:textId="77777777" w:rsidR="00B03970" w:rsidRDefault="00B03970" w:rsidP="008A34EA">
      <w:pPr>
        <w:spacing w:line="240" w:lineRule="auto"/>
        <w:contextualSpacing/>
      </w:pPr>
    </w:p>
    <w:p w14:paraId="409AE0FF" w14:textId="3E250BFE" w:rsidR="00B03970" w:rsidRDefault="00B03970" w:rsidP="008A34EA">
      <w:pPr>
        <w:spacing w:line="240" w:lineRule="auto"/>
        <w:contextualSpacing/>
      </w:pPr>
      <w:r>
        <w:t>WHEREAS, in a study conducted by the Centers for Disease Control and</w:t>
      </w:r>
      <w:r w:rsidR="008A34EA">
        <w:t xml:space="preserve"> </w:t>
      </w:r>
      <w:r>
        <w:t>Prevention in June 2020, 40.9 percent of respondents, eighteen years old or older,</w:t>
      </w:r>
      <w:r w:rsidR="008A34EA">
        <w:t xml:space="preserve"> </w:t>
      </w:r>
      <w:r>
        <w:t>reported at least one adverse mental or behavioral health condition. Those included 30.9</w:t>
      </w:r>
      <w:r w:rsidR="008A34EA">
        <w:t xml:space="preserve"> </w:t>
      </w:r>
      <w:r>
        <w:t>percent reporting symptoms of anxiety disorder or depressive disorder, 26.3 percent</w:t>
      </w:r>
      <w:r w:rsidR="008A34EA">
        <w:t xml:space="preserve"> </w:t>
      </w:r>
      <w:r>
        <w:t>reporting symptoms of a trauma-and stressor-related disorder related to the coronavirus</w:t>
      </w:r>
      <w:r w:rsidR="008A34EA">
        <w:t xml:space="preserve"> </w:t>
      </w:r>
      <w:r>
        <w:t>disease 2019 pandemic and 13.3 percent reported having started or increased substance</w:t>
      </w:r>
      <w:r w:rsidR="008A34EA">
        <w:t xml:space="preserve"> </w:t>
      </w:r>
      <w:r>
        <w:t>use to cope with stress or emotions related to COVID-19, and</w:t>
      </w:r>
    </w:p>
    <w:p w14:paraId="10B65AE6" w14:textId="77777777" w:rsidR="00B03970" w:rsidRDefault="00B03970" w:rsidP="008A34EA">
      <w:pPr>
        <w:spacing w:line="240" w:lineRule="auto"/>
        <w:contextualSpacing/>
      </w:pPr>
    </w:p>
    <w:p w14:paraId="4ABC68E5" w14:textId="09D998A8" w:rsidR="00B03970" w:rsidRDefault="00B03970" w:rsidP="008A34EA">
      <w:pPr>
        <w:spacing w:line="240" w:lineRule="auto"/>
        <w:contextualSpacing/>
      </w:pPr>
      <w:r>
        <w:t>WHEREAS, the existing Best Starts for Kids levy, which serves the county's</w:t>
      </w:r>
      <w:r w:rsidR="00176FCC">
        <w:t xml:space="preserve"> </w:t>
      </w:r>
      <w:r>
        <w:t>children, youth and families with upstream promotion, prevention and early intervention</w:t>
      </w:r>
      <w:r w:rsidR="00176FCC">
        <w:t xml:space="preserve"> </w:t>
      </w:r>
      <w:r>
        <w:t>programs, will expire at the end of 2021 and levy renewal requires voter approval, and</w:t>
      </w:r>
    </w:p>
    <w:p w14:paraId="3910F7D4" w14:textId="77777777" w:rsidR="00B03970" w:rsidRDefault="00B03970" w:rsidP="008A34EA">
      <w:pPr>
        <w:spacing w:line="240" w:lineRule="auto"/>
        <w:contextualSpacing/>
      </w:pPr>
    </w:p>
    <w:p w14:paraId="75878D6C" w14:textId="77DC1239" w:rsidR="00B03970" w:rsidRDefault="00B03970" w:rsidP="008A34EA">
      <w:pPr>
        <w:spacing w:line="240" w:lineRule="auto"/>
        <w:contextualSpacing/>
      </w:pPr>
      <w:r>
        <w:t>WHEREAS, the coronavirus disease 2019 pandemic has impacted the health and</w:t>
      </w:r>
      <w:r w:rsidR="00176FCC">
        <w:t xml:space="preserve"> </w:t>
      </w:r>
      <w:r>
        <w:t>well-being of the children, youth and families of King County as well as the regional</w:t>
      </w:r>
      <w:r w:rsidR="00176FCC">
        <w:t xml:space="preserve"> </w:t>
      </w:r>
      <w:r>
        <w:t>economic and human services systems including child care, and</w:t>
      </w:r>
    </w:p>
    <w:p w14:paraId="6C494DE9" w14:textId="77777777" w:rsidR="00B03970" w:rsidRDefault="00B03970" w:rsidP="008A34EA">
      <w:pPr>
        <w:spacing w:line="240" w:lineRule="auto"/>
        <w:contextualSpacing/>
      </w:pPr>
    </w:p>
    <w:p w14:paraId="31ADD7B0" w14:textId="331AE95B" w:rsidR="00B03970" w:rsidRDefault="00B03970" w:rsidP="008A34EA">
      <w:pPr>
        <w:spacing w:line="240" w:lineRule="auto"/>
        <w:contextualSpacing/>
      </w:pPr>
      <w:r>
        <w:t>WHEREAS, the executive's Best Starts for Kids levy renewal proposal, which is</w:t>
      </w:r>
      <w:r w:rsidR="00176FCC">
        <w:t xml:space="preserve"> </w:t>
      </w:r>
      <w:r>
        <w:t>Proposed Ordinance 2021-0062, would, subject to voter approval of a renewal levy,</w:t>
      </w:r>
      <w:r w:rsidR="00176FCC">
        <w:t xml:space="preserve"> </w:t>
      </w:r>
      <w:r>
        <w:t>allow levy proceeds to be expended for prevention and intervention early on negative</w:t>
      </w:r>
      <w:r w:rsidR="00176FCC">
        <w:t xml:space="preserve"> </w:t>
      </w:r>
      <w:r>
        <w:t>outcomes, including, but not limited to, poor birth outcomes, developmental delays,</w:t>
      </w:r>
      <w:r w:rsidR="00176FCC">
        <w:t xml:space="preserve"> </w:t>
      </w:r>
      <w:r>
        <w:t>chronic disease, social emotional isolation, mental health challenges, substance abuse,</w:t>
      </w:r>
      <w:r w:rsidR="00176FCC">
        <w:t xml:space="preserve"> </w:t>
      </w:r>
      <w:r>
        <w:t>dropping out of school, homelessness, domestic violence and effects of systemic racism</w:t>
      </w:r>
      <w:r w:rsidR="002D599B">
        <w:t xml:space="preserve"> </w:t>
      </w:r>
      <w:r>
        <w:t>and incarceration, and</w:t>
      </w:r>
    </w:p>
    <w:p w14:paraId="75383F92" w14:textId="77777777" w:rsidR="00B03970" w:rsidRDefault="00B03970" w:rsidP="008A34EA">
      <w:pPr>
        <w:spacing w:line="240" w:lineRule="auto"/>
        <w:contextualSpacing/>
      </w:pPr>
    </w:p>
    <w:p w14:paraId="6DA22D40" w14:textId="5315D28B" w:rsidR="00B03970" w:rsidRDefault="00B03970" w:rsidP="008A34EA">
      <w:pPr>
        <w:spacing w:line="240" w:lineRule="auto"/>
        <w:contextualSpacing/>
      </w:pPr>
      <w:r>
        <w:lastRenderedPageBreak/>
        <w:t>WHEREAS, subject to enactment of Ordinance XXXXX (Proposed Ordinance</w:t>
      </w:r>
      <w:r w:rsidR="00C66C78">
        <w:t xml:space="preserve"> </w:t>
      </w:r>
      <w:r>
        <w:t>2021-0062), the executive, not later than July 31, 2021, is required to transmit to the council for review and adoption by ordinance a proposed Best Starts for Kids</w:t>
      </w:r>
      <w:r w:rsidR="00C66C78">
        <w:t xml:space="preserve"> </w:t>
      </w:r>
      <w:r>
        <w:t>implementation plan that identifies the strategies to be funded and outcomes to be</w:t>
      </w:r>
      <w:r w:rsidR="00C66C78">
        <w:t xml:space="preserve"> </w:t>
      </w:r>
      <w:r>
        <w:t>achieved with the use of levy proceeds described in Ordinance XXXXX (Proposed</w:t>
      </w:r>
      <w:r w:rsidR="00C66C78">
        <w:t xml:space="preserve"> </w:t>
      </w:r>
      <w:r>
        <w:t>Ordinance 2021-0062);</w:t>
      </w:r>
    </w:p>
    <w:p w14:paraId="01AEF10E" w14:textId="77777777" w:rsidR="00B03970" w:rsidRDefault="00B03970" w:rsidP="008A34EA">
      <w:pPr>
        <w:spacing w:line="240" w:lineRule="auto"/>
        <w:contextualSpacing/>
      </w:pPr>
    </w:p>
    <w:p w14:paraId="6C772AF3" w14:textId="431FC1CD" w:rsidR="00B03970" w:rsidRDefault="00B03970" w:rsidP="008A34EA">
      <w:pPr>
        <w:spacing w:line="240" w:lineRule="auto"/>
        <w:contextualSpacing/>
      </w:pPr>
      <w:r>
        <w:t>NOW, THEREFORE, BE IT MOVED by the Council of King County:</w:t>
      </w:r>
    </w:p>
    <w:p w14:paraId="33920BA0" w14:textId="77777777" w:rsidR="00B4799B" w:rsidRDefault="00B4799B" w:rsidP="008A34EA">
      <w:pPr>
        <w:spacing w:line="240" w:lineRule="auto"/>
        <w:contextualSpacing/>
      </w:pPr>
    </w:p>
    <w:p w14:paraId="472ACCDA" w14:textId="73EFAC85" w:rsidR="00B03970" w:rsidRDefault="00B03970" w:rsidP="008A34EA">
      <w:pPr>
        <w:spacing w:line="240" w:lineRule="auto"/>
        <w:contextualSpacing/>
      </w:pPr>
      <w:r>
        <w:t>The executive is requested, in developing the Best Starts for Kids implementation</w:t>
      </w:r>
    </w:p>
    <w:p w14:paraId="6B1B35F6" w14:textId="66B9A442" w:rsidR="00B03970" w:rsidRDefault="00B03970" w:rsidP="008A34EA">
      <w:pPr>
        <w:spacing w:line="240" w:lineRule="auto"/>
        <w:contextualSpacing/>
      </w:pPr>
      <w:r>
        <w:t>plan, to:</w:t>
      </w:r>
    </w:p>
    <w:p w14:paraId="006C1DD8" w14:textId="77777777" w:rsidR="00C66C78" w:rsidRDefault="00C66C78" w:rsidP="008A34EA">
      <w:pPr>
        <w:spacing w:line="240" w:lineRule="auto"/>
        <w:contextualSpacing/>
      </w:pPr>
    </w:p>
    <w:p w14:paraId="1CDEF4F7" w14:textId="073B139D" w:rsidR="00B03970" w:rsidRDefault="00B03970" w:rsidP="00C66C78">
      <w:pPr>
        <w:spacing w:line="240" w:lineRule="auto"/>
        <w:ind w:left="720"/>
        <w:contextualSpacing/>
      </w:pPr>
      <w:r>
        <w:t>A. Identify in the transmitted plan strategies relating to prevention, outreach and</w:t>
      </w:r>
    </w:p>
    <w:p w14:paraId="2DC4FA55" w14:textId="656575AE" w:rsidR="00B03970" w:rsidRDefault="00B03970" w:rsidP="00C66C78">
      <w:pPr>
        <w:spacing w:line="240" w:lineRule="auto"/>
        <w:ind w:left="720"/>
        <w:contextualSpacing/>
      </w:pPr>
      <w:r>
        <w:t>early intervention to address mental health and substance use impacts, in children and</w:t>
      </w:r>
    </w:p>
    <w:p w14:paraId="21C70E75" w14:textId="3C8F9051" w:rsidR="00B03970" w:rsidRDefault="005E5800" w:rsidP="00C66C78">
      <w:pPr>
        <w:spacing w:line="240" w:lineRule="auto"/>
        <w:ind w:left="720"/>
        <w:contextualSpacing/>
      </w:pPr>
      <w:r>
        <w:t>y</w:t>
      </w:r>
      <w:r w:rsidR="00B03970">
        <w:t>outh five through twenty-four years old, that have been exacerbated due to the</w:t>
      </w:r>
    </w:p>
    <w:p w14:paraId="6C82690E" w14:textId="77777777" w:rsidR="00B03970" w:rsidRDefault="00B03970" w:rsidP="00C66C78">
      <w:pPr>
        <w:spacing w:line="240" w:lineRule="auto"/>
        <w:ind w:left="720"/>
        <w:contextualSpacing/>
      </w:pPr>
      <w:r>
        <w:t>coronavirus disease 2019 pandemic; and</w:t>
      </w:r>
    </w:p>
    <w:p w14:paraId="62053405" w14:textId="77777777" w:rsidR="00B03970" w:rsidRDefault="00B03970" w:rsidP="00C66C78">
      <w:pPr>
        <w:spacing w:line="240" w:lineRule="auto"/>
        <w:ind w:left="720"/>
        <w:contextualSpacing/>
      </w:pPr>
    </w:p>
    <w:p w14:paraId="599EC40F" w14:textId="7A9E7749" w:rsidR="00B03970" w:rsidRDefault="00B03970" w:rsidP="00C66C78">
      <w:pPr>
        <w:spacing w:line="240" w:lineRule="auto"/>
        <w:ind w:left="720"/>
        <w:contextualSpacing/>
      </w:pPr>
      <w:r>
        <w:t>B. Consider programs and services that provide, expand access to or provide and</w:t>
      </w:r>
      <w:r w:rsidR="005E5800">
        <w:t xml:space="preserve"> </w:t>
      </w:r>
      <w:r>
        <w:t>expand access to substance use disorder supports for children and youth, including, but</w:t>
      </w:r>
      <w:r w:rsidR="005E5800">
        <w:t xml:space="preserve"> </w:t>
      </w:r>
      <w:r>
        <w:t>not limited to, awareness campaigns on substance use.</w:t>
      </w:r>
    </w:p>
    <w:p w14:paraId="7C9A8D94" w14:textId="6655BCDB" w:rsidR="00B03970" w:rsidRDefault="00B03970" w:rsidP="00B03970">
      <w:pPr>
        <w:spacing w:line="240" w:lineRule="auto"/>
      </w:pPr>
    </w:p>
    <w:p w14:paraId="50366625" w14:textId="77777777" w:rsidR="00B03970" w:rsidRDefault="00B03970" w:rsidP="00B03970">
      <w:pPr>
        <w:spacing w:line="240" w:lineRule="auto"/>
      </w:pPr>
    </w:p>
    <w:p w14:paraId="5F141019" w14:textId="77777777" w:rsidR="00D70758" w:rsidRDefault="00D70758" w:rsidP="00D70758">
      <w:pPr>
        <w:spacing w:line="240" w:lineRule="auto"/>
      </w:pPr>
      <w:r>
        <w:br w:type="page"/>
      </w:r>
    </w:p>
    <w:p w14:paraId="1FBA81E0" w14:textId="2902E6F5" w:rsidR="00D70758" w:rsidRDefault="00D70758" w:rsidP="00025030">
      <w:pPr>
        <w:pStyle w:val="Heading2"/>
        <w:numPr>
          <w:ilvl w:val="0"/>
          <w:numId w:val="56"/>
        </w:numPr>
      </w:pPr>
      <w:bookmarkStart w:id="107" w:name="_Ordinance_Requirements"/>
      <w:bookmarkStart w:id="108" w:name="_Ordinance_Requirements_and"/>
      <w:bookmarkStart w:id="109" w:name="_Toc75175311"/>
      <w:bookmarkStart w:id="110" w:name="_Toc85188559"/>
      <w:bookmarkEnd w:id="107"/>
      <w:bookmarkEnd w:id="108"/>
      <w:r w:rsidRPr="00234D3B">
        <w:lastRenderedPageBreak/>
        <w:t>Ordinance Requirements</w:t>
      </w:r>
      <w:bookmarkEnd w:id="109"/>
      <w:r w:rsidR="00117133">
        <w:t xml:space="preserve"> and </w:t>
      </w:r>
      <w:r w:rsidR="005E2010">
        <w:t>Requested Elements</w:t>
      </w:r>
      <w:bookmarkEnd w:id="110"/>
    </w:p>
    <w:p w14:paraId="4EEBF297" w14:textId="77777777" w:rsidR="00960185" w:rsidRPr="00960185" w:rsidRDefault="00960185" w:rsidP="00960185"/>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2"/>
        <w:gridCol w:w="4644"/>
        <w:gridCol w:w="14"/>
      </w:tblGrid>
      <w:tr w:rsidR="0069212A" w:rsidRPr="0069212A" w14:paraId="4914A2B8" w14:textId="77777777" w:rsidTr="006A6E94">
        <w:tc>
          <w:tcPr>
            <w:tcW w:w="465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hideMark/>
          </w:tcPr>
          <w:p w14:paraId="45C1008E" w14:textId="13E62295"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b/>
                <w:bCs/>
              </w:rPr>
              <w:t xml:space="preserve">Required Implementation Plan </w:t>
            </w:r>
            <w:r w:rsidR="00445AF8">
              <w:rPr>
                <w:rFonts w:eastAsia="Times New Roman" w:cs="Calibri"/>
                <w:b/>
                <w:bCs/>
              </w:rPr>
              <w:t>Elements</w:t>
            </w:r>
            <w:r w:rsidR="00445AF8" w:rsidRPr="0069212A">
              <w:rPr>
                <w:rFonts w:eastAsia="Times New Roman" w:cs="Calibri"/>
                <w:b/>
                <w:bCs/>
              </w:rPr>
              <w:t xml:space="preserve"> </w:t>
            </w:r>
            <w:r w:rsidRPr="0069212A">
              <w:rPr>
                <w:rFonts w:eastAsia="Times New Roman" w:cs="Calibri"/>
                <w:b/>
                <w:bCs/>
              </w:rPr>
              <w:t xml:space="preserve">from </w:t>
            </w:r>
            <w:r w:rsidR="0024335A">
              <w:rPr>
                <w:rFonts w:eastAsia="Times New Roman" w:cs="Calibri"/>
                <w:b/>
                <w:bCs/>
              </w:rPr>
              <w:t>Ordinance 19267</w:t>
            </w:r>
            <w:r w:rsidRPr="0069212A">
              <w:rPr>
                <w:rFonts w:eastAsia="Times New Roman" w:cs="Calibri"/>
                <w:b/>
                <w:bCs/>
              </w:rPr>
              <w:t> </w:t>
            </w:r>
          </w:p>
        </w:tc>
        <w:tc>
          <w:tcPr>
            <w:tcW w:w="4650" w:type="dxa"/>
            <w:gridSpan w:val="2"/>
            <w:tcBorders>
              <w:top w:val="single" w:sz="18" w:space="0" w:color="FFC000" w:themeColor="accent4"/>
              <w:left w:val="nil"/>
              <w:bottom w:val="single" w:sz="18" w:space="0" w:color="FFC000" w:themeColor="accent4"/>
              <w:right w:val="single" w:sz="18" w:space="0" w:color="FFC000" w:themeColor="accent4"/>
            </w:tcBorders>
            <w:shd w:val="clear" w:color="auto" w:fill="B4C6E7" w:themeFill="accent1" w:themeFillTint="66"/>
            <w:hideMark/>
          </w:tcPr>
          <w:p w14:paraId="183F2254" w14:textId="231F51F8" w:rsidR="0069212A" w:rsidRPr="0069212A" w:rsidRDefault="00213C4D" w:rsidP="0069212A">
            <w:pPr>
              <w:spacing w:line="240" w:lineRule="auto"/>
              <w:textAlignment w:val="baseline"/>
              <w:rPr>
                <w:rFonts w:ascii="Segoe UI" w:eastAsia="Times New Roman" w:hAnsi="Segoe UI" w:cs="Segoe UI"/>
                <w:sz w:val="18"/>
                <w:szCs w:val="18"/>
              </w:rPr>
            </w:pPr>
            <w:r>
              <w:rPr>
                <w:rFonts w:eastAsia="Times New Roman" w:cs="Calibri"/>
                <w:b/>
                <w:bCs/>
              </w:rPr>
              <w:t>Links to Relevant Section(s)</w:t>
            </w:r>
          </w:p>
        </w:tc>
      </w:tr>
      <w:tr w:rsidR="00D01B9A" w:rsidRPr="0069212A" w14:paraId="63D48F1F" w14:textId="77777777" w:rsidTr="00497148">
        <w:trPr>
          <w:gridAfter w:val="1"/>
          <w:wAfter w:w="14" w:type="dxa"/>
          <w:trHeight w:val="207"/>
        </w:trPr>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3433A4B6" w14:textId="77777777" w:rsidR="00B11F72" w:rsidRPr="0069212A" w:rsidRDefault="00B11F72" w:rsidP="00B11F72">
            <w:pPr>
              <w:spacing w:line="240" w:lineRule="auto"/>
              <w:textAlignment w:val="baseline"/>
              <w:rPr>
                <w:rFonts w:ascii="Segoe UI" w:eastAsia="Times New Roman" w:hAnsi="Segoe UI" w:cs="Segoe UI"/>
                <w:sz w:val="18"/>
                <w:szCs w:val="18"/>
              </w:rPr>
            </w:pPr>
            <w:r w:rsidRPr="0069212A">
              <w:rPr>
                <w:rFonts w:eastAsia="Times New Roman" w:cs="Calibri"/>
              </w:rPr>
              <w:t>After the amount authorized in subsection A. of this section, the remaining levy proceeds shall be used to promote improved health and well-being outcomes of children and youth, as well as the families and the communities in which they live, including, but not limited to: </w:t>
            </w:r>
          </w:p>
          <w:p w14:paraId="4FBF5CDF" w14:textId="3C42B6BB"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7B5AC215" w14:textId="6668EAE3" w:rsidR="00D01B9A" w:rsidRPr="0069212A" w:rsidRDefault="00B11F72" w:rsidP="00F70453">
            <w:pPr>
              <w:spacing w:line="240" w:lineRule="auto"/>
              <w:textAlignment w:val="baseline"/>
              <w:rPr>
                <w:rFonts w:eastAsia="Times New Roman" w:cs="Calibri"/>
              </w:rPr>
            </w:pPr>
            <w:r w:rsidRPr="0069212A">
              <w:rPr>
                <w:rFonts w:eastAsia="Times New Roman" w:cs="Calibri"/>
              </w:rPr>
              <w:t> </w:t>
            </w:r>
          </w:p>
        </w:tc>
      </w:tr>
      <w:tr w:rsidR="00D01B9A" w:rsidRPr="0069212A" w14:paraId="76F672D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62080731" w14:textId="77777777" w:rsidR="00B11F72" w:rsidRDefault="00B11F72" w:rsidP="00B11F72">
            <w:pPr>
              <w:spacing w:line="240" w:lineRule="auto"/>
              <w:textAlignment w:val="baseline"/>
              <w:rPr>
                <w:rFonts w:eastAsia="Times New Roman" w:cs="Calibri"/>
              </w:rPr>
            </w:pPr>
            <w:r w:rsidRPr="0069212A">
              <w:rPr>
                <w:rFonts w:eastAsia="Times New Roman" w:cs="Calibri"/>
              </w:rPr>
              <w:t>ensuring adequate services and supports for pregnant persons and newborns; </w:t>
            </w:r>
          </w:p>
          <w:p w14:paraId="6908BEE3" w14:textId="77777777" w:rsidR="00B11F72" w:rsidRDefault="00B11F72" w:rsidP="00B11F72">
            <w:pPr>
              <w:spacing w:line="240" w:lineRule="auto"/>
              <w:textAlignment w:val="baseline"/>
              <w:rPr>
                <w:rFonts w:eastAsia="Times New Roman" w:cs="Calibri"/>
                <w:i/>
              </w:rPr>
            </w:pPr>
          </w:p>
          <w:p w14:paraId="3A05646F" w14:textId="0F8FED60"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1F92265D" w14:textId="77777777" w:rsidR="00B11F72" w:rsidRDefault="00F1222E" w:rsidP="00B11F72">
            <w:pPr>
              <w:spacing w:line="240" w:lineRule="auto"/>
              <w:textAlignment w:val="baseline"/>
              <w:rPr>
                <w:rFonts w:eastAsia="Times New Roman" w:cs="Calibri"/>
              </w:rPr>
            </w:pPr>
            <w:hyperlink w:anchor="Maternal_Child_Health_Services" w:history="1">
              <w:r w:rsidR="00B11F72" w:rsidRPr="003403C8">
                <w:rPr>
                  <w:rStyle w:val="Hyperlink"/>
                  <w:rFonts w:eastAsia="Times New Roman" w:cs="Calibri"/>
                </w:rPr>
                <w:t>Maternal &amp; Child Health Services section</w:t>
              </w:r>
              <w:r w:rsidR="00B11F72">
                <w:rPr>
                  <w:rStyle w:val="Hyperlink"/>
                  <w:rFonts w:eastAsia="Times New Roman" w:cs="Calibri"/>
                </w:rPr>
                <w:t>;</w:t>
              </w:r>
            </w:hyperlink>
            <w:r w:rsidR="00B11F72">
              <w:rPr>
                <w:rFonts w:eastAsia="Times New Roman" w:cs="Calibri"/>
              </w:rPr>
              <w:t xml:space="preserve"> </w:t>
            </w:r>
          </w:p>
          <w:p w14:paraId="44D670E3" w14:textId="77777777" w:rsidR="00B11F72" w:rsidRDefault="00F1222E" w:rsidP="00B11F72">
            <w:pPr>
              <w:spacing w:line="240" w:lineRule="auto"/>
              <w:textAlignment w:val="baseline"/>
              <w:rPr>
                <w:rFonts w:eastAsia="Times New Roman" w:cs="Calibri"/>
              </w:rPr>
            </w:pPr>
            <w:hyperlink w:anchor="Home_based_Services" w:history="1">
              <w:r w:rsidR="00B11F72" w:rsidRPr="00AA7CC9">
                <w:rPr>
                  <w:rStyle w:val="Hyperlink"/>
                  <w:rFonts w:eastAsia="Times New Roman" w:cs="Calibri"/>
                </w:rPr>
                <w:t>Home Based Services section</w:t>
              </w:r>
            </w:hyperlink>
            <w:r w:rsidR="00B11F72" w:rsidRPr="0069212A">
              <w:rPr>
                <w:rFonts w:eastAsia="Times New Roman" w:cs="Calibri"/>
              </w:rPr>
              <w:t>, </w:t>
            </w:r>
          </w:p>
          <w:p w14:paraId="7BEABA35" w14:textId="7F032566" w:rsidR="00D01B9A" w:rsidRPr="0069212A" w:rsidRDefault="00F1222E" w:rsidP="00F70453">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w:t>
              </w:r>
            </w:hyperlink>
            <w:r w:rsidR="00562D5F">
              <w:rPr>
                <w:rStyle w:val="Hyperlink"/>
                <w:rFonts w:eastAsia="Times New Roman" w:cs="Calibri"/>
              </w:rPr>
              <w:t xml:space="preserve"> section</w:t>
            </w:r>
            <w:r w:rsidR="00B11F72" w:rsidRPr="0069212A">
              <w:rPr>
                <w:rFonts w:eastAsia="Times New Roman" w:cs="Calibri"/>
              </w:rPr>
              <w:t xml:space="preserve"> (Perinatal and Lactation Support Services)</w:t>
            </w:r>
            <w:r w:rsidR="00B11F72">
              <w:rPr>
                <w:rFonts w:eastAsia="Times New Roman" w:cs="Calibri"/>
              </w:rPr>
              <w:t>.</w:t>
            </w:r>
          </w:p>
        </w:tc>
      </w:tr>
      <w:tr w:rsidR="00D01B9A" w:rsidRPr="0069212A" w14:paraId="620EF60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C6EE006" w14:textId="77777777" w:rsidR="00B11F72" w:rsidRDefault="00B11F72" w:rsidP="00B11F72">
            <w:pPr>
              <w:spacing w:line="240" w:lineRule="auto"/>
              <w:textAlignment w:val="baseline"/>
              <w:rPr>
                <w:rFonts w:eastAsia="Times New Roman" w:cs="Calibri"/>
              </w:rPr>
            </w:pPr>
            <w:r w:rsidRPr="0069212A">
              <w:rPr>
                <w:rFonts w:eastAsia="Times New Roman" w:cs="Calibri"/>
              </w:rPr>
              <w:t>access to safe and healthy food; </w:t>
            </w:r>
          </w:p>
          <w:p w14:paraId="2D860DCF" w14:textId="249538E6"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0BB4868E" w14:textId="77777777" w:rsidR="00B11F72" w:rsidRDefault="00F1222E" w:rsidP="00B11F72">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 section </w:t>
              </w:r>
            </w:hyperlink>
            <w:r w:rsidR="00B11F72" w:rsidRPr="0069212A">
              <w:rPr>
                <w:rFonts w:eastAsia="Times New Roman" w:cs="Calibri"/>
              </w:rPr>
              <w:t xml:space="preserve">(Resource Brokering); </w:t>
            </w:r>
          </w:p>
          <w:p w14:paraId="279AB580" w14:textId="7443F121" w:rsidR="00B11F72" w:rsidRDefault="00F1222E" w:rsidP="00B11F72">
            <w:pPr>
              <w:spacing w:line="240" w:lineRule="auto"/>
              <w:textAlignment w:val="baseline"/>
              <w:rPr>
                <w:rFonts w:eastAsia="Times New Roman" w:cs="Calibri"/>
              </w:rPr>
            </w:pPr>
            <w:hyperlink w:anchor="Healthy_Safe_Environments" w:history="1">
              <w:r w:rsidR="00B11F72" w:rsidRPr="00A624F6">
                <w:rPr>
                  <w:rStyle w:val="Hyperlink"/>
                  <w:rFonts w:eastAsia="Times New Roman" w:cs="Calibri"/>
                </w:rPr>
                <w:t>Healthy &amp; Safe Environments</w:t>
              </w:r>
            </w:hyperlink>
            <w:r w:rsidR="00562D5F">
              <w:rPr>
                <w:rStyle w:val="Hyperlink"/>
                <w:rFonts w:eastAsia="Times New Roman" w:cs="Calibri"/>
              </w:rPr>
              <w:t xml:space="preserve"> section</w:t>
            </w:r>
            <w:r w:rsidR="00B11F72" w:rsidRPr="0069212A">
              <w:rPr>
                <w:rFonts w:eastAsia="Times New Roman" w:cs="Calibri"/>
              </w:rPr>
              <w:t xml:space="preserve">; </w:t>
            </w:r>
          </w:p>
          <w:p w14:paraId="0ACC7E1E" w14:textId="7531C703" w:rsidR="00D01B9A" w:rsidRPr="0069212A" w:rsidRDefault="00F1222E" w:rsidP="00F70453">
            <w:pPr>
              <w:spacing w:line="240" w:lineRule="auto"/>
              <w:textAlignment w:val="baseline"/>
              <w:rPr>
                <w:rFonts w:eastAsia="Times New Roman" w:cs="Calibri"/>
              </w:rPr>
            </w:pPr>
            <w:hyperlink w:anchor="_Communities_of_Opportunity" w:history="1">
              <w:r w:rsidR="00B11F72" w:rsidRPr="00A624F6">
                <w:rPr>
                  <w:rStyle w:val="Hyperlink"/>
                  <w:rFonts w:eastAsia="Times New Roman" w:cs="Calibri"/>
                </w:rPr>
                <w:t>Communities of Opportunity section</w:t>
              </w:r>
            </w:hyperlink>
            <w:r w:rsidR="00B11F72">
              <w:rPr>
                <w:rFonts w:eastAsia="Times New Roman" w:cs="Calibri"/>
              </w:rPr>
              <w:t xml:space="preserve">. </w:t>
            </w:r>
          </w:p>
        </w:tc>
      </w:tr>
      <w:tr w:rsidR="00D01B9A" w:rsidRPr="0069212A" w14:paraId="2C309CB9"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1ACC44A" w14:textId="77777777" w:rsidR="00B11F72" w:rsidRDefault="00B11F72" w:rsidP="00B11F72">
            <w:pPr>
              <w:spacing w:line="240" w:lineRule="auto"/>
              <w:textAlignment w:val="baseline"/>
              <w:rPr>
                <w:rFonts w:eastAsia="Times New Roman" w:cs="Calibri"/>
              </w:rPr>
            </w:pPr>
            <w:r w:rsidRPr="0069212A">
              <w:rPr>
                <w:rFonts w:eastAsia="Times New Roman" w:cs="Calibri"/>
              </w:rPr>
              <w:t>developmental screening for children and youth; </w:t>
            </w:r>
          </w:p>
          <w:p w14:paraId="3F9ACADA" w14:textId="2BF30AA6"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25EC4BE3" w14:textId="77777777" w:rsidR="00B11F72" w:rsidRDefault="00F1222E"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xml:space="preserve">; </w:t>
            </w:r>
          </w:p>
          <w:p w14:paraId="7528052D" w14:textId="77777777" w:rsidR="00B11F72" w:rsidRDefault="00F1222E" w:rsidP="00B11F72">
            <w:pPr>
              <w:spacing w:line="240" w:lineRule="auto"/>
              <w:textAlignment w:val="baseline"/>
              <w:rPr>
                <w:rFonts w:eastAsia="Times New Roman" w:cs="Calibri"/>
              </w:rPr>
            </w:pPr>
            <w:hyperlink w:anchor="Help_Me_Grow" w:history="1">
              <w:r w:rsidR="00B11F72" w:rsidRPr="003B554D">
                <w:rPr>
                  <w:rStyle w:val="Hyperlink"/>
                  <w:rFonts w:eastAsia="Times New Roman" w:cs="Calibri"/>
                </w:rPr>
                <w:t>Help Me Grow section</w:t>
              </w:r>
            </w:hyperlink>
            <w:r w:rsidR="00B11F72" w:rsidRPr="0069212A">
              <w:rPr>
                <w:rFonts w:eastAsia="Times New Roman" w:cs="Calibri"/>
              </w:rPr>
              <w:t>; </w:t>
            </w:r>
          </w:p>
          <w:p w14:paraId="1B5B74A7" w14:textId="77777777" w:rsidR="00B11F72" w:rsidRDefault="00F1222E"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1E96F453" w14:textId="77777777" w:rsidR="00B11F72" w:rsidRDefault="00F1222E"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3064F5A6" w14:textId="2027DCD6" w:rsidR="00D01B9A" w:rsidRPr="0069212A" w:rsidRDefault="00F1222E" w:rsidP="00F70453">
            <w:pPr>
              <w:spacing w:line="240" w:lineRule="auto"/>
              <w:textAlignment w:val="baseline"/>
              <w:rPr>
                <w:rFonts w:eastAsia="Times New Roman" w:cs="Calibri"/>
              </w:rPr>
            </w:pPr>
            <w:hyperlink w:anchor="Child_Care_Health_Consultation" w:history="1">
              <w:r w:rsidR="00B11F72" w:rsidRPr="003B554D">
                <w:rPr>
                  <w:rStyle w:val="Hyperlink"/>
                  <w:rFonts w:eastAsia="Times New Roman" w:cs="Calibri"/>
                </w:rPr>
                <w:t>Child Care Health Consultation section</w:t>
              </w:r>
            </w:hyperlink>
            <w:r w:rsidR="00B11F72" w:rsidRPr="0069212A">
              <w:rPr>
                <w:rFonts w:eastAsia="Times New Roman" w:cs="Calibri"/>
              </w:rPr>
              <w:t>. </w:t>
            </w:r>
          </w:p>
        </w:tc>
      </w:tr>
      <w:tr w:rsidR="00D01B9A" w:rsidRPr="0069212A" w14:paraId="3F01A198"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344FB890" w14:textId="77777777" w:rsidR="00B11F72" w:rsidRDefault="00B11F72" w:rsidP="00B11F72">
            <w:pPr>
              <w:spacing w:line="240" w:lineRule="auto"/>
              <w:textAlignment w:val="baseline"/>
              <w:rPr>
                <w:rFonts w:eastAsia="Times New Roman" w:cs="Calibri"/>
              </w:rPr>
            </w:pPr>
            <w:r w:rsidRPr="0069212A">
              <w:rPr>
                <w:rFonts w:eastAsia="Times New Roman" w:cs="Calibri"/>
              </w:rPr>
              <w:t>programs that care for children and youth when they are not at home including child care and out-of-school-time programs; </w:t>
            </w:r>
          </w:p>
          <w:p w14:paraId="3DB4C222" w14:textId="71683657"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5A886E70" w14:textId="45F99321" w:rsidR="00D01B9A" w:rsidRPr="0069212A" w:rsidRDefault="00F1222E" w:rsidP="00F70453">
            <w:pPr>
              <w:spacing w:line="240" w:lineRule="auto"/>
              <w:textAlignment w:val="baseline"/>
              <w:rPr>
                <w:rFonts w:eastAsia="Times New Roman" w:cs="Calibri"/>
              </w:rPr>
            </w:pPr>
            <w:hyperlink w:anchor="Expanded_Learning" w:history="1">
              <w:r w:rsidR="00B11F72" w:rsidRPr="003B554D">
                <w:rPr>
                  <w:rStyle w:val="Hyperlink"/>
                  <w:rFonts w:eastAsia="Times New Roman" w:cs="Calibri"/>
                </w:rPr>
                <w:t>Expanded Learning section.</w:t>
              </w:r>
            </w:hyperlink>
          </w:p>
        </w:tc>
      </w:tr>
      <w:tr w:rsidR="000D01C0" w:rsidRPr="0069212A" w14:paraId="1887AE8B"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28E25A5" w14:textId="77777777" w:rsidR="00B11F72" w:rsidRDefault="00B11F72" w:rsidP="00B11F72">
            <w:pPr>
              <w:spacing w:line="240" w:lineRule="auto"/>
              <w:textAlignment w:val="baseline"/>
              <w:rPr>
                <w:rFonts w:eastAsia="Times New Roman" w:cs="Calibri"/>
              </w:rPr>
            </w:pPr>
            <w:r w:rsidRPr="0069212A">
              <w:rPr>
                <w:rFonts w:eastAsia="Times New Roman" w:cs="Calibri"/>
              </w:rPr>
              <w:t>programs and services that promote social and emotional well-being, mental health and a sense of belonging, connection and positive identity in children and youth; </w:t>
            </w:r>
          </w:p>
          <w:p w14:paraId="0B3026A0" w14:textId="7246D772"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22C42C93" w14:textId="77777777" w:rsidR="00B11F72" w:rsidRDefault="00F1222E" w:rsidP="00B11F72">
            <w:pPr>
              <w:spacing w:line="240" w:lineRule="auto"/>
              <w:textAlignment w:val="baseline"/>
              <w:rPr>
                <w:rFonts w:eastAsia="Times New Roman" w:cs="Calibri"/>
              </w:rPr>
            </w:pPr>
            <w:hyperlink w:anchor="Systems_Building_for_Infant_Mental_Heath" w:history="1">
              <w:r w:rsidR="00B11F72" w:rsidRPr="0006592E">
                <w:rPr>
                  <w:rStyle w:val="Hyperlink"/>
                  <w:rFonts w:eastAsia="Times New Roman" w:cs="Calibri"/>
                </w:rPr>
                <w:t>Systems Building for Infant Mental Health section</w:t>
              </w:r>
            </w:hyperlink>
            <w:r w:rsidR="00B11F72" w:rsidRPr="0069212A">
              <w:rPr>
                <w:rFonts w:eastAsia="Times New Roman" w:cs="Calibri"/>
              </w:rPr>
              <w:t>;</w:t>
            </w:r>
          </w:p>
          <w:p w14:paraId="5AEEB621" w14:textId="5FE6417E" w:rsidR="00B11F72" w:rsidRDefault="00F1222E" w:rsidP="00B11F72">
            <w:pPr>
              <w:spacing w:line="240" w:lineRule="auto"/>
              <w:textAlignment w:val="baseline"/>
              <w:rPr>
                <w:rFonts w:eastAsia="Times New Roman" w:cs="Calibri"/>
              </w:rPr>
            </w:pPr>
            <w:hyperlink w:anchor="Liberation_Healing" w:history="1">
              <w:r w:rsidR="00B11F72" w:rsidRPr="0006592E">
                <w:rPr>
                  <w:rStyle w:val="Hyperlink"/>
                  <w:rFonts w:eastAsia="Times New Roman" w:cs="Calibri"/>
                </w:rPr>
                <w:t>Liberation and Healing</w:t>
              </w:r>
            </w:hyperlink>
            <w:r w:rsidR="00CC3A9D">
              <w:rPr>
                <w:rStyle w:val="Hyperlink"/>
                <w:rFonts w:eastAsia="Times New Roman" w:cs="Calibri"/>
              </w:rPr>
              <w:t xml:space="preserve"> section</w:t>
            </w:r>
            <w:r w:rsidR="00B11F72" w:rsidRPr="0069212A">
              <w:rPr>
                <w:rFonts w:eastAsia="Times New Roman" w:cs="Calibri"/>
              </w:rPr>
              <w:t>;</w:t>
            </w:r>
          </w:p>
          <w:p w14:paraId="51467F1F" w14:textId="12CDE8B5" w:rsidR="000D01C0" w:rsidRPr="0069212A" w:rsidRDefault="00F1222E" w:rsidP="00F70453">
            <w:pPr>
              <w:spacing w:line="240" w:lineRule="auto"/>
              <w:textAlignment w:val="baseline"/>
              <w:rPr>
                <w:rFonts w:eastAsia="Times New Roman" w:cs="Calibri"/>
              </w:rPr>
            </w:pPr>
            <w:hyperlink w:anchor="SBSBIRT" w:history="1">
              <w:r w:rsidR="00B11F72" w:rsidRPr="0006592E">
                <w:rPr>
                  <w:rStyle w:val="Hyperlink"/>
                  <w:rFonts w:eastAsia="Times New Roman" w:cs="Calibri"/>
                </w:rPr>
                <w:t>SB:SBIRT section</w:t>
              </w:r>
            </w:hyperlink>
            <w:r w:rsidR="00B11F72">
              <w:rPr>
                <w:rFonts w:eastAsia="Times New Roman" w:cs="Calibri"/>
              </w:rPr>
              <w:t>.</w:t>
            </w:r>
            <w:r w:rsidR="00B11F72" w:rsidRPr="0069212A">
              <w:rPr>
                <w:rFonts w:eastAsia="Times New Roman" w:cs="Calibri"/>
              </w:rPr>
              <w:t> </w:t>
            </w:r>
          </w:p>
        </w:tc>
      </w:tr>
      <w:tr w:rsidR="000D01C0" w:rsidRPr="0069212A" w14:paraId="6FEC520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00651DA2" w14:textId="77777777" w:rsidR="00B11F72" w:rsidRDefault="00B11F72" w:rsidP="00B11F72">
            <w:pPr>
              <w:spacing w:line="240" w:lineRule="auto"/>
              <w:textAlignment w:val="baseline"/>
              <w:rPr>
                <w:rFonts w:eastAsia="Times New Roman" w:cs="Calibri"/>
              </w:rPr>
            </w:pPr>
            <w:r w:rsidRPr="0069212A">
              <w:rPr>
                <w:rFonts w:eastAsia="Times New Roman" w:cs="Calibri"/>
              </w:rPr>
              <w:t>programs and services that provide academic support and promote academic achievement; </w:t>
            </w:r>
          </w:p>
          <w:p w14:paraId="4A3EC6E9" w14:textId="422E73F8"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0B23B9B4" w14:textId="08B1A870" w:rsidR="00B11F72" w:rsidRDefault="00F1222E" w:rsidP="00B11F72">
            <w:pPr>
              <w:spacing w:line="240" w:lineRule="auto"/>
              <w:textAlignment w:val="baseline"/>
            </w:pPr>
            <w:hyperlink w:anchor="Liberation_Healing" w:history="1">
              <w:r w:rsidR="00B11F72" w:rsidRPr="0006592E">
                <w:rPr>
                  <w:rStyle w:val="Hyperlink"/>
                  <w:rFonts w:eastAsia="Times New Roman" w:cs="Calibri"/>
                </w:rPr>
                <w:t>Liberation and Healing</w:t>
              </w:r>
            </w:hyperlink>
            <w:r w:rsidR="00CC3A9D">
              <w:rPr>
                <w:rStyle w:val="Hyperlink"/>
                <w:rFonts w:eastAsia="Times New Roman" w:cs="Calibri"/>
              </w:rPr>
              <w:t xml:space="preserve"> section</w:t>
            </w:r>
            <w:r w:rsidR="00B11F72">
              <w:rPr>
                <w:rFonts w:eastAsia="Times New Roman" w:cs="Calibri"/>
              </w:rPr>
              <w:t>;</w:t>
            </w:r>
            <w:r w:rsidR="00B11F72" w:rsidRPr="008C6281">
              <w:t xml:space="preserve"> </w:t>
            </w:r>
          </w:p>
          <w:p w14:paraId="7497F0A0" w14:textId="77777777" w:rsidR="00B11F72" w:rsidRDefault="00F1222E" w:rsidP="00B11F72">
            <w:pPr>
              <w:spacing w:line="240" w:lineRule="auto"/>
              <w:textAlignment w:val="baseline"/>
              <w:rPr>
                <w:rFonts w:eastAsia="Times New Roman" w:cs="Calibri"/>
              </w:rPr>
            </w:pPr>
            <w:hyperlink w:anchor="Expanded_Learning" w:history="1">
              <w:r w:rsidR="00B11F72" w:rsidRPr="0006592E">
                <w:rPr>
                  <w:rStyle w:val="Hyperlink"/>
                  <w:rFonts w:eastAsia="Times New Roman" w:cs="Calibri"/>
                </w:rPr>
                <w:t>Expanded Learning section</w:t>
              </w:r>
            </w:hyperlink>
            <w:r w:rsidR="00B11F72">
              <w:rPr>
                <w:rFonts w:eastAsia="Times New Roman" w:cs="Calibri"/>
              </w:rPr>
              <w:t>;</w:t>
            </w:r>
          </w:p>
          <w:p w14:paraId="03F719D9" w14:textId="77777777" w:rsidR="00B11F72" w:rsidRDefault="00F1222E" w:rsidP="00B11F72">
            <w:pPr>
              <w:spacing w:line="240" w:lineRule="auto"/>
              <w:textAlignment w:val="baseline"/>
              <w:rPr>
                <w:rFonts w:eastAsia="Times New Roman" w:cs="Calibri"/>
              </w:rPr>
            </w:pPr>
            <w:hyperlink w:anchor="Youth_Development" w:history="1">
              <w:r w:rsidR="00B11F72" w:rsidRPr="0006592E">
                <w:rPr>
                  <w:rStyle w:val="Hyperlink"/>
                  <w:rFonts w:eastAsia="Times New Roman" w:cs="Calibri"/>
                </w:rPr>
                <w:t>Youth Development section</w:t>
              </w:r>
            </w:hyperlink>
            <w:r w:rsidR="00B11F72" w:rsidRPr="0069212A">
              <w:rPr>
                <w:rFonts w:eastAsia="Times New Roman" w:cs="Calibri"/>
              </w:rPr>
              <w:t xml:space="preserve">; </w:t>
            </w:r>
          </w:p>
          <w:p w14:paraId="39A746B7" w14:textId="77777777" w:rsidR="00B11F72" w:rsidRDefault="00F1222E" w:rsidP="00B11F72">
            <w:pPr>
              <w:spacing w:line="240" w:lineRule="auto"/>
              <w:textAlignment w:val="baseline"/>
              <w:rPr>
                <w:rFonts w:eastAsia="Times New Roman" w:cs="Calibri"/>
              </w:rPr>
            </w:pPr>
            <w:hyperlink w:anchor="School_BasedHealthCenters" w:history="1">
              <w:r w:rsidR="00B11F72" w:rsidRPr="0006592E">
                <w:rPr>
                  <w:rStyle w:val="Hyperlink"/>
                  <w:rFonts w:eastAsia="Times New Roman" w:cs="Calibri"/>
                </w:rPr>
                <w:t>School Based Health</w:t>
              </w:r>
              <w:r w:rsidR="00B11F72">
                <w:rPr>
                  <w:rStyle w:val="Hyperlink"/>
                  <w:rFonts w:eastAsia="Times New Roman" w:cs="Calibri"/>
                </w:rPr>
                <w:t xml:space="preserve"> </w:t>
              </w:r>
              <w:r w:rsidR="00B11F72" w:rsidRPr="0006592E">
                <w:rPr>
                  <w:rStyle w:val="Hyperlink"/>
                  <w:rFonts w:eastAsia="Times New Roman" w:cs="Calibri"/>
                </w:rPr>
                <w:t>Centers section</w:t>
              </w:r>
            </w:hyperlink>
            <w:r w:rsidR="00B11F72" w:rsidRPr="0069212A">
              <w:rPr>
                <w:rFonts w:eastAsia="Times New Roman" w:cs="Calibri"/>
              </w:rPr>
              <w:t>; </w:t>
            </w:r>
          </w:p>
          <w:p w14:paraId="6561B1BB" w14:textId="6150ACC0" w:rsidR="000D01C0" w:rsidRPr="0069212A" w:rsidRDefault="00F1222E" w:rsidP="00F70453">
            <w:pPr>
              <w:spacing w:line="240" w:lineRule="auto"/>
              <w:textAlignment w:val="baseline"/>
              <w:rPr>
                <w:rFonts w:eastAsia="Times New Roman" w:cs="Calibri"/>
              </w:rPr>
            </w:pPr>
            <w:hyperlink w:anchor="_Capital_Program" w:history="1">
              <w:r w:rsidR="00B11F72" w:rsidRPr="0006592E">
                <w:rPr>
                  <w:rStyle w:val="Hyperlink"/>
                  <w:rFonts w:eastAsia="Times New Roman" w:cs="Calibri"/>
                </w:rPr>
                <w:t>Capital Programs section</w:t>
              </w:r>
            </w:hyperlink>
            <w:r w:rsidR="00B11F72">
              <w:rPr>
                <w:rFonts w:eastAsia="Times New Roman" w:cs="Calibri"/>
              </w:rPr>
              <w:t>.</w:t>
            </w:r>
          </w:p>
        </w:tc>
      </w:tr>
    </w:tbl>
    <w:p w14:paraId="136137BB" w14:textId="77777777" w:rsidR="00B11F72" w:rsidRDefault="00B11F72">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8A1A7E" w:rsidRPr="0069212A" w14:paraId="27A0DCF0" w14:textId="77777777" w:rsidTr="008A1A7E">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6A9CEEB9" w14:textId="7EC97622" w:rsidR="008A1A7E" w:rsidRPr="0069212A" w:rsidRDefault="008A1A7E" w:rsidP="008A1A7E">
            <w:pPr>
              <w:spacing w:line="240" w:lineRule="auto"/>
              <w:textAlignment w:val="baseline"/>
              <w:rPr>
                <w:rFonts w:eastAsia="Times New Roman" w:cs="Calibri"/>
              </w:rPr>
            </w:pPr>
            <w:r w:rsidRPr="0069212A">
              <w:rPr>
                <w:rFonts w:eastAsia="Times New Roman" w:cs="Calibri"/>
                <w:b/>
                <w:bCs/>
              </w:rPr>
              <w:lastRenderedPageBreak/>
              <w:t xml:space="preserve">Required Implementation Plan </w:t>
            </w:r>
            <w:r w:rsidR="00445AF8">
              <w:rPr>
                <w:rFonts w:eastAsia="Times New Roman" w:cs="Calibri"/>
                <w:b/>
                <w:bCs/>
              </w:rPr>
              <w:t>Elements</w:t>
            </w:r>
            <w:r w:rsidR="00445AF8"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217F31A9" w14:textId="14C55DB1" w:rsidR="008A1A7E" w:rsidRPr="0069212A" w:rsidRDefault="00213C4D" w:rsidP="008A1A7E">
            <w:pPr>
              <w:spacing w:line="240" w:lineRule="auto"/>
              <w:textAlignment w:val="baseline"/>
              <w:rPr>
                <w:rFonts w:eastAsia="Times New Roman" w:cs="Calibri"/>
              </w:rPr>
            </w:pPr>
            <w:r>
              <w:rPr>
                <w:rFonts w:eastAsia="Times New Roman" w:cs="Calibri"/>
                <w:b/>
                <w:bCs/>
              </w:rPr>
              <w:t>Links to Relevant Section(s)</w:t>
            </w:r>
          </w:p>
        </w:tc>
      </w:tr>
      <w:tr w:rsidR="000D01C0" w:rsidRPr="0069212A" w14:paraId="042200D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6F002C85" w14:textId="5FD1EC40" w:rsidR="00B11F72" w:rsidRPr="0069212A" w:rsidRDefault="00B11F72" w:rsidP="00B11F72">
            <w:pPr>
              <w:spacing w:line="240" w:lineRule="auto"/>
              <w:textAlignment w:val="baseline"/>
              <w:rPr>
                <w:rFonts w:ascii="Segoe UI" w:eastAsia="Times New Roman" w:hAnsi="Segoe UI" w:cs="Segoe UI"/>
                <w:sz w:val="18"/>
                <w:szCs w:val="18"/>
              </w:rPr>
            </w:pPr>
            <w:r w:rsidRPr="0069212A">
              <w:rPr>
                <w:rFonts w:eastAsia="Times New Roman" w:cs="Calibri"/>
              </w:rPr>
              <w:t>After the amount authorized in subsection A. of this section, the remaining levy proceeds shall be used to promote improved health and well-being outcomes of children and youth, as well as the families and the communities in which they live, including, but not limited to: </w:t>
            </w:r>
          </w:p>
          <w:p w14:paraId="7C780547" w14:textId="74B8E44C"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236F6929" w14:textId="741B2CB8" w:rsidR="000D01C0" w:rsidRPr="0069212A" w:rsidRDefault="00B11F72" w:rsidP="00F70453">
            <w:pPr>
              <w:spacing w:line="240" w:lineRule="auto"/>
              <w:textAlignment w:val="baseline"/>
              <w:rPr>
                <w:rFonts w:eastAsia="Times New Roman" w:cs="Calibri"/>
              </w:rPr>
            </w:pPr>
            <w:r w:rsidRPr="0069212A">
              <w:rPr>
                <w:rFonts w:eastAsia="Times New Roman" w:cs="Calibri"/>
              </w:rPr>
              <w:t> </w:t>
            </w:r>
          </w:p>
        </w:tc>
      </w:tr>
      <w:tr w:rsidR="000D01C0" w:rsidRPr="0069212A" w14:paraId="34E8784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18F8B73" w14:textId="77777777" w:rsidR="00B11F72" w:rsidRDefault="00B11F72" w:rsidP="00B11F72">
            <w:pPr>
              <w:spacing w:line="240" w:lineRule="auto"/>
              <w:textAlignment w:val="baseline"/>
              <w:rPr>
                <w:rFonts w:eastAsia="Times New Roman" w:cs="Calibri"/>
              </w:rPr>
            </w:pPr>
            <w:r w:rsidRPr="0069212A">
              <w:rPr>
                <w:rFonts w:eastAsia="Times New Roman" w:cs="Calibri"/>
              </w:rPr>
              <w:t>ensuring adequate services and supports for pregnant persons and newborns; </w:t>
            </w:r>
          </w:p>
          <w:p w14:paraId="0AE59751" w14:textId="77777777" w:rsidR="00B11F72" w:rsidRDefault="00B11F72" w:rsidP="00B11F72">
            <w:pPr>
              <w:spacing w:line="240" w:lineRule="auto"/>
              <w:textAlignment w:val="baseline"/>
              <w:rPr>
                <w:rFonts w:eastAsia="Times New Roman" w:cs="Calibri"/>
                <w:i/>
              </w:rPr>
            </w:pPr>
          </w:p>
          <w:p w14:paraId="2E097DC7" w14:textId="24EABE6B"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5C97C6FE" w14:textId="77777777" w:rsidR="00B11F72" w:rsidRDefault="00F1222E" w:rsidP="00B11F72">
            <w:pPr>
              <w:spacing w:line="240" w:lineRule="auto"/>
              <w:textAlignment w:val="baseline"/>
              <w:rPr>
                <w:rFonts w:eastAsia="Times New Roman" w:cs="Calibri"/>
              </w:rPr>
            </w:pPr>
            <w:hyperlink w:anchor="Maternal_Child_Health_Services" w:history="1">
              <w:r w:rsidR="00B11F72" w:rsidRPr="003403C8">
                <w:rPr>
                  <w:rStyle w:val="Hyperlink"/>
                  <w:rFonts w:eastAsia="Times New Roman" w:cs="Calibri"/>
                </w:rPr>
                <w:t>Maternal &amp; Child Health Services section</w:t>
              </w:r>
              <w:r w:rsidR="00B11F72">
                <w:rPr>
                  <w:rStyle w:val="Hyperlink"/>
                  <w:rFonts w:eastAsia="Times New Roman" w:cs="Calibri"/>
                </w:rPr>
                <w:t>;</w:t>
              </w:r>
            </w:hyperlink>
            <w:r w:rsidR="00B11F72">
              <w:rPr>
                <w:rFonts w:eastAsia="Times New Roman" w:cs="Calibri"/>
              </w:rPr>
              <w:t xml:space="preserve"> </w:t>
            </w:r>
          </w:p>
          <w:p w14:paraId="45B9D9FC" w14:textId="77777777" w:rsidR="00B11F72" w:rsidRDefault="00F1222E" w:rsidP="00B11F72">
            <w:pPr>
              <w:spacing w:line="240" w:lineRule="auto"/>
              <w:textAlignment w:val="baseline"/>
              <w:rPr>
                <w:rFonts w:eastAsia="Times New Roman" w:cs="Calibri"/>
              </w:rPr>
            </w:pPr>
            <w:hyperlink w:anchor="Home_based_Services" w:history="1">
              <w:r w:rsidR="00B11F72" w:rsidRPr="00AA7CC9">
                <w:rPr>
                  <w:rStyle w:val="Hyperlink"/>
                  <w:rFonts w:eastAsia="Times New Roman" w:cs="Calibri"/>
                </w:rPr>
                <w:t>Home Based Services section</w:t>
              </w:r>
            </w:hyperlink>
            <w:r w:rsidR="00B11F72" w:rsidRPr="0069212A">
              <w:rPr>
                <w:rFonts w:eastAsia="Times New Roman" w:cs="Calibri"/>
              </w:rPr>
              <w:t>, </w:t>
            </w:r>
          </w:p>
          <w:p w14:paraId="3D2AFAE8" w14:textId="622654FE" w:rsidR="000D01C0" w:rsidRPr="0069212A" w:rsidRDefault="00F1222E" w:rsidP="00F70453">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w:t>
              </w:r>
            </w:hyperlink>
            <w:r w:rsidR="00060EC9">
              <w:rPr>
                <w:rStyle w:val="Hyperlink"/>
                <w:rFonts w:eastAsia="Times New Roman" w:cs="Calibri"/>
              </w:rPr>
              <w:t xml:space="preserve"> section</w:t>
            </w:r>
            <w:r w:rsidR="00B11F72" w:rsidRPr="0069212A">
              <w:rPr>
                <w:rFonts w:eastAsia="Times New Roman" w:cs="Calibri"/>
              </w:rPr>
              <w:t xml:space="preserve"> (Perinatal and Lactation Support Services)</w:t>
            </w:r>
            <w:r w:rsidR="00B11F72">
              <w:rPr>
                <w:rFonts w:eastAsia="Times New Roman" w:cs="Calibri"/>
              </w:rPr>
              <w:t>.</w:t>
            </w:r>
          </w:p>
        </w:tc>
      </w:tr>
      <w:tr w:rsidR="00760902" w:rsidRPr="0069212A" w14:paraId="61DF66C0"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CCFFBE9" w14:textId="77777777" w:rsidR="00B11F72" w:rsidRDefault="00B11F72" w:rsidP="00B11F72">
            <w:pPr>
              <w:spacing w:line="240" w:lineRule="auto"/>
              <w:textAlignment w:val="baseline"/>
              <w:rPr>
                <w:rFonts w:eastAsia="Times New Roman" w:cs="Calibri"/>
              </w:rPr>
            </w:pPr>
            <w:r w:rsidRPr="0069212A">
              <w:rPr>
                <w:rFonts w:eastAsia="Times New Roman" w:cs="Calibri"/>
              </w:rPr>
              <w:t>access to safe and healthy food; </w:t>
            </w:r>
          </w:p>
          <w:p w14:paraId="0C1EA889" w14:textId="31FFF13D" w:rsidR="00760902"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42D67199" w14:textId="77777777" w:rsidR="00B11F72" w:rsidRDefault="00F1222E" w:rsidP="00B11F72">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 section </w:t>
              </w:r>
            </w:hyperlink>
            <w:r w:rsidR="00B11F72" w:rsidRPr="0069212A">
              <w:rPr>
                <w:rFonts w:eastAsia="Times New Roman" w:cs="Calibri"/>
              </w:rPr>
              <w:t xml:space="preserve">(Resource Brokering); </w:t>
            </w:r>
          </w:p>
          <w:p w14:paraId="37D0DC84" w14:textId="17F4D3B4" w:rsidR="00B11F72" w:rsidRDefault="00F1222E" w:rsidP="00B11F72">
            <w:pPr>
              <w:spacing w:line="240" w:lineRule="auto"/>
              <w:textAlignment w:val="baseline"/>
              <w:rPr>
                <w:rFonts w:eastAsia="Times New Roman" w:cs="Calibri"/>
              </w:rPr>
            </w:pPr>
            <w:hyperlink w:anchor="Healthy_Safe_Environments" w:history="1">
              <w:r w:rsidR="00B11F72" w:rsidRPr="00A624F6">
                <w:rPr>
                  <w:rStyle w:val="Hyperlink"/>
                  <w:rFonts w:eastAsia="Times New Roman" w:cs="Calibri"/>
                </w:rPr>
                <w:t>Healthy &amp; Safe Environments</w:t>
              </w:r>
            </w:hyperlink>
            <w:r w:rsidR="00060EC9">
              <w:rPr>
                <w:rStyle w:val="Hyperlink"/>
                <w:rFonts w:eastAsia="Times New Roman" w:cs="Calibri"/>
              </w:rPr>
              <w:t xml:space="preserve"> section</w:t>
            </w:r>
            <w:r w:rsidR="00B11F72" w:rsidRPr="0069212A">
              <w:rPr>
                <w:rFonts w:eastAsia="Times New Roman" w:cs="Calibri"/>
              </w:rPr>
              <w:t xml:space="preserve">; </w:t>
            </w:r>
          </w:p>
          <w:p w14:paraId="0F343B9B" w14:textId="62A876F0" w:rsidR="00760902" w:rsidRPr="0069212A" w:rsidRDefault="00F1222E" w:rsidP="00F70453">
            <w:pPr>
              <w:spacing w:line="240" w:lineRule="auto"/>
              <w:textAlignment w:val="baseline"/>
              <w:rPr>
                <w:rFonts w:eastAsia="Times New Roman" w:cs="Calibri"/>
              </w:rPr>
            </w:pPr>
            <w:hyperlink w:anchor="_Communities_of_Opportunity" w:history="1">
              <w:r w:rsidR="00B11F72" w:rsidRPr="00A624F6">
                <w:rPr>
                  <w:rStyle w:val="Hyperlink"/>
                  <w:rFonts w:eastAsia="Times New Roman" w:cs="Calibri"/>
                </w:rPr>
                <w:t>Communities of Opportunity section</w:t>
              </w:r>
            </w:hyperlink>
            <w:r w:rsidR="00B11F72">
              <w:rPr>
                <w:rFonts w:eastAsia="Times New Roman" w:cs="Calibri"/>
              </w:rPr>
              <w:t xml:space="preserve">. </w:t>
            </w:r>
          </w:p>
        </w:tc>
      </w:tr>
      <w:tr w:rsidR="00741079" w:rsidRPr="0069212A" w14:paraId="426FF57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C6B979C" w14:textId="77777777" w:rsidR="00B11F72" w:rsidRDefault="00B11F72" w:rsidP="00B11F72">
            <w:pPr>
              <w:spacing w:line="240" w:lineRule="auto"/>
              <w:textAlignment w:val="baseline"/>
              <w:rPr>
                <w:rFonts w:eastAsia="Times New Roman" w:cs="Calibri"/>
              </w:rPr>
            </w:pPr>
            <w:r w:rsidRPr="0069212A">
              <w:rPr>
                <w:rFonts w:eastAsia="Times New Roman" w:cs="Calibri"/>
              </w:rPr>
              <w:t>developmental screening for children and youth; </w:t>
            </w:r>
          </w:p>
          <w:p w14:paraId="2DB52F09" w14:textId="66A40AB8" w:rsidR="00741079" w:rsidRPr="00741079" w:rsidRDefault="00741079" w:rsidP="00F70453">
            <w:pPr>
              <w:spacing w:line="240" w:lineRule="auto"/>
              <w:textAlignment w:val="baseline"/>
              <w:rPr>
                <w:rFonts w:eastAsia="Times New Roman" w:cs="Calibri"/>
                <w:i/>
                <w:iCs/>
              </w:rPr>
            </w:pPr>
            <w:r>
              <w:rPr>
                <w:rFonts w:eastAsia="Times New Roman" w:cs="Calibri"/>
                <w:i/>
                <w:iCs/>
              </w:rPr>
              <w:t>Section 4.B.1</w:t>
            </w:r>
            <w:r w:rsidR="00B11F72"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3E3C26E3" w14:textId="77777777" w:rsidR="00B11F72" w:rsidRDefault="00F1222E"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xml:space="preserve">; </w:t>
            </w:r>
          </w:p>
          <w:p w14:paraId="24AC977A" w14:textId="77777777" w:rsidR="00B11F72" w:rsidRDefault="00F1222E" w:rsidP="00B11F72">
            <w:pPr>
              <w:spacing w:line="240" w:lineRule="auto"/>
              <w:textAlignment w:val="baseline"/>
              <w:rPr>
                <w:rFonts w:eastAsia="Times New Roman" w:cs="Calibri"/>
              </w:rPr>
            </w:pPr>
            <w:hyperlink w:anchor="Help_Me_Grow" w:history="1">
              <w:r w:rsidR="00B11F72" w:rsidRPr="003B554D">
                <w:rPr>
                  <w:rStyle w:val="Hyperlink"/>
                  <w:rFonts w:eastAsia="Times New Roman" w:cs="Calibri"/>
                </w:rPr>
                <w:t>Help Me Grow section</w:t>
              </w:r>
            </w:hyperlink>
            <w:r w:rsidR="00B11F72" w:rsidRPr="0069212A">
              <w:rPr>
                <w:rFonts w:eastAsia="Times New Roman" w:cs="Calibri"/>
              </w:rPr>
              <w:t>; </w:t>
            </w:r>
          </w:p>
          <w:p w14:paraId="0C3BE1F7" w14:textId="77777777" w:rsidR="00B11F72" w:rsidRDefault="00F1222E"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70586E82" w14:textId="77777777" w:rsidR="00B11F72" w:rsidRDefault="00F1222E"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1ADA4403" w14:textId="0B9470C2" w:rsidR="00741079" w:rsidRPr="0069212A" w:rsidRDefault="00F1222E" w:rsidP="00F70453">
            <w:pPr>
              <w:spacing w:line="240" w:lineRule="auto"/>
              <w:textAlignment w:val="baseline"/>
              <w:rPr>
                <w:rFonts w:eastAsia="Times New Roman" w:cs="Calibri"/>
              </w:rPr>
            </w:pPr>
            <w:hyperlink w:anchor="Child_Care_Health_Consultation" w:history="1">
              <w:r w:rsidR="00B11F72" w:rsidRPr="003B554D">
                <w:rPr>
                  <w:rStyle w:val="Hyperlink"/>
                  <w:rFonts w:eastAsia="Times New Roman" w:cs="Calibri"/>
                </w:rPr>
                <w:t>Child Care Health Consultation section</w:t>
              </w:r>
            </w:hyperlink>
            <w:r w:rsidR="00B11F72" w:rsidRPr="0069212A">
              <w:rPr>
                <w:rFonts w:eastAsia="Times New Roman" w:cs="Calibri"/>
              </w:rPr>
              <w:t>. </w:t>
            </w:r>
          </w:p>
        </w:tc>
      </w:tr>
      <w:tr w:rsidR="0057451C" w:rsidRPr="0069212A" w14:paraId="40048B90"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8B9132F" w14:textId="77777777" w:rsidR="00F70453" w:rsidRPr="0069212A" w:rsidRDefault="00F70453" w:rsidP="00F70453">
            <w:pPr>
              <w:spacing w:line="240" w:lineRule="auto"/>
              <w:textAlignment w:val="baseline"/>
              <w:rPr>
                <w:rFonts w:ascii="Segoe UI" w:eastAsia="Times New Roman" w:hAnsi="Segoe UI" w:cs="Segoe UI"/>
                <w:sz w:val="18"/>
                <w:szCs w:val="18"/>
              </w:rPr>
            </w:pPr>
            <w:r w:rsidRPr="0069212A">
              <w:rPr>
                <w:rFonts w:eastAsia="Times New Roman" w:cs="Calibri"/>
              </w:rPr>
              <w:t>Prevent and intervene early on negative outcomes, including, but not limited to,  </w:t>
            </w:r>
          </w:p>
          <w:p w14:paraId="19F50FAF" w14:textId="3CCEB259" w:rsidR="0057451C" w:rsidRPr="0069212A" w:rsidRDefault="00BA3A1E" w:rsidP="0057451C">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F70453"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69676E6F" w14:textId="5E39C5F2" w:rsidR="0057451C" w:rsidRDefault="00F70453" w:rsidP="0057451C">
            <w:pPr>
              <w:spacing w:line="240" w:lineRule="auto"/>
              <w:textAlignment w:val="baseline"/>
            </w:pPr>
            <w:r w:rsidRPr="0069212A">
              <w:rPr>
                <w:rFonts w:eastAsia="Times New Roman" w:cs="Calibri"/>
              </w:rPr>
              <w:t> </w:t>
            </w:r>
          </w:p>
        </w:tc>
      </w:tr>
      <w:tr w:rsidR="00F70453" w:rsidRPr="0069212A" w14:paraId="055B048B"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784312F9" w14:textId="77777777" w:rsidR="005B2161" w:rsidRDefault="00F70453" w:rsidP="00F70453">
            <w:pPr>
              <w:spacing w:line="240" w:lineRule="auto"/>
              <w:textAlignment w:val="baseline"/>
              <w:rPr>
                <w:rFonts w:eastAsia="Times New Roman" w:cs="Calibri"/>
              </w:rPr>
            </w:pPr>
            <w:r w:rsidRPr="0069212A">
              <w:rPr>
                <w:rFonts w:eastAsia="Times New Roman" w:cs="Calibri"/>
              </w:rPr>
              <w:t>poor birth outcomes, </w:t>
            </w:r>
          </w:p>
          <w:p w14:paraId="28A2FC14" w14:textId="6D92604A"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662CB07A" w14:textId="77777777" w:rsidR="00F70453" w:rsidRDefault="00F1222E"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5B7B2B8F" w14:textId="77777777" w:rsidR="00F70453" w:rsidRDefault="00F1222E" w:rsidP="00F70453">
            <w:pPr>
              <w:spacing w:line="240" w:lineRule="auto"/>
              <w:textAlignment w:val="baseline"/>
              <w:rPr>
                <w:rFonts w:eastAsia="Times New Roman" w:cs="Calibri"/>
              </w:rPr>
            </w:pPr>
            <w:hyperlink w:anchor="Home_based_Services" w:history="1">
              <w:r w:rsidR="00F70453" w:rsidRPr="0006592E">
                <w:rPr>
                  <w:rStyle w:val="Hyperlink"/>
                  <w:rFonts w:eastAsia="Times New Roman" w:cs="Calibri"/>
                </w:rPr>
                <w:t>Home Based Services section</w:t>
              </w:r>
            </w:hyperlink>
            <w:r w:rsidR="00F70453" w:rsidRPr="0069212A">
              <w:rPr>
                <w:rFonts w:eastAsia="Times New Roman" w:cs="Calibri"/>
              </w:rPr>
              <w:t>; </w:t>
            </w:r>
          </w:p>
          <w:p w14:paraId="0FAD45CA" w14:textId="0956B3E3" w:rsidR="00F70453" w:rsidRDefault="00F1222E" w:rsidP="00F70453">
            <w:pPr>
              <w:spacing w:line="240" w:lineRule="auto"/>
              <w:textAlignment w:val="baseline"/>
            </w:pPr>
            <w:hyperlink w:anchor="Community_Based_Parenting_Supports" w:history="1">
              <w:r w:rsidR="00F70453" w:rsidRPr="0006592E">
                <w:rPr>
                  <w:rStyle w:val="Hyperlink"/>
                  <w:rFonts w:eastAsia="Times New Roman" w:cs="Calibri"/>
                </w:rPr>
                <w:t>Community Based Parenting Supports</w:t>
              </w:r>
            </w:hyperlink>
            <w:r w:rsidR="00CC3A9D">
              <w:rPr>
                <w:rStyle w:val="Hyperlink"/>
                <w:rFonts w:eastAsia="Times New Roman" w:cs="Calibri"/>
              </w:rPr>
              <w:t xml:space="preserve"> section</w:t>
            </w:r>
            <w:r w:rsidR="00F70453" w:rsidRPr="0069212A">
              <w:rPr>
                <w:rFonts w:eastAsia="Times New Roman" w:cs="Calibri"/>
              </w:rPr>
              <w:t xml:space="preserve"> (Perinatal and Lactation Support Services)</w:t>
            </w:r>
            <w:r w:rsidR="00F70453">
              <w:rPr>
                <w:rFonts w:eastAsia="Times New Roman" w:cs="Calibri"/>
              </w:rPr>
              <w:t>.</w:t>
            </w:r>
          </w:p>
        </w:tc>
      </w:tr>
      <w:tr w:rsidR="00F70453" w:rsidRPr="0069212A" w14:paraId="290D175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0F06918" w14:textId="77777777" w:rsidR="005B2161" w:rsidRDefault="00F70453" w:rsidP="00F70453">
            <w:pPr>
              <w:spacing w:line="240" w:lineRule="auto"/>
              <w:textAlignment w:val="baseline"/>
              <w:rPr>
                <w:rFonts w:eastAsia="Times New Roman" w:cs="Calibri"/>
              </w:rPr>
            </w:pPr>
            <w:r w:rsidRPr="0069212A">
              <w:rPr>
                <w:rFonts w:eastAsia="Times New Roman" w:cs="Calibri"/>
              </w:rPr>
              <w:t>developmental delays, </w:t>
            </w:r>
          </w:p>
          <w:p w14:paraId="16D20E81" w14:textId="44C4CEB7"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079DD324" w14:textId="77777777" w:rsidR="00F70453" w:rsidRDefault="00F1222E" w:rsidP="00F70453">
            <w:pPr>
              <w:spacing w:line="240" w:lineRule="auto"/>
              <w:textAlignment w:val="baseline"/>
              <w:rPr>
                <w:rFonts w:eastAsia="Times New Roman" w:cs="Calibri"/>
              </w:rPr>
            </w:pPr>
            <w:hyperlink w:anchor="Early_Support_for_Infacts_and_Toddlers" w:history="1">
              <w:r w:rsidR="00F70453" w:rsidRPr="0006592E">
                <w:rPr>
                  <w:rStyle w:val="Hyperlink"/>
                  <w:rFonts w:eastAsia="Times New Roman" w:cs="Calibri"/>
                </w:rPr>
                <w:t>Early Supports for Infants and Toddlers section</w:t>
              </w:r>
            </w:hyperlink>
          </w:p>
          <w:p w14:paraId="4CB9D342" w14:textId="77777777" w:rsidR="00F70453" w:rsidRDefault="00F1222E" w:rsidP="00F70453">
            <w:pPr>
              <w:spacing w:line="240" w:lineRule="auto"/>
              <w:textAlignment w:val="baseline"/>
              <w:rPr>
                <w:rFonts w:eastAsia="Times New Roman" w:cs="Calibri"/>
              </w:rPr>
            </w:pPr>
            <w:hyperlink w:anchor="Home_based_Services" w:history="1">
              <w:r w:rsidR="00F70453" w:rsidRPr="0006592E">
                <w:rPr>
                  <w:rStyle w:val="Hyperlink"/>
                  <w:rFonts w:eastAsia="Times New Roman" w:cs="Calibri"/>
                </w:rPr>
                <w:t>Home Based Services section</w:t>
              </w:r>
            </w:hyperlink>
          </w:p>
          <w:p w14:paraId="0FEA7A40" w14:textId="77777777" w:rsidR="00F70453" w:rsidRDefault="00F1222E" w:rsidP="00F70453">
            <w:pPr>
              <w:spacing w:line="240" w:lineRule="auto"/>
              <w:textAlignment w:val="baseline"/>
              <w:rPr>
                <w:rFonts w:eastAsia="Times New Roman" w:cs="Calibri"/>
              </w:rPr>
            </w:pPr>
            <w:hyperlink w:anchor="Universal_Developmental_Screening" w:history="1">
              <w:r w:rsidR="00F70453" w:rsidRPr="0006592E">
                <w:rPr>
                  <w:rStyle w:val="Hyperlink"/>
                  <w:rFonts w:eastAsia="Times New Roman" w:cs="Calibri"/>
                </w:rPr>
                <w:t>Universal Developmental Screening section</w:t>
              </w:r>
            </w:hyperlink>
          </w:p>
          <w:p w14:paraId="1383241D" w14:textId="3160929D" w:rsidR="00F70453" w:rsidRDefault="00F1222E" w:rsidP="00F70453">
            <w:pPr>
              <w:spacing w:line="240" w:lineRule="auto"/>
              <w:textAlignment w:val="baseline"/>
            </w:pPr>
            <w:hyperlink w:anchor="Help_Me_Grow" w:history="1">
              <w:r w:rsidR="00F70453" w:rsidRPr="0006592E">
                <w:rPr>
                  <w:rStyle w:val="Hyperlink"/>
                  <w:rFonts w:eastAsia="Times New Roman" w:cs="Calibri"/>
                </w:rPr>
                <w:t>Help Me Grow section</w:t>
              </w:r>
            </w:hyperlink>
          </w:p>
        </w:tc>
      </w:tr>
      <w:tr w:rsidR="00F70453" w:rsidRPr="0069212A" w14:paraId="26FEE48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798344A7" w14:textId="77777777" w:rsidR="00F70453" w:rsidRDefault="00F70453" w:rsidP="00F70453">
            <w:pPr>
              <w:spacing w:line="240" w:lineRule="auto"/>
              <w:textAlignment w:val="baseline"/>
              <w:rPr>
                <w:rFonts w:eastAsia="Times New Roman" w:cs="Calibri"/>
              </w:rPr>
            </w:pPr>
            <w:r w:rsidRPr="0069212A">
              <w:rPr>
                <w:rFonts w:eastAsia="Times New Roman" w:cs="Calibri"/>
              </w:rPr>
              <w:t>chronic disease,  </w:t>
            </w:r>
          </w:p>
          <w:p w14:paraId="6C55DC36" w14:textId="36B3E088"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580915AC" w14:textId="77777777" w:rsidR="00F70453" w:rsidRDefault="00F1222E"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34EDEF37" w14:textId="6F914FDB" w:rsidR="00F70453" w:rsidRDefault="00F1222E" w:rsidP="00F70453">
            <w:pPr>
              <w:spacing w:line="240" w:lineRule="auto"/>
              <w:textAlignment w:val="baseline"/>
            </w:pPr>
            <w:hyperlink w:anchor="Environmental_Supports" w:history="1">
              <w:r w:rsidR="00F70453" w:rsidRPr="0006592E">
                <w:rPr>
                  <w:rStyle w:val="Hyperlink"/>
                  <w:rFonts w:eastAsia="Times New Roman" w:cs="Calibri"/>
                </w:rPr>
                <w:t>Environmental Supports section</w:t>
              </w:r>
            </w:hyperlink>
            <w:r w:rsidR="00F70453">
              <w:rPr>
                <w:rFonts w:eastAsia="Times New Roman" w:cs="Calibri"/>
              </w:rPr>
              <w:t xml:space="preserve">. </w:t>
            </w:r>
          </w:p>
        </w:tc>
      </w:tr>
      <w:tr w:rsidR="00F70453" w:rsidRPr="0069212A" w14:paraId="56FB9D4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27A5A838" w14:textId="77777777" w:rsidR="005B2161" w:rsidRDefault="00F70453" w:rsidP="00F70453">
            <w:pPr>
              <w:spacing w:line="240" w:lineRule="auto"/>
              <w:textAlignment w:val="baseline"/>
              <w:rPr>
                <w:rFonts w:eastAsia="Times New Roman" w:cs="Calibri"/>
              </w:rPr>
            </w:pPr>
            <w:r w:rsidRPr="0069212A">
              <w:rPr>
                <w:rFonts w:eastAsia="Times New Roman" w:cs="Calibri"/>
              </w:rPr>
              <w:t>social emotional isolation,</w:t>
            </w:r>
          </w:p>
          <w:p w14:paraId="0EA790AC" w14:textId="1E923928"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19645CD5" w14:textId="012B5C4D" w:rsidR="00F70453" w:rsidRDefault="00F1222E" w:rsidP="00F70453">
            <w:pPr>
              <w:spacing w:line="240" w:lineRule="auto"/>
              <w:textAlignment w:val="baseline"/>
              <w:rPr>
                <w:rFonts w:eastAsia="Times New Roman" w:cs="Calibri"/>
              </w:rPr>
            </w:pPr>
            <w:hyperlink w:anchor="Systems_Building_for_Infant_Mental_Heath" w:history="1">
              <w:r w:rsidR="00F70453" w:rsidRPr="0006592E">
                <w:rPr>
                  <w:rStyle w:val="Hyperlink"/>
                  <w:rFonts w:eastAsia="Times New Roman" w:cs="Calibri"/>
                </w:rPr>
                <w:t>Systems Building for Infant Mental Health section</w:t>
              </w:r>
            </w:hyperlink>
            <w:r w:rsidR="00F70453" w:rsidRPr="0069212A">
              <w:rPr>
                <w:rFonts w:eastAsia="Times New Roman" w:cs="Calibri"/>
              </w:rPr>
              <w:t>;</w:t>
            </w:r>
          </w:p>
          <w:p w14:paraId="3A4A218F" w14:textId="2F9FAA4F" w:rsidR="00F70453" w:rsidRDefault="00F1222E" w:rsidP="00F70453">
            <w:pPr>
              <w:spacing w:line="240" w:lineRule="auto"/>
              <w:textAlignment w:val="baseline"/>
              <w:rPr>
                <w:rFonts w:eastAsia="Times New Roman" w:cs="Calibri"/>
              </w:rPr>
            </w:pPr>
            <w:hyperlink w:anchor="Liberation_Healing" w:history="1">
              <w:r w:rsidR="00F70453" w:rsidRPr="0006592E">
                <w:rPr>
                  <w:rStyle w:val="Hyperlink"/>
                  <w:rFonts w:eastAsia="Times New Roman" w:cs="Calibri"/>
                </w:rPr>
                <w:t>Liberation and Healing</w:t>
              </w:r>
            </w:hyperlink>
            <w:r w:rsidR="0026028C">
              <w:rPr>
                <w:rStyle w:val="Hyperlink"/>
                <w:rFonts w:eastAsia="Times New Roman" w:cs="Calibri"/>
              </w:rPr>
              <w:t xml:space="preserve"> section</w:t>
            </w:r>
            <w:r w:rsidR="00F70453" w:rsidRPr="0069212A">
              <w:rPr>
                <w:rFonts w:eastAsia="Times New Roman" w:cs="Calibri"/>
              </w:rPr>
              <w:t>;</w:t>
            </w:r>
          </w:p>
          <w:p w14:paraId="4D65D726" w14:textId="48F63E0B" w:rsidR="00F70453" w:rsidRDefault="00F1222E" w:rsidP="00F70453">
            <w:pPr>
              <w:spacing w:line="240" w:lineRule="auto"/>
              <w:textAlignment w:val="baseline"/>
            </w:pPr>
            <w:hyperlink w:anchor="SBSBIRT" w:history="1">
              <w:r w:rsidR="00F70453" w:rsidRPr="0006592E">
                <w:rPr>
                  <w:rStyle w:val="Hyperlink"/>
                  <w:rFonts w:eastAsia="Times New Roman" w:cs="Calibri"/>
                </w:rPr>
                <w:t>SB:SBIRT section</w:t>
              </w:r>
            </w:hyperlink>
            <w:r w:rsidR="00F70453">
              <w:rPr>
                <w:rFonts w:eastAsia="Times New Roman" w:cs="Calibri"/>
              </w:rPr>
              <w:t>.</w:t>
            </w:r>
            <w:r w:rsidR="00F70453" w:rsidRPr="0069212A">
              <w:rPr>
                <w:rFonts w:eastAsia="Times New Roman" w:cs="Calibri"/>
              </w:rPr>
              <w:t> </w:t>
            </w:r>
          </w:p>
        </w:tc>
      </w:tr>
      <w:tr w:rsidR="00F70453" w:rsidRPr="0069212A" w14:paraId="01EDBC7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3984A9B" w14:textId="77777777" w:rsidR="00F70453" w:rsidRDefault="00F70453" w:rsidP="00F70453">
            <w:pPr>
              <w:spacing w:line="240" w:lineRule="auto"/>
              <w:textAlignment w:val="baseline"/>
              <w:rPr>
                <w:rFonts w:eastAsia="Times New Roman" w:cs="Calibri"/>
              </w:rPr>
            </w:pPr>
            <w:r w:rsidRPr="0069212A">
              <w:rPr>
                <w:rFonts w:eastAsia="Times New Roman" w:cs="Calibri"/>
              </w:rPr>
              <w:t>mental health challenges, </w:t>
            </w:r>
          </w:p>
          <w:p w14:paraId="1D043B7B" w14:textId="4BD72618"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2AF09567" w14:textId="6A250829" w:rsidR="00F06330" w:rsidRDefault="00F1222E" w:rsidP="00F70453">
            <w:pPr>
              <w:spacing w:line="240" w:lineRule="auto"/>
              <w:textAlignment w:val="baseline"/>
              <w:rPr>
                <w:rStyle w:val="Hyperlink"/>
              </w:rPr>
            </w:pPr>
            <w:hyperlink w:anchor="_Sustain_the_Gain" w:history="1">
              <w:r w:rsidR="00F06330" w:rsidRPr="001D29C6">
                <w:rPr>
                  <w:rStyle w:val="Hyperlink"/>
                </w:rPr>
                <w:t>Sustain the Gai</w:t>
              </w:r>
              <w:r w:rsidR="00F06330">
                <w:rPr>
                  <w:rStyle w:val="Hyperlink"/>
                </w:rPr>
                <w:t xml:space="preserve">n </w:t>
              </w:r>
              <w:r w:rsidR="00CC3A9D">
                <w:rPr>
                  <w:rStyle w:val="Hyperlink"/>
                </w:rPr>
                <w:t>s</w:t>
              </w:r>
              <w:r w:rsidR="00F06330">
                <w:rPr>
                  <w:rStyle w:val="Hyperlink"/>
                </w:rPr>
                <w:t>ection</w:t>
              </w:r>
            </w:hyperlink>
            <w:r w:rsidR="00F06330" w:rsidRPr="0069212A">
              <w:rPr>
                <w:rFonts w:eastAsia="Times New Roman" w:cs="Calibri"/>
              </w:rPr>
              <w:t>;</w:t>
            </w:r>
          </w:p>
          <w:p w14:paraId="6FEE7750" w14:textId="1B3A6991" w:rsidR="00F70453" w:rsidRDefault="00F1222E" w:rsidP="00F70453">
            <w:pPr>
              <w:spacing w:line="240" w:lineRule="auto"/>
              <w:textAlignment w:val="baseline"/>
              <w:rPr>
                <w:rFonts w:eastAsia="Times New Roman" w:cs="Calibri"/>
              </w:rPr>
            </w:pPr>
            <w:hyperlink w:anchor="Systems_Building_for_Infant_Mental_Heath" w:history="1">
              <w:r w:rsidR="00F70453" w:rsidRPr="0006592E">
                <w:rPr>
                  <w:rStyle w:val="Hyperlink"/>
                  <w:rFonts w:eastAsia="Times New Roman" w:cs="Calibri"/>
                </w:rPr>
                <w:t>Systems Building for Infant Mental Health section</w:t>
              </w:r>
            </w:hyperlink>
            <w:r w:rsidR="00F70453" w:rsidRPr="0069212A">
              <w:rPr>
                <w:rFonts w:eastAsia="Times New Roman" w:cs="Calibri"/>
              </w:rPr>
              <w:t>;</w:t>
            </w:r>
          </w:p>
          <w:p w14:paraId="2A64314C" w14:textId="77777777" w:rsidR="00F70453" w:rsidRDefault="00F1222E" w:rsidP="00F70453">
            <w:pPr>
              <w:spacing w:line="240" w:lineRule="auto"/>
              <w:textAlignment w:val="baseline"/>
              <w:rPr>
                <w:rFonts w:eastAsia="Times New Roman" w:cs="Calibri"/>
              </w:rPr>
            </w:pPr>
            <w:hyperlink w:anchor="Liberation_Healing" w:history="1">
              <w:r w:rsidR="00F70453" w:rsidRPr="0006592E">
                <w:rPr>
                  <w:rStyle w:val="Hyperlink"/>
                  <w:rFonts w:eastAsia="Times New Roman" w:cs="Calibri"/>
                </w:rPr>
                <w:t>Liberation and Healing</w:t>
              </w:r>
            </w:hyperlink>
            <w:r w:rsidR="00F70453" w:rsidRPr="0069212A">
              <w:rPr>
                <w:rFonts w:eastAsia="Times New Roman" w:cs="Calibri"/>
              </w:rPr>
              <w:t>;</w:t>
            </w:r>
          </w:p>
          <w:p w14:paraId="466A9548" w14:textId="60C4068D" w:rsidR="00F70453" w:rsidRDefault="00F1222E" w:rsidP="00F70453">
            <w:pPr>
              <w:spacing w:line="240" w:lineRule="auto"/>
              <w:textAlignment w:val="baseline"/>
            </w:pPr>
            <w:hyperlink w:anchor="SBSBIRT" w:history="1">
              <w:r w:rsidR="00F70453" w:rsidRPr="0006592E">
                <w:rPr>
                  <w:rStyle w:val="Hyperlink"/>
                  <w:rFonts w:eastAsia="Times New Roman" w:cs="Calibri"/>
                </w:rPr>
                <w:t>SB:SBIRT section</w:t>
              </w:r>
            </w:hyperlink>
            <w:r w:rsidR="00F70453">
              <w:rPr>
                <w:rFonts w:eastAsia="Times New Roman" w:cs="Calibri"/>
              </w:rPr>
              <w:t>.</w:t>
            </w:r>
            <w:r w:rsidR="00F70453" w:rsidRPr="0069212A">
              <w:rPr>
                <w:rFonts w:eastAsia="Times New Roman" w:cs="Calibri"/>
              </w:rPr>
              <w:t> </w:t>
            </w:r>
          </w:p>
        </w:tc>
      </w:tr>
      <w:tr w:rsidR="00525249" w:rsidRPr="008A1A7E" w14:paraId="664F45CB" w14:textId="77777777" w:rsidTr="006038F1">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16C81193" w14:textId="11C5E58C" w:rsidR="00525249" w:rsidRPr="008A1A7E" w:rsidRDefault="00525249" w:rsidP="006038F1">
            <w:pPr>
              <w:spacing w:line="240" w:lineRule="auto"/>
              <w:textAlignment w:val="baseline"/>
              <w:rPr>
                <w:rFonts w:eastAsia="Times New Roman" w:cs="Calibri"/>
                <w:b/>
                <w:bCs/>
              </w:rPr>
            </w:pPr>
            <w:r w:rsidRPr="0069212A">
              <w:rPr>
                <w:rFonts w:eastAsia="Times New Roman" w:cs="Calibri"/>
                <w:b/>
                <w:bCs/>
              </w:rPr>
              <w:lastRenderedPageBreak/>
              <w:t xml:space="preserve">Required Implementation Plan </w:t>
            </w:r>
            <w:r>
              <w:rPr>
                <w:rFonts w:eastAsia="Times New Roman" w:cs="Calibri"/>
                <w:b/>
                <w:bCs/>
              </w:rPr>
              <w:t>Elements</w:t>
            </w:r>
            <w:r w:rsidRPr="0069212A">
              <w:rPr>
                <w:rFonts w:eastAsia="Times New Roman" w:cs="Calibri"/>
                <w:b/>
                <w:bCs/>
              </w:rPr>
              <w:t xml:space="preserve"> 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1456F059" w14:textId="77777777" w:rsidR="00525249" w:rsidRPr="008A1A7E" w:rsidRDefault="00525249" w:rsidP="006038F1">
            <w:pPr>
              <w:spacing w:line="240" w:lineRule="auto"/>
              <w:textAlignment w:val="baseline"/>
              <w:rPr>
                <w:b/>
                <w:bCs/>
              </w:rPr>
            </w:pPr>
            <w:r>
              <w:rPr>
                <w:rFonts w:eastAsia="Times New Roman" w:cs="Calibri"/>
                <w:b/>
                <w:bCs/>
              </w:rPr>
              <w:t>Links to Relevant Section(s)</w:t>
            </w:r>
          </w:p>
        </w:tc>
      </w:tr>
      <w:tr w:rsidR="00F70453" w:rsidRPr="0069212A" w14:paraId="685FCA2D" w14:textId="77777777" w:rsidTr="008A1A7E">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tcPr>
          <w:p w14:paraId="6EF890DC" w14:textId="77777777" w:rsidR="00F70453" w:rsidRDefault="00F70453" w:rsidP="00F70453">
            <w:pPr>
              <w:spacing w:line="240" w:lineRule="auto"/>
              <w:textAlignment w:val="baseline"/>
              <w:rPr>
                <w:rFonts w:eastAsia="Times New Roman" w:cs="Calibri"/>
              </w:rPr>
            </w:pPr>
            <w:r w:rsidRPr="0069212A">
              <w:rPr>
                <w:rFonts w:eastAsia="Times New Roman" w:cs="Calibri"/>
              </w:rPr>
              <w:t>substance abuse,  </w:t>
            </w:r>
          </w:p>
          <w:p w14:paraId="7BEAAC77" w14:textId="4BE25326"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2" w:space="0" w:color="FFC000" w:themeColor="accent4"/>
              <w:right w:val="single" w:sz="18" w:space="0" w:color="FFC000" w:themeColor="accent4"/>
            </w:tcBorders>
            <w:shd w:val="clear" w:color="auto" w:fill="auto"/>
          </w:tcPr>
          <w:p w14:paraId="726937D3" w14:textId="3041AD73" w:rsidR="009377B2" w:rsidRDefault="00F1222E" w:rsidP="009377B2">
            <w:pPr>
              <w:spacing w:line="240" w:lineRule="auto"/>
              <w:textAlignment w:val="baseline"/>
              <w:rPr>
                <w:rStyle w:val="Hyperlink"/>
              </w:rPr>
            </w:pPr>
            <w:hyperlink w:anchor="_Sustain_the_Gain" w:history="1">
              <w:r w:rsidR="009377B2" w:rsidRPr="001D29C6">
                <w:rPr>
                  <w:rStyle w:val="Hyperlink"/>
                </w:rPr>
                <w:t>Sustain the Gai</w:t>
              </w:r>
              <w:r w:rsidR="009377B2">
                <w:rPr>
                  <w:rStyle w:val="Hyperlink"/>
                </w:rPr>
                <w:t xml:space="preserve">n </w:t>
              </w:r>
              <w:r w:rsidR="00CC3A9D">
                <w:rPr>
                  <w:rStyle w:val="Hyperlink"/>
                </w:rPr>
                <w:t>s</w:t>
              </w:r>
              <w:r w:rsidR="009377B2">
                <w:rPr>
                  <w:rStyle w:val="Hyperlink"/>
                </w:rPr>
                <w:t>ection</w:t>
              </w:r>
            </w:hyperlink>
            <w:r w:rsidR="009377B2" w:rsidRPr="0069212A">
              <w:rPr>
                <w:rFonts w:eastAsia="Times New Roman" w:cs="Calibri"/>
              </w:rPr>
              <w:t>;</w:t>
            </w:r>
          </w:p>
          <w:p w14:paraId="2FF725DB" w14:textId="498F85C6" w:rsidR="00F70453" w:rsidRDefault="00F1222E" w:rsidP="00F70453">
            <w:pPr>
              <w:spacing w:line="240" w:lineRule="auto"/>
              <w:textAlignment w:val="baseline"/>
              <w:rPr>
                <w:rFonts w:eastAsia="Times New Roman" w:cs="Calibri"/>
              </w:rPr>
            </w:pPr>
            <w:hyperlink w:anchor="SBSBIRT" w:history="1">
              <w:r w:rsidR="00F70453" w:rsidRPr="0006592E">
                <w:rPr>
                  <w:rStyle w:val="Hyperlink"/>
                  <w:rFonts w:eastAsia="Times New Roman" w:cs="Calibri"/>
                </w:rPr>
                <w:t>SB:SBIRT section</w:t>
              </w:r>
            </w:hyperlink>
            <w:r w:rsidR="00F70453" w:rsidRPr="0069212A">
              <w:rPr>
                <w:rFonts w:eastAsia="Times New Roman" w:cs="Calibri"/>
              </w:rPr>
              <w:t>; </w:t>
            </w:r>
          </w:p>
          <w:p w14:paraId="74E74C1C" w14:textId="3773FD4E" w:rsidR="00F70453" w:rsidRDefault="00F1222E" w:rsidP="00F70453">
            <w:pPr>
              <w:spacing w:line="240" w:lineRule="auto"/>
              <w:textAlignment w:val="baseline"/>
            </w:pPr>
            <w:hyperlink w:anchor="Healthy_Safe_Environments" w:history="1">
              <w:r w:rsidR="00F70453" w:rsidRPr="0084272F">
                <w:rPr>
                  <w:rStyle w:val="Hyperlink"/>
                  <w:rFonts w:eastAsia="Times New Roman" w:cs="Calibri"/>
                </w:rPr>
                <w:t>Healthy and Safe Environments section. </w:t>
              </w:r>
            </w:hyperlink>
          </w:p>
        </w:tc>
      </w:tr>
      <w:tr w:rsidR="00F70453" w:rsidRPr="0069212A" w14:paraId="2F1EB87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05D9F3B0" w14:textId="77777777" w:rsidR="005B2161" w:rsidRDefault="00F70453" w:rsidP="00F70453">
            <w:pPr>
              <w:spacing w:line="240" w:lineRule="auto"/>
              <w:textAlignment w:val="baseline"/>
              <w:rPr>
                <w:rFonts w:eastAsia="Times New Roman" w:cs="Calibri"/>
              </w:rPr>
            </w:pPr>
            <w:r w:rsidRPr="0069212A">
              <w:rPr>
                <w:rFonts w:eastAsia="Times New Roman" w:cs="Calibri"/>
              </w:rPr>
              <w:t>dropping out of school,</w:t>
            </w:r>
          </w:p>
          <w:p w14:paraId="07FC2204" w14:textId="0E911A2D"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02EA7E57" w14:textId="77777777" w:rsidR="00F70453" w:rsidRDefault="00F1222E"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6EB19E9C" w14:textId="78FD7597" w:rsidR="00F70453" w:rsidRDefault="00F1222E" w:rsidP="00F70453">
            <w:pPr>
              <w:spacing w:line="240" w:lineRule="auto"/>
              <w:textAlignment w:val="baseline"/>
            </w:pPr>
            <w:hyperlink w:anchor="_Youth_and_Family" w:history="1">
              <w:r w:rsidR="00F70453" w:rsidRPr="0084272F">
                <w:rPr>
                  <w:rStyle w:val="Hyperlink"/>
                  <w:rFonts w:eastAsia="Times New Roman" w:cs="Calibri"/>
                </w:rPr>
                <w:t>Youth and Family Homelessness Initiative section. </w:t>
              </w:r>
            </w:hyperlink>
          </w:p>
        </w:tc>
      </w:tr>
      <w:tr w:rsidR="00F70453" w:rsidRPr="0069212A" w14:paraId="5D153BB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8C64C20" w14:textId="77777777" w:rsidR="00F70453" w:rsidRDefault="00F70453" w:rsidP="00F70453">
            <w:pPr>
              <w:spacing w:line="240" w:lineRule="auto"/>
              <w:textAlignment w:val="baseline"/>
              <w:rPr>
                <w:rFonts w:eastAsia="Times New Roman" w:cs="Calibri"/>
              </w:rPr>
            </w:pPr>
            <w:r w:rsidRPr="0069212A">
              <w:rPr>
                <w:rFonts w:eastAsia="Times New Roman" w:cs="Calibri"/>
              </w:rPr>
              <w:t>homelessness,  </w:t>
            </w:r>
          </w:p>
          <w:p w14:paraId="2CD060F0" w14:textId="3209B390"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2ACF9C1F" w14:textId="77777777" w:rsidR="00F70453" w:rsidRDefault="00F1222E"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512394ED" w14:textId="79A526AD" w:rsidR="00F70453" w:rsidRDefault="00F1222E" w:rsidP="00F70453">
            <w:pPr>
              <w:spacing w:line="240" w:lineRule="auto"/>
              <w:textAlignment w:val="baseline"/>
            </w:pPr>
            <w:hyperlink w:anchor="_Youth_and_Family" w:history="1">
              <w:r w:rsidR="00F70453" w:rsidRPr="0084272F">
                <w:rPr>
                  <w:rStyle w:val="Hyperlink"/>
                  <w:rFonts w:eastAsia="Times New Roman" w:cs="Calibri"/>
                </w:rPr>
                <w:t>Youth and Family Homelessness Initiative section. </w:t>
              </w:r>
            </w:hyperlink>
          </w:p>
        </w:tc>
      </w:tr>
      <w:tr w:rsidR="00F70453" w:rsidRPr="0069212A" w14:paraId="5962880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99EC16E" w14:textId="77777777" w:rsidR="00F70453" w:rsidRDefault="00F70453" w:rsidP="00F70453">
            <w:pPr>
              <w:spacing w:line="240" w:lineRule="auto"/>
              <w:textAlignment w:val="baseline"/>
              <w:rPr>
                <w:rFonts w:eastAsia="Times New Roman" w:cs="Calibri"/>
              </w:rPr>
            </w:pPr>
            <w:r w:rsidRPr="0069212A">
              <w:rPr>
                <w:rFonts w:eastAsia="Times New Roman" w:cs="Calibri"/>
              </w:rPr>
              <w:t>domestic violence and  </w:t>
            </w:r>
          </w:p>
          <w:p w14:paraId="51762B0A" w14:textId="389BF0BC"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3D5DFA92" w14:textId="09812ED1" w:rsidR="00F70453" w:rsidRDefault="00F1222E" w:rsidP="00F70453">
            <w:pPr>
              <w:spacing w:line="240" w:lineRule="auto"/>
              <w:textAlignment w:val="baseline"/>
            </w:pPr>
            <w:hyperlink w:anchor="Youth_Development" w:history="1">
              <w:r w:rsidR="00F70453" w:rsidRPr="005648D9">
                <w:rPr>
                  <w:rStyle w:val="Hyperlink"/>
                  <w:rFonts w:eastAsia="Times New Roman" w:cs="Calibri"/>
                </w:rPr>
                <w:t>Youth Development</w:t>
              </w:r>
            </w:hyperlink>
            <w:r w:rsidR="00F70453" w:rsidRPr="0069212A">
              <w:rPr>
                <w:rFonts w:eastAsia="Times New Roman" w:cs="Calibri"/>
              </w:rPr>
              <w:t xml:space="preserve"> (Healthy Relationships) section. </w:t>
            </w:r>
          </w:p>
        </w:tc>
      </w:tr>
      <w:tr w:rsidR="00F70453" w:rsidRPr="0069212A" w14:paraId="7D04A06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0CA2537B" w14:textId="77777777" w:rsidR="00F70453" w:rsidRDefault="00F70453" w:rsidP="00F70453">
            <w:pPr>
              <w:spacing w:line="240" w:lineRule="auto"/>
              <w:textAlignment w:val="baseline"/>
              <w:rPr>
                <w:rFonts w:eastAsia="Times New Roman" w:cs="Calibri"/>
              </w:rPr>
            </w:pPr>
            <w:r w:rsidRPr="0069212A">
              <w:rPr>
                <w:rFonts w:eastAsia="Times New Roman" w:cs="Calibri"/>
              </w:rPr>
              <w:t>effects of systemic racism and incarceration; </w:t>
            </w:r>
          </w:p>
          <w:p w14:paraId="663C66D0" w14:textId="1D5D8F1A"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2BF8BC0C" w14:textId="77777777" w:rsidR="00F70453" w:rsidRDefault="00F1222E" w:rsidP="00F70453">
            <w:pPr>
              <w:spacing w:line="240" w:lineRule="auto"/>
              <w:textAlignment w:val="baseline"/>
              <w:rPr>
                <w:rFonts w:eastAsia="Times New Roman" w:cs="Calibri"/>
              </w:rPr>
            </w:pPr>
            <w:hyperlink w:anchor="SSPP" w:history="1">
              <w:r w:rsidR="00F70453" w:rsidRPr="005648D9">
                <w:rPr>
                  <w:rStyle w:val="Hyperlink"/>
                  <w:rFonts w:eastAsia="Times New Roman" w:cs="Calibri"/>
                </w:rPr>
                <w:t>Stopping the School to Prison Pipeline section</w:t>
              </w:r>
            </w:hyperlink>
            <w:r w:rsidR="00F70453" w:rsidRPr="0069212A">
              <w:rPr>
                <w:rFonts w:eastAsia="Times New Roman" w:cs="Calibri"/>
              </w:rPr>
              <w:t>; </w:t>
            </w:r>
          </w:p>
          <w:p w14:paraId="36412A68" w14:textId="0052D8CD" w:rsidR="00F70453" w:rsidRDefault="00F1222E" w:rsidP="00F70453">
            <w:pPr>
              <w:spacing w:line="240" w:lineRule="auto"/>
              <w:textAlignment w:val="baseline"/>
            </w:pPr>
            <w:hyperlink w:anchor="School_BasedHealthCenters" w:history="1">
              <w:r w:rsidR="00F70453" w:rsidRPr="005648D9">
                <w:rPr>
                  <w:rStyle w:val="Hyperlink"/>
                  <w:rFonts w:eastAsia="Times New Roman" w:cs="Calibri"/>
                </w:rPr>
                <w:t>School Based Health Centers section</w:t>
              </w:r>
            </w:hyperlink>
            <w:r w:rsidR="00F70453">
              <w:rPr>
                <w:rFonts w:eastAsia="Times New Roman" w:cs="Calibri"/>
              </w:rPr>
              <w:t>.</w:t>
            </w:r>
          </w:p>
        </w:tc>
      </w:tr>
      <w:tr w:rsidR="00F70453" w:rsidRPr="0069212A" w14:paraId="1A5723B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2F781CE4" w14:textId="77777777" w:rsidR="005B2161" w:rsidRPr="0069212A" w:rsidRDefault="005B2161" w:rsidP="005B2161">
            <w:pPr>
              <w:spacing w:line="240" w:lineRule="auto"/>
              <w:textAlignment w:val="baseline"/>
              <w:rPr>
                <w:rFonts w:ascii="Segoe UI" w:eastAsia="Times New Roman" w:hAnsi="Segoe UI" w:cs="Segoe UI"/>
                <w:sz w:val="18"/>
                <w:szCs w:val="18"/>
              </w:rPr>
            </w:pPr>
            <w:r w:rsidRPr="0069212A">
              <w:rPr>
                <w:rFonts w:eastAsia="Times New Roman" w:cs="Calibri"/>
              </w:rPr>
              <w:t>Reduce inequities in outcomes for children and youth in the county; and </w:t>
            </w:r>
          </w:p>
          <w:p w14:paraId="5585DD11" w14:textId="33DF4D37"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4.B.3 </w:t>
            </w:r>
          </w:p>
        </w:tc>
        <w:tc>
          <w:tcPr>
            <w:tcW w:w="4650" w:type="dxa"/>
            <w:tcBorders>
              <w:top w:val="nil"/>
              <w:left w:val="nil"/>
              <w:bottom w:val="single" w:sz="18" w:space="0" w:color="FFC000" w:themeColor="accent4"/>
              <w:right w:val="single" w:sz="18" w:space="0" w:color="FFC000" w:themeColor="accent4"/>
            </w:tcBorders>
            <w:shd w:val="clear" w:color="auto" w:fill="auto"/>
          </w:tcPr>
          <w:p w14:paraId="0B7ECBA5" w14:textId="5FECA82E" w:rsidR="00F70453" w:rsidRDefault="005B2161" w:rsidP="00F70453">
            <w:pPr>
              <w:spacing w:line="240" w:lineRule="auto"/>
              <w:textAlignment w:val="baseline"/>
            </w:pPr>
            <w:r w:rsidRPr="0069212A">
              <w:rPr>
                <w:rFonts w:eastAsia="Times New Roman" w:cs="Calibri"/>
              </w:rPr>
              <w:t xml:space="preserve">Several sections of the document, starting in </w:t>
            </w:r>
            <w:hyperlink w:anchor="_IV._Best_Starts" w:history="1">
              <w:r w:rsidRPr="005648D9">
                <w:rPr>
                  <w:rStyle w:val="Hyperlink"/>
                  <w:rFonts w:eastAsia="Times New Roman" w:cs="Calibri"/>
                </w:rPr>
                <w:t>section IV</w:t>
              </w:r>
            </w:hyperlink>
            <w:r w:rsidR="00CC0569">
              <w:rPr>
                <w:rFonts w:eastAsia="Times New Roman" w:cs="Calibri"/>
              </w:rPr>
              <w:t>, parts C</w:t>
            </w:r>
            <w:r w:rsidRPr="0069212A">
              <w:rPr>
                <w:rFonts w:eastAsia="Times New Roman" w:cs="Calibri"/>
              </w:rPr>
              <w:t>, D, E,</w:t>
            </w:r>
            <w:r w:rsidR="00CC0569">
              <w:rPr>
                <w:rFonts w:eastAsia="Times New Roman" w:cs="Calibri"/>
              </w:rPr>
              <w:t xml:space="preserve"> and</w:t>
            </w:r>
            <w:r w:rsidRPr="0069212A">
              <w:rPr>
                <w:rFonts w:eastAsia="Times New Roman" w:cs="Calibri"/>
              </w:rPr>
              <w:t xml:space="preserve"> F </w:t>
            </w:r>
          </w:p>
        </w:tc>
      </w:tr>
      <w:tr w:rsidR="00F70453" w:rsidRPr="0069212A" w14:paraId="521256EA" w14:textId="77777777" w:rsidTr="006A6E94">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tcPr>
          <w:p w14:paraId="339270D9" w14:textId="77777777" w:rsidR="00BF68C2" w:rsidRPr="0069212A" w:rsidRDefault="00BF68C2" w:rsidP="00BF68C2">
            <w:pPr>
              <w:spacing w:line="240" w:lineRule="auto"/>
              <w:textAlignment w:val="baseline"/>
              <w:rPr>
                <w:rFonts w:ascii="Segoe UI" w:eastAsia="Times New Roman" w:hAnsi="Segoe UI" w:cs="Segoe UI"/>
                <w:sz w:val="18"/>
                <w:szCs w:val="18"/>
              </w:rPr>
            </w:pPr>
            <w:r w:rsidRPr="0069212A">
              <w:rPr>
                <w:rFonts w:eastAsia="Times New Roman" w:cs="Calibri"/>
              </w:rPr>
              <w:t>Strengthen, improve, better coordinate, integrate and encourage innovation in health and human services systems and the agencies, organizations and groups addressing the needs of children and youth, their families and their communities. </w:t>
            </w:r>
          </w:p>
          <w:p w14:paraId="16315A2C" w14:textId="4B2C2E81" w:rsidR="00F70453" w:rsidRPr="009A6E02" w:rsidRDefault="00BA3A1E" w:rsidP="00F70453">
            <w:pPr>
              <w:spacing w:line="240" w:lineRule="auto"/>
              <w:textAlignment w:val="baseline"/>
              <w:rPr>
                <w:rFonts w:eastAsia="Times New Roman" w:cs="Calibri"/>
                <w:highlight w:val="red"/>
              </w:rPr>
            </w:pPr>
            <w:r>
              <w:rPr>
                <w:rFonts w:eastAsia="Times New Roman" w:cs="Calibri"/>
                <w:i/>
              </w:rPr>
              <w:t>Section</w:t>
            </w:r>
            <w:r w:rsidRPr="00E3575F">
              <w:rPr>
                <w:rFonts w:eastAsia="Times New Roman" w:cs="Calibri"/>
                <w:i/>
                <w:iCs/>
              </w:rPr>
              <w:t xml:space="preserve"> </w:t>
            </w:r>
            <w:r w:rsidR="009A6E02" w:rsidRPr="00E3575F">
              <w:rPr>
                <w:rFonts w:eastAsia="Times New Roman" w:cs="Calibri"/>
                <w:i/>
              </w:rPr>
              <w:t>4.B.4</w:t>
            </w:r>
            <w:r w:rsidR="00BF68C2" w:rsidRPr="00E3575F">
              <w:rPr>
                <w:rFonts w:eastAsia="Times New Roman" w:cs="Calibri"/>
                <w:i/>
              </w:rPr>
              <w:t> </w:t>
            </w:r>
          </w:p>
        </w:tc>
        <w:tc>
          <w:tcPr>
            <w:tcW w:w="4650" w:type="dxa"/>
            <w:tcBorders>
              <w:top w:val="nil"/>
              <w:left w:val="nil"/>
              <w:bottom w:val="single" w:sz="12" w:space="0" w:color="FFC000" w:themeColor="accent4"/>
              <w:right w:val="single" w:sz="18" w:space="0" w:color="FFC000" w:themeColor="accent4"/>
            </w:tcBorders>
            <w:shd w:val="clear" w:color="auto" w:fill="auto"/>
          </w:tcPr>
          <w:p w14:paraId="4F7F319C" w14:textId="77777777" w:rsidR="00BF68C2" w:rsidRDefault="00F1222E" w:rsidP="00BF68C2">
            <w:pPr>
              <w:spacing w:line="240" w:lineRule="auto"/>
              <w:textAlignment w:val="baseline"/>
              <w:rPr>
                <w:rFonts w:eastAsia="Times New Roman" w:cs="Calibri"/>
              </w:rPr>
            </w:pPr>
            <w:hyperlink w:anchor="Innovation_Supports" w:history="1">
              <w:r w:rsidR="00BF68C2" w:rsidRPr="005648D9">
                <w:rPr>
                  <w:rStyle w:val="Hyperlink"/>
                  <w:rFonts w:eastAsia="Times New Roman" w:cs="Calibri"/>
                </w:rPr>
                <w:t>Innovation Supports section</w:t>
              </w:r>
            </w:hyperlink>
            <w:r w:rsidR="00BF68C2">
              <w:rPr>
                <w:rFonts w:eastAsia="Times New Roman" w:cs="Calibri"/>
              </w:rPr>
              <w:t>;</w:t>
            </w:r>
          </w:p>
          <w:p w14:paraId="7E5D083F" w14:textId="035D6570" w:rsidR="00F70453" w:rsidRPr="009A6E02" w:rsidRDefault="00F1222E" w:rsidP="00F70453">
            <w:pPr>
              <w:spacing w:line="240" w:lineRule="auto"/>
              <w:textAlignment w:val="baseline"/>
              <w:rPr>
                <w:highlight w:val="red"/>
              </w:rPr>
            </w:pPr>
            <w:hyperlink w:anchor="_Technical_Assistance_and" w:history="1">
              <w:r w:rsidR="00BF68C2" w:rsidRPr="005648D9">
                <w:rPr>
                  <w:rStyle w:val="Hyperlink"/>
                  <w:rFonts w:eastAsia="Times New Roman" w:cs="Calibri"/>
                </w:rPr>
                <w:t>Technical Assistance</w:t>
              </w:r>
              <w:r w:rsidR="00BF68C2">
                <w:rPr>
                  <w:rStyle w:val="Hyperlink"/>
                  <w:rFonts w:eastAsia="Times New Roman" w:cs="Calibri"/>
                </w:rPr>
                <w:t xml:space="preserve"> </w:t>
              </w:r>
              <w:r w:rsidR="00BF68C2">
                <w:rPr>
                  <w:rStyle w:val="Hyperlink"/>
                </w:rPr>
                <w:t>and Capacity Building</w:t>
              </w:r>
              <w:r w:rsidR="00BF68C2" w:rsidRPr="005648D9">
                <w:rPr>
                  <w:rStyle w:val="Hyperlink"/>
                  <w:rFonts w:eastAsia="Times New Roman" w:cs="Calibri"/>
                </w:rPr>
                <w:t> section</w:t>
              </w:r>
            </w:hyperlink>
            <w:r w:rsidR="00BF68C2">
              <w:rPr>
                <w:rFonts w:eastAsia="Times New Roman" w:cs="Calibri"/>
              </w:rPr>
              <w:t xml:space="preserve">. </w:t>
            </w:r>
          </w:p>
        </w:tc>
      </w:tr>
      <w:tr w:rsidR="0069212A" w:rsidRPr="0069212A" w14:paraId="763B15D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7B33B25" w14:textId="416D96AB"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xml:space="preserve">The </w:t>
            </w:r>
            <w:r w:rsidR="00635546">
              <w:rPr>
                <w:rFonts w:eastAsia="Times New Roman" w:cs="Calibri"/>
              </w:rPr>
              <w:t>Implementation Plan</w:t>
            </w:r>
            <w:r w:rsidRPr="0069212A">
              <w:rPr>
                <w:rFonts w:eastAsia="Times New Roman" w:cs="Calibri"/>
              </w:rPr>
              <w:t xml:space="preserve"> required by section 7 of this ordinance shall describe the annual allocations of levy proceeds that accomplish allocation requirements of this subsection C. of this section</w:t>
            </w:r>
            <w:r w:rsidR="00D50EE7">
              <w:rPr>
                <w:rFonts w:eastAsia="Times New Roman" w:cs="Calibri"/>
              </w:rPr>
              <w:t>.</w:t>
            </w:r>
            <w:r w:rsidR="00791013">
              <w:rPr>
                <w:rFonts w:eastAsia="Times New Roman" w:cs="Calibri"/>
              </w:rPr>
              <w:t xml:space="preserve"> </w:t>
            </w:r>
          </w:p>
          <w:p w14:paraId="71F0CD29" w14:textId="3AB6B96C" w:rsidR="0069212A" w:rsidRPr="00CE23F7"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CE23F7">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3DFB8C1D" w14:textId="42E2F414" w:rsidR="0069212A" w:rsidRPr="0069212A" w:rsidRDefault="00F1222E" w:rsidP="0069212A">
            <w:pPr>
              <w:spacing w:line="240" w:lineRule="auto"/>
              <w:textAlignment w:val="baseline"/>
              <w:rPr>
                <w:rFonts w:ascii="Segoe UI" w:eastAsia="Times New Roman" w:hAnsi="Segoe UI" w:cs="Segoe UI"/>
                <w:sz w:val="18"/>
                <w:szCs w:val="18"/>
              </w:rPr>
            </w:pPr>
            <w:hyperlink w:anchor="_B._Fiscal_Overview" w:history="1">
              <w:r w:rsidR="0069212A" w:rsidRPr="00A252A3">
                <w:rPr>
                  <w:rStyle w:val="Hyperlink"/>
                  <w:rFonts w:eastAsia="Times New Roman" w:cs="Calibri"/>
                </w:rPr>
                <w:t>Fiscal Overview section</w:t>
              </w:r>
            </w:hyperlink>
            <w:r w:rsidR="0069212A" w:rsidRPr="0069212A">
              <w:rPr>
                <w:rFonts w:eastAsia="Times New Roman" w:cs="Calibri"/>
              </w:rPr>
              <w:t xml:space="preserve">; additional detail can be found </w:t>
            </w:r>
            <w:r w:rsidR="002633B3">
              <w:rPr>
                <w:rFonts w:eastAsia="Times New Roman" w:cs="Calibri"/>
              </w:rPr>
              <w:t>i</w:t>
            </w:r>
            <w:r w:rsidR="002633B3">
              <w:t>n</w:t>
            </w:r>
            <w:r w:rsidR="0069212A" w:rsidRPr="0069212A">
              <w:rPr>
                <w:rFonts w:eastAsia="Times New Roman" w:cs="Calibri"/>
              </w:rPr>
              <w:t xml:space="preserve"> Appendix H </w:t>
            </w:r>
            <w:r w:rsidR="008B27D8">
              <w:rPr>
                <w:rFonts w:eastAsia="Times New Roman" w:cs="Calibri"/>
              </w:rPr>
              <w:t>(</w:t>
            </w:r>
            <w:hyperlink w:anchor="_Fiscal_Detail" w:history="1">
              <w:r w:rsidR="008B27D8" w:rsidRPr="008B27D8">
                <w:rPr>
                  <w:rStyle w:val="Hyperlink"/>
                  <w:rFonts w:eastAsia="Times New Roman" w:cs="Calibri"/>
                </w:rPr>
                <w:t>fiscal detail</w:t>
              </w:r>
            </w:hyperlink>
            <w:r w:rsidR="008B27D8">
              <w:rPr>
                <w:rFonts w:eastAsia="Times New Roman" w:cs="Calibri"/>
              </w:rPr>
              <w:t>)</w:t>
            </w:r>
            <w:r w:rsidR="0069212A" w:rsidRPr="0069212A">
              <w:rPr>
                <w:rFonts w:eastAsia="Times New Roman" w:cs="Calibri"/>
              </w:rPr>
              <w:t xml:space="preserve"> and</w:t>
            </w:r>
            <w:r w:rsidR="002633B3">
              <w:rPr>
                <w:rFonts w:eastAsia="Times New Roman" w:cs="Calibri"/>
              </w:rPr>
              <w:t xml:space="preserve"> </w:t>
            </w:r>
            <w:r w:rsidR="002633B3">
              <w:t>Appendix</w:t>
            </w:r>
            <w:r w:rsidR="0069212A" w:rsidRPr="0069212A">
              <w:rPr>
                <w:rFonts w:eastAsia="Times New Roman" w:cs="Calibri"/>
              </w:rPr>
              <w:t xml:space="preserve"> I</w:t>
            </w:r>
            <w:r w:rsidR="008B27D8">
              <w:rPr>
                <w:rFonts w:eastAsia="Times New Roman" w:cs="Calibri"/>
              </w:rPr>
              <w:t xml:space="preserve"> (</w:t>
            </w:r>
            <w:hyperlink w:anchor="_Procurement_and_Financial" w:history="1">
              <w:r w:rsidR="008B27D8" w:rsidRPr="008B27D8">
                <w:rPr>
                  <w:rStyle w:val="Hyperlink"/>
                  <w:rFonts w:eastAsia="Times New Roman" w:cs="Calibri"/>
                </w:rPr>
                <w:t>procurement and financial policies</w:t>
              </w:r>
            </w:hyperlink>
            <w:r w:rsidR="008B27D8">
              <w:rPr>
                <w:rFonts w:eastAsia="Times New Roman" w:cs="Calibri"/>
              </w:rPr>
              <w:t>)</w:t>
            </w:r>
            <w:r w:rsidR="0069212A" w:rsidRPr="0069212A">
              <w:rPr>
                <w:rFonts w:eastAsia="Times New Roman" w:cs="Calibri"/>
              </w:rPr>
              <w:t>. </w:t>
            </w:r>
          </w:p>
        </w:tc>
      </w:tr>
      <w:tr w:rsidR="0069212A" w:rsidRPr="0069212A" w14:paraId="6E98DBD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789AE6AB" w14:textId="6D3C9EA8" w:rsidR="0069212A" w:rsidRDefault="0069212A" w:rsidP="0069212A">
            <w:pPr>
              <w:spacing w:line="240" w:lineRule="auto"/>
              <w:textAlignment w:val="baseline"/>
              <w:rPr>
                <w:rFonts w:eastAsia="Times New Roman" w:cs="Calibri"/>
                <w:shd w:val="clear" w:color="auto" w:fill="FFFFFF"/>
              </w:rPr>
            </w:pPr>
            <w:r w:rsidRPr="0069212A">
              <w:rPr>
                <w:rFonts w:eastAsia="Times New Roman" w:cs="Calibri"/>
                <w:shd w:val="clear" w:color="auto" w:fill="FFFFFF"/>
              </w:rPr>
              <w:t xml:space="preserve">Additionally, in developing the Best Starts for Kids </w:t>
            </w:r>
            <w:r w:rsidR="00635546">
              <w:rPr>
                <w:rFonts w:eastAsia="Times New Roman" w:cs="Calibri"/>
                <w:shd w:val="clear" w:color="auto" w:fill="FFFFFF"/>
              </w:rPr>
              <w:t>Implementation Plan</w:t>
            </w:r>
            <w:r w:rsidRPr="0069212A">
              <w:rPr>
                <w:rFonts w:eastAsia="Times New Roman" w:cs="Calibri"/>
                <w:shd w:val="clear" w:color="auto" w:fill="FFFFFF"/>
              </w:rPr>
              <w:t>, the executive shall ensure that residents throughout King County and in any city in King County can access levy-funded strategies regardless of availability of similar services and programs provided by their city or in their community</w:t>
            </w:r>
            <w:r w:rsidR="00D50EE7">
              <w:rPr>
                <w:rFonts w:eastAsia="Times New Roman" w:cs="Calibri"/>
                <w:shd w:val="clear" w:color="auto" w:fill="FFFFFF"/>
              </w:rPr>
              <w:t>.</w:t>
            </w:r>
            <w:r w:rsidR="00791013">
              <w:rPr>
                <w:rFonts w:eastAsia="Times New Roman" w:cs="Calibri"/>
                <w:shd w:val="clear" w:color="auto" w:fill="FFFFFF"/>
              </w:rPr>
              <w:t xml:space="preserve"> </w:t>
            </w:r>
          </w:p>
          <w:p w14:paraId="25677E0E" w14:textId="54AF9C26" w:rsidR="0069212A" w:rsidRPr="0069212A" w:rsidRDefault="00BA3A1E"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A21BF3" w:rsidRPr="00CE23F7">
              <w:rPr>
                <w:rFonts w:eastAsia="Times New Roman" w:cs="Calibri"/>
                <w:i/>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E5BB0C3" w14:textId="75122DE8" w:rsidR="0069212A" w:rsidRPr="0069212A" w:rsidRDefault="00F1222E" w:rsidP="0069212A">
            <w:pPr>
              <w:spacing w:line="240" w:lineRule="auto"/>
              <w:textAlignment w:val="baseline"/>
              <w:rPr>
                <w:rFonts w:ascii="Segoe UI" w:eastAsia="Times New Roman" w:hAnsi="Segoe UI" w:cs="Segoe UI"/>
                <w:sz w:val="18"/>
                <w:szCs w:val="18"/>
              </w:rPr>
            </w:pPr>
            <w:hyperlink w:anchor="_Procurement_and_Financial" w:history="1">
              <w:r w:rsidR="008C0B76" w:rsidRPr="006E1698">
                <w:rPr>
                  <w:rStyle w:val="Hyperlink"/>
                </w:rPr>
                <w:t>Procurement, Equity and Partnership Work section</w:t>
              </w:r>
              <w:r w:rsidR="006E1698" w:rsidRPr="006E1698">
                <w:rPr>
                  <w:rStyle w:val="Hyperlink"/>
                </w:rPr>
                <w:t>.</w:t>
              </w:r>
            </w:hyperlink>
          </w:p>
        </w:tc>
      </w:tr>
      <w:tr w:rsidR="0069212A" w:rsidRPr="0069212A" w14:paraId="019D730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7AE73441"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Of the eligible expenditures described in subsection B. of this section, an amount of each year's levy proceeds shall be allocated first for the purposes in subsection D. of this section. </w:t>
            </w:r>
          </w:p>
          <w:p w14:paraId="56A29E0E" w14:textId="77777777" w:rsidR="0069212A" w:rsidRDefault="00BA3A1E" w:rsidP="0069212A">
            <w:pPr>
              <w:spacing w:line="240" w:lineRule="auto"/>
              <w:textAlignment w:val="baseline"/>
              <w:rPr>
                <w:rFonts w:eastAsia="Times New Roman" w:cs="Calibri"/>
                <w:i/>
                <w:iCs/>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p w14:paraId="13D5D15B" w14:textId="5D3F4C60" w:rsidR="00525249" w:rsidRDefault="00525249" w:rsidP="0069212A">
            <w:pPr>
              <w:spacing w:line="240" w:lineRule="auto"/>
              <w:textAlignment w:val="baseline"/>
              <w:rPr>
                <w:rFonts w:eastAsia="Times New Roman" w:cs="Calibri"/>
                <w:i/>
                <w:iCs/>
              </w:rPr>
            </w:pPr>
          </w:p>
          <w:p w14:paraId="6061D51E" w14:textId="77777777" w:rsidR="003420B4" w:rsidRDefault="003420B4" w:rsidP="0069212A">
            <w:pPr>
              <w:spacing w:line="240" w:lineRule="auto"/>
              <w:textAlignment w:val="baseline"/>
              <w:rPr>
                <w:rFonts w:eastAsia="Times New Roman" w:cs="Calibri"/>
                <w:i/>
                <w:iCs/>
              </w:rPr>
            </w:pPr>
          </w:p>
          <w:p w14:paraId="12CCA9E9" w14:textId="2E1C6EDD" w:rsidR="00525249" w:rsidRPr="00E3575F" w:rsidRDefault="00525249" w:rsidP="0069212A">
            <w:pPr>
              <w:spacing w:line="240" w:lineRule="auto"/>
              <w:textAlignment w:val="baseline"/>
              <w:rPr>
                <w:rFonts w:ascii="Segoe UI" w:eastAsia="Times New Roman" w:hAnsi="Segoe UI" w:cs="Segoe UI"/>
                <w:i/>
                <w:iCs/>
                <w:sz w:val="18"/>
                <w:szCs w:val="18"/>
              </w:rPr>
            </w:pP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509F12B4" w14:textId="60D36AC8"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5648D9">
              <w:rPr>
                <w:rFonts w:eastAsia="Times New Roman" w:cs="Calibri"/>
              </w:rPr>
              <w:t xml:space="preserve"> 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 xml:space="preserve">. </w:t>
            </w:r>
          </w:p>
        </w:tc>
      </w:tr>
      <w:tr w:rsidR="00525249" w:rsidRPr="0069212A" w14:paraId="03439D23" w14:textId="77777777" w:rsidTr="006038F1">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21E7DC91" w14:textId="31093867" w:rsidR="00525249" w:rsidRPr="0069212A" w:rsidRDefault="00525249" w:rsidP="006038F1">
            <w:pPr>
              <w:spacing w:line="240" w:lineRule="auto"/>
              <w:textAlignment w:val="baseline"/>
              <w:rPr>
                <w:rFonts w:eastAsia="Times New Roman" w:cs="Calibri"/>
              </w:rPr>
            </w:pPr>
            <w:r w:rsidRPr="0069212A">
              <w:rPr>
                <w:rFonts w:eastAsia="Times New Roman" w:cs="Calibri"/>
                <w:b/>
                <w:bCs/>
              </w:rPr>
              <w:lastRenderedPageBreak/>
              <w:t xml:space="preserve">Required Implementation Plan </w:t>
            </w:r>
            <w:r>
              <w:rPr>
                <w:rFonts w:eastAsia="Times New Roman" w:cs="Calibri"/>
                <w:b/>
                <w:bCs/>
              </w:rPr>
              <w:t>Elements</w:t>
            </w:r>
            <w:r w:rsidRPr="0069212A">
              <w:rPr>
                <w:rFonts w:eastAsia="Times New Roman" w:cs="Calibri"/>
                <w:b/>
                <w:bCs/>
              </w:rPr>
              <w:t xml:space="preserve"> 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57055967" w14:textId="77777777" w:rsidR="00525249" w:rsidRPr="0069212A" w:rsidRDefault="00525249" w:rsidP="006038F1">
            <w:pPr>
              <w:spacing w:line="240" w:lineRule="auto"/>
              <w:textAlignment w:val="baseline"/>
              <w:rPr>
                <w:rFonts w:eastAsia="Times New Roman" w:cs="Calibri"/>
              </w:rPr>
            </w:pPr>
            <w:r>
              <w:rPr>
                <w:rFonts w:eastAsia="Times New Roman" w:cs="Calibri"/>
                <w:b/>
                <w:bCs/>
              </w:rPr>
              <w:t>Links to Relevant Section(s)</w:t>
            </w:r>
          </w:p>
        </w:tc>
      </w:tr>
      <w:tr w:rsidR="0069212A" w:rsidRPr="0069212A" w14:paraId="19BE356F" w14:textId="77777777" w:rsidTr="008A1A7E">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hideMark/>
          </w:tcPr>
          <w:p w14:paraId="1052EC7A"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In the levy's first year, which is 2022, the total amount allocated for the purposes in subsection D. of this section shall be twenty-two and one-half percent of the first year's levy proceeds remaining after the amount authorized in subsection A. </w:t>
            </w:r>
          </w:p>
          <w:p w14:paraId="5846AD62" w14:textId="258B0655"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2" w:space="0" w:color="FFC000" w:themeColor="accent4"/>
              <w:right w:val="single" w:sz="18" w:space="0" w:color="FFC000" w:themeColor="accent4"/>
            </w:tcBorders>
            <w:shd w:val="clear" w:color="auto" w:fill="auto"/>
            <w:hideMark/>
          </w:tcPr>
          <w:p w14:paraId="2A765C43" w14:textId="7C24FE9D"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5648D9">
              <w:rPr>
                <w:rFonts w:eastAsia="Times New Roman" w:cs="Calibri"/>
              </w:rPr>
              <w:t xml:space="preserve"> 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w:t>
            </w:r>
          </w:p>
        </w:tc>
      </w:tr>
      <w:tr w:rsidR="0069212A" w:rsidRPr="0069212A" w14:paraId="6569EF98"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114948E" w14:textId="2A410FE3"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In the levy's subsequent years, the amount to be allocated for the purposes in subsection D. of this section shall be allocated so that the six-year total sum of levy proceeds allocated for the purposes in subsection D. of this section shall be no less than two-hundred and forty million dollars</w:t>
            </w:r>
            <w:r w:rsidR="008A7A6A">
              <w:rPr>
                <w:rFonts w:eastAsia="Times New Roman" w:cs="Calibri"/>
              </w:rPr>
              <w:t>.</w:t>
            </w:r>
            <w:r w:rsidR="00791013">
              <w:rPr>
                <w:rFonts w:eastAsia="Times New Roman" w:cs="Calibri"/>
              </w:rPr>
              <w:t xml:space="preserve"> </w:t>
            </w:r>
          </w:p>
          <w:p w14:paraId="7D93CC05" w14:textId="57D28256"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A06E41D" w14:textId="2BB1C908"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5648D9">
              <w:rPr>
                <w:rFonts w:eastAsia="Times New Roman" w:cs="Calibri"/>
              </w:rPr>
              <w:t xml:space="preserve"> 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w:t>
            </w:r>
          </w:p>
        </w:tc>
      </w:tr>
      <w:tr w:rsidR="0069212A" w:rsidRPr="0069212A" w14:paraId="317462E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2C1989DD" w14:textId="1EDA4AB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xml:space="preserve">The </w:t>
            </w:r>
            <w:r w:rsidR="00635546">
              <w:rPr>
                <w:rFonts w:eastAsia="Times New Roman" w:cs="Calibri"/>
              </w:rPr>
              <w:t>Implementation Plan</w:t>
            </w:r>
            <w:r w:rsidRPr="0069212A">
              <w:rPr>
                <w:rFonts w:eastAsia="Times New Roman" w:cs="Calibri"/>
              </w:rPr>
              <w:t xml:space="preserve"> required by section 7 of this ordinance shall describe the annual allocations of levy proceeds that accomplish allocation requirements of this subsection C. of this section</w:t>
            </w:r>
            <w:r w:rsidR="006A39FA">
              <w:rPr>
                <w:rFonts w:eastAsia="Times New Roman" w:cs="Calibri"/>
              </w:rPr>
              <w:t>.</w:t>
            </w:r>
          </w:p>
          <w:p w14:paraId="6ACAAF7C" w14:textId="5FCC5464"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7CBB1DD5" w14:textId="67CA1CF5"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7F04E1">
              <w:rPr>
                <w:rFonts w:eastAsia="Times New Roman" w:cs="Calibri"/>
              </w:rPr>
              <w:t xml:space="preserve"> </w:t>
            </w:r>
            <w:r w:rsidR="005648D9">
              <w:rPr>
                <w:rFonts w:eastAsia="Times New Roman" w:cs="Calibri"/>
              </w:rPr>
              <w:t xml:space="preserve">in </w:t>
            </w:r>
            <w:hyperlink w:anchor="_B._Fiscal_Overview" w:history="1">
              <w:r w:rsidR="005648D9" w:rsidRPr="005648D9">
                <w:rPr>
                  <w:rStyle w:val="Hyperlink"/>
                  <w:rFonts w:eastAsia="Times New Roman" w:cs="Calibri"/>
                </w:rPr>
                <w:t>Fiscal Overview section</w:t>
              </w:r>
            </w:hyperlink>
            <w:r w:rsidRPr="0069212A">
              <w:rPr>
                <w:rFonts w:eastAsia="Times New Roman" w:cs="Calibri"/>
              </w:rPr>
              <w:t xml:space="preserve"> with additional information in </w:t>
            </w:r>
            <w:hyperlink w:anchor="_Investment_Area_and" w:history="1">
              <w:r w:rsidRPr="005648D9">
                <w:rPr>
                  <w:rStyle w:val="Hyperlink"/>
                  <w:rFonts w:eastAsia="Times New Roman" w:cs="Calibri"/>
                </w:rPr>
                <w:t>Strategy section</w:t>
              </w:r>
              <w:r w:rsidR="005648D9" w:rsidRPr="005648D9">
                <w:rPr>
                  <w:rStyle w:val="Hyperlink"/>
                  <w:rFonts w:eastAsia="Times New Roman" w:cs="Calibri"/>
                </w:rPr>
                <w:t>s</w:t>
              </w:r>
            </w:hyperlink>
            <w:r w:rsidR="005648D9">
              <w:rPr>
                <w:rFonts w:eastAsia="Times New Roman" w:cs="Calibri"/>
              </w:rPr>
              <w:t>.</w:t>
            </w:r>
          </w:p>
        </w:tc>
      </w:tr>
      <w:tr w:rsidR="0069212A" w:rsidRPr="0069212A" w14:paraId="1775347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902E865"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After the annual allocation of levy proceeds required by this subsection C. of this section, each year's remaining levy proceeds shall be divided in the following proportions and used for the following purposes: </w:t>
            </w:r>
          </w:p>
          <w:p w14:paraId="5F9A5889" w14:textId="4EF15BF3"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3F43648C" w14:textId="75C9D880"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9F7253">
              <w:rPr>
                <w:rFonts w:eastAsia="Times New Roman" w:cs="Calibri"/>
              </w:rPr>
              <w:t xml:space="preserve"> </w:t>
            </w:r>
            <w:r w:rsidR="005648D9">
              <w:rPr>
                <w:rFonts w:eastAsia="Times New Roman" w:cs="Calibri"/>
              </w:rPr>
              <w:t xml:space="preserve">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w:t>
            </w:r>
          </w:p>
        </w:tc>
      </w:tr>
      <w:tr w:rsidR="0069212A" w:rsidRPr="0069212A" w14:paraId="32DEA2C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66A7866" w14:textId="1FA046AA"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1</w:t>
            </w:r>
            <w:r w:rsidR="00D50EE7">
              <w:rPr>
                <w:rFonts w:eastAsia="Times New Roman" w:cs="Calibri"/>
              </w:rPr>
              <w:t>.</w:t>
            </w:r>
            <w:r w:rsidR="00791013">
              <w:rPr>
                <w:rFonts w:eastAsia="Times New Roman" w:cs="Calibri"/>
              </w:rPr>
              <w:t xml:space="preserve"> </w:t>
            </w:r>
            <w:r w:rsidRPr="0069212A">
              <w:rPr>
                <w:rFonts w:eastAsia="Times New Roman" w:cs="Calibri"/>
              </w:rPr>
              <w:t>Fifty percent shall be used to plan, provide, fund and administer strategies focused on children and youth under six years old and their caregivers, pregnant persons and individuals or families concerning pregnancy. </w:t>
            </w:r>
          </w:p>
          <w:p w14:paraId="3D999940" w14:textId="17B73D46"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4.C.1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48990EEE" w14:textId="07D0EB8F" w:rsidR="0069212A" w:rsidRPr="0069212A" w:rsidRDefault="00F1222E" w:rsidP="0069212A">
            <w:pPr>
              <w:spacing w:line="240" w:lineRule="auto"/>
              <w:textAlignment w:val="baseline"/>
              <w:rPr>
                <w:rFonts w:ascii="Segoe UI" w:eastAsia="Times New Roman" w:hAnsi="Segoe UI" w:cs="Segoe UI"/>
                <w:sz w:val="18"/>
                <w:szCs w:val="18"/>
              </w:rPr>
            </w:pPr>
            <w:hyperlink w:anchor="_Investing_Early_(Prenatal" w:history="1">
              <w:r w:rsidR="00135FF8" w:rsidRPr="005648D9">
                <w:rPr>
                  <w:rStyle w:val="Hyperlink"/>
                  <w:rFonts w:eastAsia="Times New Roman" w:cs="Calibri"/>
                </w:rPr>
                <w:t>Investing Early</w:t>
              </w:r>
              <w:r w:rsidR="0069212A" w:rsidRPr="005648D9">
                <w:rPr>
                  <w:rStyle w:val="Hyperlink"/>
                  <w:rFonts w:eastAsia="Times New Roman" w:cs="Calibri"/>
                </w:rPr>
                <w:t> section</w:t>
              </w:r>
            </w:hyperlink>
            <w:r w:rsidR="005648D9">
              <w:rPr>
                <w:rFonts w:eastAsia="Times New Roman" w:cs="Calibri"/>
              </w:rPr>
              <w:t>.</w:t>
            </w:r>
          </w:p>
        </w:tc>
      </w:tr>
      <w:tr w:rsidR="0069212A" w:rsidRPr="0069212A" w14:paraId="4D44535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22171F08" w14:textId="4AB6C823"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2</w:t>
            </w:r>
            <w:r w:rsidR="00D50EE7">
              <w:rPr>
                <w:rFonts w:eastAsia="Times New Roman" w:cs="Calibri"/>
              </w:rPr>
              <w:t>.</w:t>
            </w:r>
            <w:r w:rsidR="00791013">
              <w:rPr>
                <w:rFonts w:eastAsia="Times New Roman" w:cs="Calibri"/>
              </w:rPr>
              <w:t xml:space="preserve"> </w:t>
            </w:r>
            <w:r w:rsidRPr="0069212A">
              <w:rPr>
                <w:rFonts w:eastAsia="Times New Roman" w:cs="Calibri"/>
              </w:rPr>
              <w:t>Thirty-seven percent shall be used to plan, provide, fund and administer strategies focused on children and youth age five or older; </w:t>
            </w:r>
          </w:p>
          <w:p w14:paraId="6C0E49F9" w14:textId="069771B2"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4.C.2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7B38CE03" w14:textId="71F12F91" w:rsidR="0069212A" w:rsidRPr="0069212A" w:rsidRDefault="00F1222E" w:rsidP="0069212A">
            <w:pPr>
              <w:spacing w:line="240" w:lineRule="auto"/>
              <w:textAlignment w:val="baseline"/>
              <w:rPr>
                <w:rFonts w:ascii="Segoe UI" w:eastAsia="Times New Roman" w:hAnsi="Segoe UI" w:cs="Segoe UI"/>
                <w:sz w:val="18"/>
                <w:szCs w:val="18"/>
              </w:rPr>
            </w:pPr>
            <w:hyperlink w:anchor="_Sustain_the_Gain" w:history="1">
              <w:r w:rsidR="0069212A" w:rsidRPr="005648D9">
                <w:rPr>
                  <w:rStyle w:val="Hyperlink"/>
                  <w:rFonts w:eastAsia="Times New Roman" w:cs="Calibri"/>
                </w:rPr>
                <w:t>Sustain the Gain section</w:t>
              </w:r>
            </w:hyperlink>
            <w:r w:rsidR="0069212A" w:rsidRPr="0069212A">
              <w:rPr>
                <w:rFonts w:eastAsia="Times New Roman" w:cs="Calibri"/>
              </w:rPr>
              <w:t>. </w:t>
            </w:r>
          </w:p>
        </w:tc>
      </w:tr>
      <w:tr w:rsidR="0069212A" w:rsidRPr="0069212A" w14:paraId="00EE5D9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13DC2AA" w14:textId="2658A5A3"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3</w:t>
            </w:r>
            <w:r w:rsidR="00D50EE7">
              <w:rPr>
                <w:rFonts w:eastAsia="Times New Roman" w:cs="Calibri"/>
              </w:rPr>
              <w:t>.</w:t>
            </w:r>
            <w:r w:rsidR="00791013">
              <w:rPr>
                <w:rFonts w:eastAsia="Times New Roman" w:cs="Calibri"/>
              </w:rPr>
              <w:t xml:space="preserve"> </w:t>
            </w:r>
            <w:r w:rsidRPr="0069212A">
              <w:rPr>
                <w:rFonts w:eastAsia="Times New Roman" w:cs="Calibri"/>
              </w:rPr>
              <w:t>Eight percent shall be used to plan, provide, fund and administer Communities of Opportunity; and </w:t>
            </w:r>
          </w:p>
          <w:p w14:paraId="4961C4FB" w14:textId="09103225"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4.C.3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46CEA720" w14:textId="075E7EA0" w:rsidR="0069212A" w:rsidRPr="0069212A" w:rsidRDefault="00F1222E" w:rsidP="0069212A">
            <w:pPr>
              <w:spacing w:line="240" w:lineRule="auto"/>
              <w:textAlignment w:val="baseline"/>
              <w:rPr>
                <w:rFonts w:eastAsia="Times New Roman" w:cs="Calibri"/>
              </w:rPr>
            </w:pPr>
            <w:hyperlink w:anchor="_Communities_of_Opportunity" w:history="1">
              <w:r w:rsidR="0069212A" w:rsidRPr="005648D9">
                <w:rPr>
                  <w:rStyle w:val="Hyperlink"/>
                  <w:rFonts w:eastAsia="Times New Roman" w:cs="Calibri"/>
                </w:rPr>
                <w:t>Communities of Opportunity section</w:t>
              </w:r>
            </w:hyperlink>
            <w:r w:rsidR="246AA15F" w:rsidRPr="3220DF3A">
              <w:rPr>
                <w:rFonts w:eastAsia="Times New Roman" w:cs="Calibri"/>
              </w:rPr>
              <w:t>.</w:t>
            </w:r>
          </w:p>
        </w:tc>
      </w:tr>
      <w:tr w:rsidR="0069212A" w:rsidRPr="0069212A" w14:paraId="414EE6A3"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388C045" w14:textId="73323BE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4</w:t>
            </w:r>
            <w:r w:rsidR="00D50EE7">
              <w:rPr>
                <w:rFonts w:eastAsia="Times New Roman" w:cs="Calibri"/>
              </w:rPr>
              <w:t>.</w:t>
            </w:r>
            <w:r w:rsidR="00791013">
              <w:rPr>
                <w:rFonts w:eastAsia="Times New Roman" w:cs="Calibri"/>
              </w:rPr>
              <w:t xml:space="preserve"> </w:t>
            </w:r>
            <w:r w:rsidRPr="0069212A">
              <w:rPr>
                <w:rFonts w:eastAsia="Times New Roman" w:cs="Calibri"/>
              </w:rPr>
              <w:t>Five percent shall be used to plan, provide, fund and administer the following: </w:t>
            </w:r>
          </w:p>
          <w:p w14:paraId="4044F82D" w14:textId="22C8B06C"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4.C.4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30F1A4E0"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w:t>
            </w:r>
          </w:p>
        </w:tc>
      </w:tr>
    </w:tbl>
    <w:p w14:paraId="589BB645" w14:textId="77777777" w:rsidR="008A1A7E" w:rsidRDefault="008A1A7E">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8A1A7E" w:rsidRPr="0069212A" w14:paraId="1D91D80D" w14:textId="77777777" w:rsidTr="008A1A7E">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1902EA3F" w14:textId="49C5A288" w:rsidR="008A1A7E" w:rsidRPr="00042379" w:rsidRDefault="008A1A7E" w:rsidP="00042379">
            <w:pPr>
              <w:spacing w:line="240" w:lineRule="auto"/>
              <w:textAlignment w:val="baseline"/>
              <w:rPr>
                <w:rFonts w:eastAsia="Times New Roman" w:cs="Calibri"/>
              </w:rPr>
            </w:pPr>
            <w:r w:rsidRPr="00042379">
              <w:rPr>
                <w:rFonts w:eastAsia="Times New Roman" w:cs="Calibri"/>
                <w:b/>
                <w:bCs/>
              </w:rPr>
              <w:lastRenderedPageBreak/>
              <w:t xml:space="preserve">Required Implementation Plan </w:t>
            </w:r>
            <w:r w:rsidR="00320040">
              <w:rPr>
                <w:rFonts w:eastAsia="Times New Roman" w:cs="Calibri"/>
                <w:b/>
                <w:bCs/>
              </w:rPr>
              <w:t>Elements</w:t>
            </w:r>
            <w:r w:rsidR="00320040" w:rsidRPr="00042379">
              <w:rPr>
                <w:rFonts w:eastAsia="Times New Roman" w:cs="Calibri"/>
                <w:b/>
                <w:bCs/>
              </w:rPr>
              <w:t xml:space="preserve"> </w:t>
            </w:r>
            <w:r w:rsidRPr="00042379">
              <w:rPr>
                <w:rFonts w:eastAsia="Times New Roman" w:cs="Calibri"/>
                <w:b/>
                <w:bCs/>
              </w:rPr>
              <w:t>from Ordinance 19267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1FE133ED" w14:textId="4CD2A58A" w:rsidR="008A1A7E" w:rsidRDefault="00213C4D" w:rsidP="008A1A7E">
            <w:pPr>
              <w:spacing w:line="240" w:lineRule="auto"/>
              <w:textAlignment w:val="baseline"/>
            </w:pPr>
            <w:r>
              <w:rPr>
                <w:rFonts w:eastAsia="Times New Roman" w:cs="Calibri"/>
                <w:b/>
                <w:bCs/>
              </w:rPr>
              <w:t>Links to Relevant Section(s)</w:t>
            </w:r>
          </w:p>
        </w:tc>
      </w:tr>
      <w:tr w:rsidR="0069212A" w:rsidRPr="0069212A" w14:paraId="08A96D2C"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13C0B64" w14:textId="478DA404" w:rsidR="005B2161" w:rsidRPr="0011577C" w:rsidRDefault="0069212A" w:rsidP="00D560B6">
            <w:pPr>
              <w:pStyle w:val="ListParagraph"/>
              <w:numPr>
                <w:ilvl w:val="0"/>
                <w:numId w:val="82"/>
              </w:numPr>
              <w:spacing w:line="240" w:lineRule="auto"/>
              <w:textAlignment w:val="baseline"/>
              <w:rPr>
                <w:rFonts w:eastAsia="Times New Roman" w:cs="Calibri"/>
              </w:rPr>
            </w:pPr>
            <w:r w:rsidRPr="0069212A">
              <w:rPr>
                <w:rFonts w:eastAsia="Times New Roman" w:cs="Calibri"/>
              </w:rPr>
              <w:t>performance measurement of levy-funded strategies, evaluation and data collection activities; </w:t>
            </w:r>
          </w:p>
          <w:p w14:paraId="0AF2DD13" w14:textId="649B742C" w:rsidR="0069212A" w:rsidRPr="0069212A" w:rsidRDefault="00BA3A1E"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11577C" w:rsidRPr="00E3575F">
              <w:rPr>
                <w:rFonts w:eastAsia="Times New Roman" w:cs="Calibri"/>
                <w:i/>
              </w:rPr>
              <w:t>4.C.4</w:t>
            </w:r>
            <w:r w:rsidR="0011577C">
              <w:rPr>
                <w:rFonts w:eastAsia="Times New Roman" w:cs="Calibri"/>
                <w:i/>
              </w:rPr>
              <w:t>.</w:t>
            </w:r>
            <w:r w:rsidR="00FA0E92">
              <w:rPr>
                <w:rFonts w:eastAsia="Times New Roman" w:cs="Calibri"/>
                <w:i/>
              </w:rPr>
              <w:t>a</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217DDEC" w14:textId="42160835" w:rsidR="0069212A" w:rsidRPr="0069212A" w:rsidRDefault="00F1222E" w:rsidP="0069212A">
            <w:pPr>
              <w:spacing w:line="240" w:lineRule="auto"/>
              <w:textAlignment w:val="baseline"/>
              <w:rPr>
                <w:rFonts w:ascii="Segoe UI" w:eastAsia="Times New Roman" w:hAnsi="Segoe UI" w:cs="Segoe UI"/>
                <w:sz w:val="18"/>
                <w:szCs w:val="18"/>
              </w:rPr>
            </w:pPr>
            <w:hyperlink w:anchor="_Data_and_Evaluation" w:history="1">
              <w:r w:rsidR="00FB197C" w:rsidRPr="005648D9">
                <w:rPr>
                  <w:rStyle w:val="Hyperlink"/>
                  <w:rFonts w:eastAsia="Times New Roman" w:cs="Calibri"/>
                </w:rPr>
                <w:t>Data and Evaluation</w:t>
              </w:r>
              <w:r w:rsidR="005648D9" w:rsidRPr="005648D9">
                <w:rPr>
                  <w:rStyle w:val="Hyperlink"/>
                  <w:rFonts w:eastAsia="Times New Roman" w:cs="Calibri"/>
                </w:rPr>
                <w:t xml:space="preserve"> section</w:t>
              </w:r>
            </w:hyperlink>
            <w:r w:rsidR="005648D9">
              <w:rPr>
                <w:rFonts w:eastAsia="Times New Roman" w:cs="Calibri"/>
              </w:rPr>
              <w:t>.</w:t>
            </w:r>
          </w:p>
        </w:tc>
      </w:tr>
      <w:tr w:rsidR="0069212A" w:rsidRPr="0069212A" w14:paraId="74E371F4"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F100B50" w14:textId="658EE316" w:rsidR="005B2161" w:rsidRPr="00D560B6" w:rsidRDefault="0069212A" w:rsidP="00D560B6">
            <w:pPr>
              <w:pStyle w:val="ListParagraph"/>
              <w:numPr>
                <w:ilvl w:val="0"/>
                <w:numId w:val="82"/>
              </w:numPr>
              <w:spacing w:line="240" w:lineRule="auto"/>
              <w:textAlignment w:val="baseline"/>
              <w:rPr>
                <w:rFonts w:eastAsia="Times New Roman" w:cs="Calibri"/>
              </w:rPr>
            </w:pPr>
            <w:r w:rsidRPr="0069212A">
              <w:rPr>
                <w:rFonts w:eastAsia="Times New Roman" w:cs="Calibri"/>
              </w:rPr>
              <w:t>stipends for children and youth serving as appointed members of the King County children and youth advisory board under conditions prescribed by the final children and youth advisory board update report required by section 6 of this ordinance in the final form of the children and youth advisory board update report that the council adopts by ordinance. </w:t>
            </w:r>
          </w:p>
          <w:p w14:paraId="66CDDA91" w14:textId="59F4E7BE" w:rsidR="0069212A" w:rsidRPr="0069212A" w:rsidRDefault="00BA3A1E"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D560B6" w:rsidRPr="00D560B6">
              <w:rPr>
                <w:rFonts w:eastAsia="Times New Roman" w:cs="Calibri"/>
                <w:i/>
              </w:rPr>
              <w:t>4.C.4.</w:t>
            </w:r>
            <w:r w:rsidR="00FA0E92">
              <w:rPr>
                <w:rFonts w:eastAsia="Times New Roman" w:cs="Calibri"/>
                <w:i/>
              </w:rPr>
              <w:t>b</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246E59D" w14:textId="65D6C83C" w:rsidR="0069212A" w:rsidRPr="0069212A" w:rsidRDefault="00F1222E" w:rsidP="0069212A">
            <w:pPr>
              <w:spacing w:line="240" w:lineRule="auto"/>
              <w:textAlignment w:val="baseline"/>
              <w:rPr>
                <w:rFonts w:ascii="Segoe UI" w:eastAsia="Times New Roman" w:hAnsi="Segoe UI" w:cs="Segoe UI"/>
                <w:sz w:val="18"/>
                <w:szCs w:val="18"/>
              </w:rPr>
            </w:pPr>
            <w:hyperlink w:anchor="_F.__Governing" w:history="1">
              <w:r w:rsidR="0069212A" w:rsidRPr="005648D9">
                <w:rPr>
                  <w:rStyle w:val="Hyperlink"/>
                  <w:rFonts w:eastAsia="Times New Roman" w:cs="Calibri"/>
                </w:rPr>
                <w:t>Governance Section</w:t>
              </w:r>
            </w:hyperlink>
            <w:r w:rsidR="0069212A" w:rsidRPr="0069212A">
              <w:rPr>
                <w:rFonts w:eastAsia="Times New Roman" w:cs="Calibri"/>
              </w:rPr>
              <w:t>. </w:t>
            </w:r>
          </w:p>
        </w:tc>
      </w:tr>
      <w:tr w:rsidR="0069212A" w:rsidRPr="0069212A" w14:paraId="2D9202B9"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6EE089B4" w14:textId="0B51DAE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D</w:t>
            </w:r>
            <w:r w:rsidR="00D50EE7">
              <w:rPr>
                <w:rFonts w:eastAsia="Times New Roman" w:cs="Calibri"/>
              </w:rPr>
              <w:t>.</w:t>
            </w:r>
            <w:r w:rsidR="00791013">
              <w:rPr>
                <w:rFonts w:eastAsia="Times New Roman" w:cs="Calibri"/>
              </w:rPr>
              <w:t xml:space="preserve"> </w:t>
            </w:r>
            <w:r w:rsidRPr="0069212A">
              <w:rPr>
                <w:rFonts w:eastAsia="Times New Roman" w:cs="Calibri"/>
              </w:rPr>
              <w:t>Except for levy proceeds reserved for the purposes in subsection E. of this section, the levy proceeds annually reserved in subsection C. of this section shall be used to plan, provide, fund, administer, measure performance and evaluate</w:t>
            </w:r>
            <w:r w:rsidR="004B33F7">
              <w:rPr>
                <w:rFonts w:eastAsia="Times New Roman" w:cs="Calibri"/>
              </w:rPr>
              <w:t>.</w:t>
            </w:r>
          </w:p>
          <w:p w14:paraId="370FA9B0" w14:textId="3B5DD81E"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6EEDA2F8"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w:t>
            </w:r>
          </w:p>
        </w:tc>
      </w:tr>
      <w:tr w:rsidR="0069212A" w:rsidRPr="0069212A" w14:paraId="7F50F09B"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F527016" w14:textId="77777777" w:rsidR="005B2161" w:rsidRDefault="0069212A" w:rsidP="005B2161">
            <w:pPr>
              <w:spacing w:line="240" w:lineRule="auto"/>
              <w:textAlignment w:val="baseline"/>
              <w:rPr>
                <w:rFonts w:eastAsia="Times New Roman" w:cs="Calibri"/>
              </w:rPr>
            </w:pPr>
            <w:r w:rsidRPr="0069212A">
              <w:rPr>
                <w:rFonts w:eastAsia="Times New Roman" w:cs="Calibri"/>
              </w:rPr>
              <w:t>a youth and family homelessness prevention initiative,  </w:t>
            </w:r>
          </w:p>
          <w:p w14:paraId="557F4C25" w14:textId="47B0AC74"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F991896" w14:textId="20D057EC" w:rsidR="0069212A" w:rsidRPr="0069212A" w:rsidRDefault="00F1222E" w:rsidP="0069212A">
            <w:pPr>
              <w:spacing w:line="240" w:lineRule="auto"/>
              <w:textAlignment w:val="baseline"/>
              <w:rPr>
                <w:rFonts w:ascii="Segoe UI" w:eastAsia="Times New Roman" w:hAnsi="Segoe UI" w:cs="Segoe UI"/>
                <w:sz w:val="18"/>
                <w:szCs w:val="18"/>
              </w:rPr>
            </w:pPr>
            <w:hyperlink w:anchor="_Youth_and_Family" w:history="1">
              <w:r w:rsidR="0069212A" w:rsidRPr="00A50660">
                <w:rPr>
                  <w:rStyle w:val="Hyperlink"/>
                  <w:rFonts w:eastAsia="Times New Roman" w:cs="Calibri"/>
                </w:rPr>
                <w:t xml:space="preserve">Youth and Family Homelessness </w:t>
              </w:r>
              <w:r w:rsidR="002633B3">
                <w:rPr>
                  <w:rStyle w:val="Hyperlink"/>
                  <w:rFonts w:eastAsia="Times New Roman" w:cs="Calibri"/>
                </w:rPr>
                <w:t xml:space="preserve">Prevention </w:t>
              </w:r>
              <w:r w:rsidR="0069212A" w:rsidRPr="00A50660">
                <w:rPr>
                  <w:rStyle w:val="Hyperlink"/>
                  <w:rFonts w:eastAsia="Times New Roman" w:cs="Calibri"/>
                </w:rPr>
                <w:t>Initiative section</w:t>
              </w:r>
            </w:hyperlink>
            <w:r w:rsidR="0069212A" w:rsidRPr="0069212A">
              <w:rPr>
                <w:rFonts w:eastAsia="Times New Roman" w:cs="Calibri"/>
              </w:rPr>
              <w:t>. </w:t>
            </w:r>
          </w:p>
        </w:tc>
      </w:tr>
      <w:tr w:rsidR="0069212A" w:rsidRPr="0069212A" w14:paraId="0627F63E" w14:textId="77777777" w:rsidTr="006A6E94">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hideMark/>
          </w:tcPr>
          <w:p w14:paraId="0255823C" w14:textId="77777777" w:rsidR="005B2161" w:rsidRDefault="0069212A" w:rsidP="005B2161">
            <w:pPr>
              <w:spacing w:line="240" w:lineRule="auto"/>
              <w:textAlignment w:val="baseline"/>
              <w:rPr>
                <w:rFonts w:eastAsia="Times New Roman" w:cs="Calibri"/>
              </w:rPr>
            </w:pPr>
            <w:r w:rsidRPr="0069212A">
              <w:rPr>
                <w:rFonts w:eastAsia="Times New Roman" w:cs="Calibri"/>
              </w:rPr>
              <w:t>a King County child care subsidy program,  </w:t>
            </w:r>
          </w:p>
          <w:p w14:paraId="5F2B5A66" w14:textId="43607A9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2" w:space="0" w:color="FFC000" w:themeColor="accent4"/>
              <w:right w:val="single" w:sz="18" w:space="0" w:color="FFC000" w:themeColor="accent4"/>
            </w:tcBorders>
            <w:shd w:val="clear" w:color="auto" w:fill="auto"/>
            <w:hideMark/>
          </w:tcPr>
          <w:p w14:paraId="1D37F112" w14:textId="0A25047D" w:rsidR="0069212A" w:rsidRPr="0069212A" w:rsidRDefault="00F1222E" w:rsidP="0069212A">
            <w:pPr>
              <w:spacing w:line="240" w:lineRule="auto"/>
              <w:textAlignment w:val="baseline"/>
              <w:rPr>
                <w:rFonts w:ascii="Segoe UI" w:eastAsia="Times New Roman" w:hAnsi="Segoe UI" w:cs="Segoe UI"/>
                <w:sz w:val="18"/>
                <w:szCs w:val="18"/>
              </w:rPr>
            </w:pPr>
            <w:hyperlink w:anchor="_Child_Care" w:history="1">
              <w:r w:rsidR="0069212A" w:rsidRPr="00A50660">
                <w:rPr>
                  <w:rStyle w:val="Hyperlink"/>
                  <w:rFonts w:eastAsia="Times New Roman" w:cs="Calibri"/>
                </w:rPr>
                <w:t>Child Care section</w:t>
              </w:r>
            </w:hyperlink>
            <w:r w:rsidR="0069212A" w:rsidRPr="0069212A">
              <w:rPr>
                <w:rFonts w:eastAsia="Times New Roman" w:cs="Calibri"/>
              </w:rPr>
              <w:t>. </w:t>
            </w:r>
          </w:p>
        </w:tc>
      </w:tr>
      <w:tr w:rsidR="0069212A" w:rsidRPr="0069212A" w14:paraId="34ED936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4200D3F7" w14:textId="6D8D644E" w:rsidR="005B2161" w:rsidRDefault="0069212A" w:rsidP="005B2161">
            <w:pPr>
              <w:spacing w:line="240" w:lineRule="auto"/>
              <w:textAlignment w:val="baseline"/>
              <w:rPr>
                <w:rFonts w:eastAsia="Times New Roman" w:cs="Calibri"/>
              </w:rPr>
            </w:pPr>
            <w:r w:rsidRPr="0069212A">
              <w:rPr>
                <w:rFonts w:eastAsia="Times New Roman" w:cs="Calibri"/>
              </w:rPr>
              <w:t>a child care </w:t>
            </w:r>
            <w:r w:rsidR="00C64908">
              <w:rPr>
                <w:rFonts w:eastAsia="Times New Roman" w:cs="Calibri"/>
              </w:rPr>
              <w:t>workforce</w:t>
            </w:r>
            <w:r w:rsidR="005C43FF">
              <w:rPr>
                <w:rFonts w:eastAsia="Times New Roman" w:cs="Calibri"/>
              </w:rPr>
              <w:t xml:space="preserve"> demonstration project</w:t>
            </w:r>
            <w:r w:rsidRPr="0069212A">
              <w:rPr>
                <w:rFonts w:eastAsia="Times New Roman" w:cs="Calibri"/>
              </w:rPr>
              <w:t xml:space="preserve"> and  </w:t>
            </w:r>
          </w:p>
          <w:p w14:paraId="461E4C90" w14:textId="7166F67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136C1851" w14:textId="61A32DCB" w:rsidR="0069212A" w:rsidRPr="0069212A" w:rsidRDefault="00F1222E" w:rsidP="0069212A">
            <w:pPr>
              <w:spacing w:line="240" w:lineRule="auto"/>
              <w:textAlignment w:val="baseline"/>
              <w:rPr>
                <w:rFonts w:ascii="Segoe UI" w:eastAsia="Times New Roman" w:hAnsi="Segoe UI" w:cs="Segoe UI"/>
                <w:sz w:val="18"/>
                <w:szCs w:val="18"/>
              </w:rPr>
            </w:pPr>
            <w:hyperlink w:anchor="_Child_Care" w:history="1">
              <w:r w:rsidR="00A50660" w:rsidRPr="00A50660">
                <w:rPr>
                  <w:rStyle w:val="Hyperlink"/>
                  <w:rFonts w:eastAsia="Times New Roman" w:cs="Calibri"/>
                </w:rPr>
                <w:t>Child Care section</w:t>
              </w:r>
            </w:hyperlink>
            <w:r w:rsidR="00A50660" w:rsidRPr="0069212A">
              <w:rPr>
                <w:rFonts w:eastAsia="Times New Roman" w:cs="Calibri"/>
              </w:rPr>
              <w:t>. </w:t>
            </w:r>
          </w:p>
        </w:tc>
      </w:tr>
      <w:tr w:rsidR="0069212A" w:rsidRPr="0069212A" w14:paraId="58BD4A4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1752C53" w14:textId="77777777" w:rsidR="005B2161" w:rsidRDefault="0069212A" w:rsidP="005B2161">
            <w:pPr>
              <w:spacing w:line="240" w:lineRule="auto"/>
              <w:textAlignment w:val="baseline"/>
              <w:rPr>
                <w:rFonts w:eastAsia="Times New Roman" w:cs="Calibri"/>
              </w:rPr>
            </w:pPr>
            <w:r w:rsidRPr="0069212A">
              <w:rPr>
                <w:rFonts w:eastAsia="Times New Roman" w:cs="Calibri"/>
              </w:rPr>
              <w:t>technical assistance and capacity building activities, including</w:t>
            </w:r>
            <w:r w:rsidR="008A7A6A">
              <w:rPr>
                <w:rFonts w:eastAsia="Times New Roman" w:cs="Calibri"/>
              </w:rPr>
              <w:t>.</w:t>
            </w:r>
            <w:r w:rsidR="00791013">
              <w:rPr>
                <w:rFonts w:eastAsia="Times New Roman" w:cs="Calibri"/>
              </w:rPr>
              <w:t xml:space="preserve"> </w:t>
            </w:r>
          </w:p>
          <w:p w14:paraId="193C7DD5" w14:textId="25FD1B4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40B41CAF" w14:textId="5D0E2ADD" w:rsidR="0069212A" w:rsidRPr="0069212A" w:rsidRDefault="00F1222E" w:rsidP="0069212A">
            <w:pPr>
              <w:spacing w:line="240" w:lineRule="auto"/>
              <w:textAlignment w:val="baseline"/>
              <w:rPr>
                <w:rFonts w:ascii="Segoe UI" w:eastAsia="Times New Roman" w:hAnsi="Segoe UI" w:cs="Segoe UI"/>
                <w:sz w:val="18"/>
                <w:szCs w:val="18"/>
              </w:rPr>
            </w:pPr>
            <w:hyperlink w:anchor="_Technical_Assistance_and" w:history="1">
              <w:r w:rsidR="0069212A" w:rsidRPr="00A50660">
                <w:rPr>
                  <w:rStyle w:val="Hyperlink"/>
                  <w:rFonts w:eastAsia="Times New Roman" w:cs="Calibri"/>
                </w:rPr>
                <w:t>Technical Assistance</w:t>
              </w:r>
              <w:r w:rsidR="00A50660" w:rsidRPr="00A50660">
                <w:rPr>
                  <w:rStyle w:val="Hyperlink"/>
                  <w:rFonts w:eastAsia="Times New Roman" w:cs="Calibri"/>
                </w:rPr>
                <w:t xml:space="preserve"> and Capacity Building</w:t>
              </w:r>
              <w:r w:rsidR="0069212A" w:rsidRPr="00A50660">
                <w:rPr>
                  <w:rStyle w:val="Hyperlink"/>
                  <w:rFonts w:eastAsia="Times New Roman" w:cs="Calibri"/>
                </w:rPr>
                <w:t xml:space="preserve"> section</w:t>
              </w:r>
            </w:hyperlink>
            <w:r w:rsidR="00D50EE7">
              <w:rPr>
                <w:rFonts w:eastAsia="Times New Roman" w:cs="Calibri"/>
              </w:rPr>
              <w:t>.</w:t>
            </w:r>
            <w:r w:rsidR="00791013">
              <w:rPr>
                <w:rFonts w:eastAsia="Times New Roman" w:cs="Calibri"/>
              </w:rPr>
              <w:t xml:space="preserve"> </w:t>
            </w:r>
          </w:p>
        </w:tc>
      </w:tr>
      <w:tr w:rsidR="0069212A" w:rsidRPr="0069212A" w14:paraId="0601B63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425F42D0"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one million dollars annually for a capacity building grant program that includes providing support to grantees to assist with the development of infrastructure in geographic locations lacking services or service infrastructure.  </w:t>
            </w:r>
            <w:r w:rsidRPr="0069212A">
              <w:rPr>
                <w:rFonts w:eastAsia="Times New Roman" w:cs="Calibri"/>
              </w:rPr>
              <w:t> </w:t>
            </w:r>
          </w:p>
          <w:p w14:paraId="70D7646D" w14:textId="2AF41B7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ED528B"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12349340" w14:textId="57FDF011" w:rsidR="0069212A" w:rsidRPr="0069212A" w:rsidRDefault="00F1222E"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bl>
    <w:p w14:paraId="2B2FD8E1" w14:textId="77777777" w:rsidR="008A1A7E" w:rsidRDefault="008A1A7E">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8A1A7E" w:rsidRPr="0069212A" w14:paraId="26DB3922" w14:textId="77777777" w:rsidTr="008A1A7E">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6961813B" w14:textId="3DF91073" w:rsidR="008A1A7E" w:rsidRPr="0069212A" w:rsidRDefault="008A1A7E" w:rsidP="008A1A7E">
            <w:pPr>
              <w:spacing w:line="240" w:lineRule="auto"/>
              <w:textAlignment w:val="baseline"/>
              <w:rPr>
                <w:rFonts w:eastAsia="Times New Roman" w:cs="Calibri"/>
                <w:shd w:val="clear" w:color="auto" w:fill="FFFFFF"/>
              </w:rPr>
            </w:pPr>
            <w:r w:rsidRPr="0069212A">
              <w:rPr>
                <w:rFonts w:eastAsia="Times New Roman" w:cs="Calibri"/>
                <w:b/>
                <w:bCs/>
              </w:rPr>
              <w:lastRenderedPageBreak/>
              <w:t xml:space="preserve">Required Implementation Plan </w:t>
            </w:r>
            <w:r w:rsidR="00320040">
              <w:rPr>
                <w:rFonts w:eastAsia="Times New Roman" w:cs="Calibri"/>
                <w:b/>
                <w:bCs/>
              </w:rPr>
              <w:t>Elements</w:t>
            </w:r>
            <w:r w:rsidR="00320040"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5CA7A7BF" w14:textId="6042BE44" w:rsidR="008A1A7E" w:rsidRDefault="00213C4D" w:rsidP="008A1A7E">
            <w:pPr>
              <w:spacing w:line="240" w:lineRule="auto"/>
              <w:textAlignment w:val="baseline"/>
            </w:pPr>
            <w:r>
              <w:rPr>
                <w:rFonts w:eastAsia="Times New Roman" w:cs="Calibri"/>
                <w:b/>
                <w:bCs/>
              </w:rPr>
              <w:t>Links to Relevant Section(s)</w:t>
            </w:r>
          </w:p>
        </w:tc>
      </w:tr>
      <w:tr w:rsidR="0069212A" w:rsidRPr="0069212A" w14:paraId="413FD06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2DEFB825"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 xml:space="preserve">The grant program to support capacity building that includes providing support to grantees to assist with the development of infrastructure in geographic locations lacking services or service infrastructure shall be described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and must include … </w:t>
            </w:r>
            <w:r w:rsidRPr="0069212A">
              <w:rPr>
                <w:rFonts w:eastAsia="Times New Roman" w:cs="Calibri"/>
              </w:rPr>
              <w:t> </w:t>
            </w:r>
          </w:p>
          <w:p w14:paraId="0AB8767C" w14:textId="42023781"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ED528B"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61A63B5A" w14:textId="5C8B4465" w:rsidR="0069212A" w:rsidRPr="0069212A" w:rsidRDefault="00F1222E"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r w:rsidR="0069212A" w:rsidRPr="0069212A" w14:paraId="08E38CAE"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D53FFA4"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the development of new organizations and </w:t>
            </w:r>
            <w:r w:rsidRPr="0069212A">
              <w:rPr>
                <w:rFonts w:eastAsia="Times New Roman" w:cs="Calibri"/>
              </w:rPr>
              <w:t> </w:t>
            </w:r>
          </w:p>
          <w:p w14:paraId="482AB7B0" w14:textId="389A468D"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667860"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9D5C497" w14:textId="55034343" w:rsidR="0069212A" w:rsidRPr="0069212A" w:rsidRDefault="00F1222E"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r w:rsidR="0069212A" w:rsidRPr="0069212A" w14:paraId="5E7A790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03D665C"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expansion of existing organizations.</w:t>
            </w:r>
            <w:r w:rsidRPr="0069212A">
              <w:rPr>
                <w:rFonts w:eastAsia="Times New Roman" w:cs="Calibri"/>
              </w:rPr>
              <w:t> </w:t>
            </w:r>
          </w:p>
          <w:p w14:paraId="1C98AF0D" w14:textId="154BCF4B"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667860"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8805646" w14:textId="007F0024" w:rsidR="0069212A" w:rsidRPr="0069212A" w:rsidRDefault="00F1222E"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r w:rsidR="0069212A" w:rsidRPr="0069212A" w14:paraId="14B9C4EC"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B819A7F" w14:textId="644DF819"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xml:space="preserve">The youth and family homelessness prevention initiative, King County child care subsidy program, child care </w:t>
            </w:r>
            <w:r w:rsidR="00C64908">
              <w:rPr>
                <w:rFonts w:eastAsia="Times New Roman" w:cs="Calibri"/>
              </w:rPr>
              <w:t>workforce</w:t>
            </w:r>
            <w:r w:rsidR="005C43FF">
              <w:rPr>
                <w:rFonts w:eastAsia="Times New Roman" w:cs="Calibri"/>
              </w:rPr>
              <w:t xml:space="preserve"> demonstration project</w:t>
            </w:r>
            <w:r w:rsidRPr="0069212A">
              <w:rPr>
                <w:rFonts w:eastAsia="Times New Roman" w:cs="Calibri"/>
              </w:rPr>
              <w:t xml:space="preserve"> and technical assistance and capacity building activities required in this subsection shall be described in the </w:t>
            </w:r>
            <w:r w:rsidR="00635546">
              <w:rPr>
                <w:rFonts w:eastAsia="Times New Roman" w:cs="Calibri"/>
              </w:rPr>
              <w:t>Implementation Plan</w:t>
            </w:r>
            <w:r w:rsidRPr="0069212A">
              <w:rPr>
                <w:rFonts w:eastAsia="Times New Roman" w:cs="Calibri"/>
              </w:rPr>
              <w:t xml:space="preserve"> required in section 7 of this ordinance. </w:t>
            </w:r>
          </w:p>
          <w:p w14:paraId="5610C045" w14:textId="14C89C62"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7388EBA3" w14:textId="77777777" w:rsidR="00A50660" w:rsidRDefault="00F1222E" w:rsidP="0069212A">
            <w:pPr>
              <w:spacing w:line="240" w:lineRule="auto"/>
              <w:textAlignment w:val="baseline"/>
              <w:rPr>
                <w:rFonts w:eastAsia="Times New Roman" w:cs="Calibri"/>
              </w:rPr>
            </w:pPr>
            <w:hyperlink w:anchor="_Youth_and_Family" w:history="1">
              <w:r w:rsidR="00A50660" w:rsidRPr="00A50660">
                <w:rPr>
                  <w:rStyle w:val="Hyperlink"/>
                  <w:rFonts w:eastAsia="Times New Roman" w:cs="Calibri"/>
                </w:rPr>
                <w:t>Youth and Family Homelessness Initiative section</w:t>
              </w:r>
            </w:hyperlink>
            <w:r w:rsidR="00A50660" w:rsidRPr="0069212A">
              <w:rPr>
                <w:rFonts w:eastAsia="Times New Roman" w:cs="Calibri"/>
              </w:rPr>
              <w:t>. </w:t>
            </w:r>
          </w:p>
          <w:p w14:paraId="7AF72E4C" w14:textId="4096C824" w:rsidR="00A50660" w:rsidRDefault="00F1222E" w:rsidP="0069212A">
            <w:pPr>
              <w:spacing w:line="240" w:lineRule="auto"/>
              <w:textAlignment w:val="baseline"/>
              <w:rPr>
                <w:rFonts w:eastAsia="Times New Roman" w:cs="Calibri"/>
              </w:rPr>
            </w:pPr>
            <w:hyperlink w:anchor="_Technical_Assistance_and" w:history="1">
              <w:r w:rsidR="00A50660" w:rsidRPr="00A50660">
                <w:rPr>
                  <w:rStyle w:val="Hyperlink"/>
                  <w:rFonts w:eastAsia="Times New Roman" w:cs="Calibri"/>
                </w:rPr>
                <w:t>Technical Assistance and Capacity Building section</w:t>
              </w:r>
            </w:hyperlink>
            <w:r w:rsidR="0069212A" w:rsidRPr="0069212A">
              <w:rPr>
                <w:rFonts w:eastAsia="Times New Roman" w:cs="Calibri"/>
              </w:rPr>
              <w:t>; </w:t>
            </w:r>
          </w:p>
          <w:p w14:paraId="5BACF181" w14:textId="5FD9171E" w:rsidR="0069212A" w:rsidRPr="0069212A" w:rsidRDefault="00F1222E" w:rsidP="0069212A">
            <w:pPr>
              <w:spacing w:line="240" w:lineRule="auto"/>
              <w:textAlignment w:val="baseline"/>
              <w:rPr>
                <w:rFonts w:ascii="Segoe UI" w:eastAsia="Times New Roman" w:hAnsi="Segoe UI" w:cs="Segoe UI"/>
                <w:sz w:val="18"/>
                <w:szCs w:val="18"/>
              </w:rPr>
            </w:pPr>
            <w:hyperlink w:anchor="_Child_Care" w:history="1">
              <w:r w:rsidR="00A50660" w:rsidRPr="00A50660">
                <w:rPr>
                  <w:rStyle w:val="Hyperlink"/>
                  <w:rFonts w:eastAsia="Times New Roman" w:cs="Calibri"/>
                </w:rPr>
                <w:t>Child Care section</w:t>
              </w:r>
            </w:hyperlink>
            <w:r w:rsidR="00A50660" w:rsidRPr="0069212A">
              <w:rPr>
                <w:rFonts w:eastAsia="Times New Roman" w:cs="Calibri"/>
              </w:rPr>
              <w:t>. </w:t>
            </w:r>
          </w:p>
        </w:tc>
      </w:tr>
      <w:tr w:rsidR="0069212A" w:rsidRPr="0069212A" w14:paraId="2643730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5C44A28" w14:textId="62ECA02A"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E</w:t>
            </w:r>
            <w:r w:rsidR="00D50EE7">
              <w:rPr>
                <w:rFonts w:eastAsia="Times New Roman" w:cs="Calibri"/>
              </w:rPr>
              <w:t>.</w:t>
            </w:r>
            <w:r w:rsidR="00791013">
              <w:rPr>
                <w:rFonts w:eastAsia="Times New Roman" w:cs="Calibri"/>
              </w:rPr>
              <w:t xml:space="preserve"> </w:t>
            </w:r>
            <w:r w:rsidRPr="0069212A">
              <w:rPr>
                <w:rFonts w:eastAsia="Times New Roman" w:cs="Calibri"/>
                <w:shd w:val="clear" w:color="auto" w:fill="FFFFFF"/>
              </w:rPr>
              <w:t>Except as otherwise provided in this subsection, if the total projected levy proceeds </w:t>
            </w:r>
            <w:r w:rsidR="00CC48C7" w:rsidRPr="0069212A">
              <w:rPr>
                <w:rFonts w:eastAsia="Times New Roman" w:cs="Calibri"/>
                <w:shd w:val="clear" w:color="auto" w:fill="FFFFFF"/>
              </w:rPr>
              <w:t>exceed</w:t>
            </w:r>
            <w:r w:rsidRPr="0069212A">
              <w:rPr>
                <w:rFonts w:eastAsia="Times New Roman" w:cs="Calibri"/>
                <w:shd w:val="clear" w:color="auto" w:fill="FFFFFF"/>
              </w:rPr>
              <w:t> eight hundred twenty-two million dollars, the levy proceeds greater than eight hundred twenty-two million dollars shall be used to provide… </w:t>
            </w:r>
            <w:r w:rsidRPr="0069212A">
              <w:rPr>
                <w:rFonts w:eastAsia="Times New Roman" w:cs="Calibri"/>
              </w:rPr>
              <w:t> </w:t>
            </w:r>
          </w:p>
          <w:p w14:paraId="465DB1C1" w14:textId="21A48528"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4.E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13790F0F" w14:textId="3CA3A67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A50660">
              <w:rPr>
                <w:rFonts w:eastAsia="Times New Roman" w:cs="Calibri"/>
              </w:rPr>
              <w:t xml:space="preserve"> in </w:t>
            </w:r>
            <w:hyperlink w:anchor="_B._Fiscal_Overview" w:history="1">
              <w:r w:rsidR="00A50660" w:rsidRPr="005648D9">
                <w:rPr>
                  <w:rStyle w:val="Hyperlink"/>
                  <w:rFonts w:eastAsia="Times New Roman" w:cs="Calibri"/>
                </w:rPr>
                <w:t>Fiscal Overview section</w:t>
              </w:r>
            </w:hyperlink>
            <w:r w:rsidR="00A50660">
              <w:rPr>
                <w:rFonts w:eastAsia="Times New Roman" w:cs="Calibri"/>
              </w:rPr>
              <w:t>.</w:t>
            </w:r>
          </w:p>
        </w:tc>
      </w:tr>
      <w:tr w:rsidR="0069212A" w:rsidRPr="0069212A" w14:paraId="6F7019C2" w14:textId="77777777" w:rsidTr="006A6E94">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hideMark/>
          </w:tcPr>
          <w:p w14:paraId="04A11024"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grants designed to support repairs and expansion of buildings and facilities, that serve children and youth, and </w:t>
            </w:r>
            <w:r w:rsidRPr="0069212A">
              <w:rPr>
                <w:rFonts w:eastAsia="Times New Roman" w:cs="Calibri"/>
              </w:rPr>
              <w:t> </w:t>
            </w:r>
          </w:p>
          <w:p w14:paraId="31F4EFD3" w14:textId="58D88BF9"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4.E </w:t>
            </w:r>
          </w:p>
        </w:tc>
        <w:tc>
          <w:tcPr>
            <w:tcW w:w="4650" w:type="dxa"/>
            <w:tcBorders>
              <w:top w:val="nil"/>
              <w:left w:val="nil"/>
              <w:bottom w:val="single" w:sz="12" w:space="0" w:color="FFC000" w:themeColor="accent4"/>
              <w:right w:val="single" w:sz="18" w:space="0" w:color="FFC000" w:themeColor="accent4"/>
            </w:tcBorders>
            <w:shd w:val="clear" w:color="auto" w:fill="auto"/>
            <w:hideMark/>
          </w:tcPr>
          <w:p w14:paraId="1CA134B7" w14:textId="73ADC69A" w:rsidR="0069212A" w:rsidRPr="0069212A" w:rsidRDefault="00F1222E" w:rsidP="0069212A">
            <w:pPr>
              <w:spacing w:line="240" w:lineRule="auto"/>
              <w:textAlignment w:val="baseline"/>
              <w:rPr>
                <w:rFonts w:ascii="Segoe UI" w:eastAsia="Times New Roman" w:hAnsi="Segoe UI" w:cs="Segoe UI"/>
                <w:sz w:val="18"/>
                <w:szCs w:val="18"/>
              </w:rPr>
            </w:pPr>
            <w:hyperlink w:anchor="_Capital_Program" w:history="1">
              <w:r w:rsidR="0069212A" w:rsidRPr="00A50660">
                <w:rPr>
                  <w:rStyle w:val="Hyperlink"/>
                  <w:rFonts w:eastAsia="Times New Roman" w:cs="Calibri"/>
                </w:rPr>
                <w:t>Capital Programs section</w:t>
              </w:r>
            </w:hyperlink>
            <w:r w:rsidR="0069212A" w:rsidRPr="0069212A">
              <w:rPr>
                <w:rFonts w:eastAsia="Times New Roman" w:cs="Calibri"/>
              </w:rPr>
              <w:t>. </w:t>
            </w:r>
          </w:p>
        </w:tc>
      </w:tr>
      <w:tr w:rsidR="0069212A" w:rsidRPr="0069212A" w14:paraId="149A56F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A991A0B"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Such buildings and facilities that serve children and youth shall include, but not be limited to, housing and child care, early learning and recreational facilities.  </w:t>
            </w:r>
            <w:r w:rsidRPr="0069212A">
              <w:rPr>
                <w:rFonts w:eastAsia="Times New Roman" w:cs="Calibri"/>
              </w:rPr>
              <w:t> </w:t>
            </w:r>
          </w:p>
          <w:p w14:paraId="1E88E77F" w14:textId="3FA0DC6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525C244" w14:textId="57179B0F" w:rsidR="0069212A" w:rsidRPr="0069212A" w:rsidRDefault="00F1222E"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3EAEFE7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007E8CD"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However, the total levy proceeds used to provide grants shall not exceed fifty million dollars. </w:t>
            </w:r>
            <w:r w:rsidRPr="0069212A">
              <w:rPr>
                <w:rFonts w:eastAsia="Times New Roman" w:cs="Calibri"/>
              </w:rPr>
              <w:t> </w:t>
            </w:r>
          </w:p>
          <w:p w14:paraId="4A7ABF7D" w14:textId="6B4699E3"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6210EF08" w14:textId="248ECA89" w:rsidR="0069212A" w:rsidRPr="0069212A" w:rsidRDefault="00F1222E"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bl>
    <w:p w14:paraId="3070F7A1" w14:textId="77777777" w:rsidR="008A1A7E" w:rsidRDefault="008A1A7E">
      <w:r>
        <w:br w:type="page"/>
      </w:r>
    </w:p>
    <w:tbl>
      <w:tblPr>
        <w:tblW w:w="930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642"/>
        <w:gridCol w:w="8"/>
        <w:gridCol w:w="4642"/>
        <w:gridCol w:w="8"/>
      </w:tblGrid>
      <w:tr w:rsidR="008A1A7E" w:rsidRPr="0069212A" w14:paraId="1CA3AEC7" w14:textId="77777777" w:rsidTr="00320040">
        <w:trPr>
          <w:gridBefore w:val="1"/>
          <w:wBefore w:w="8" w:type="dxa"/>
        </w:trPr>
        <w:tc>
          <w:tcPr>
            <w:tcW w:w="4650" w:type="dxa"/>
            <w:gridSpan w:val="2"/>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219F0BEA" w14:textId="16F8EBD7" w:rsidR="008A1A7E" w:rsidRPr="0069212A" w:rsidRDefault="008A1A7E" w:rsidP="008A1A7E">
            <w:pPr>
              <w:spacing w:line="240" w:lineRule="auto"/>
              <w:textAlignment w:val="baseline"/>
              <w:rPr>
                <w:rFonts w:eastAsia="Times New Roman" w:cs="Calibri"/>
                <w:shd w:val="clear" w:color="auto" w:fill="FFFFFF"/>
              </w:rPr>
            </w:pPr>
            <w:r w:rsidRPr="0069212A">
              <w:rPr>
                <w:rFonts w:eastAsia="Times New Roman" w:cs="Calibri"/>
                <w:b/>
                <w:bCs/>
              </w:rPr>
              <w:lastRenderedPageBreak/>
              <w:t xml:space="preserve">Required Implementation Plan </w:t>
            </w:r>
            <w:r w:rsidR="00320040">
              <w:rPr>
                <w:rFonts w:eastAsia="Times New Roman" w:cs="Calibri"/>
                <w:b/>
                <w:bCs/>
              </w:rPr>
              <w:t>Elements</w:t>
            </w:r>
            <w:r w:rsidR="00320040"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gridSpan w:val="2"/>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6D98DEAE" w14:textId="7D1C19F9" w:rsidR="008A1A7E" w:rsidRPr="0069212A" w:rsidRDefault="00213C4D" w:rsidP="008A1A7E">
            <w:pPr>
              <w:spacing w:line="240" w:lineRule="auto"/>
              <w:textAlignment w:val="baseline"/>
              <w:rPr>
                <w:rFonts w:eastAsia="Times New Roman" w:cs="Calibri"/>
              </w:rPr>
            </w:pPr>
            <w:r>
              <w:rPr>
                <w:rFonts w:eastAsia="Times New Roman" w:cs="Calibri"/>
                <w:b/>
                <w:bCs/>
              </w:rPr>
              <w:t>Links to Relevant Section(s)</w:t>
            </w:r>
          </w:p>
        </w:tc>
      </w:tr>
      <w:tr w:rsidR="0069212A" w:rsidRPr="0069212A" w14:paraId="0617C013"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A64FF09"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Additionally, if the total projected levy proceeds falls below eight hundred seventy-two million dollars, the amount of levy proceeds allocated for the purposes of this subsection shall be first reduced before any other reduction in the total amounts allocated for the purposes in subsections C. and D. of this section.  </w:t>
            </w:r>
            <w:r w:rsidRPr="0069212A">
              <w:rPr>
                <w:rFonts w:eastAsia="Times New Roman" w:cs="Calibri"/>
              </w:rPr>
              <w:t> </w:t>
            </w:r>
          </w:p>
          <w:p w14:paraId="6F98D402" w14:textId="75E17020"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550A4577" w14:textId="6F6C9AEC"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A50660">
              <w:rPr>
                <w:rFonts w:eastAsia="Times New Roman" w:cs="Calibri"/>
              </w:rPr>
              <w:t xml:space="preserve"> in </w:t>
            </w:r>
            <w:hyperlink w:anchor="_B._Fiscal_Overview" w:history="1">
              <w:r w:rsidR="00A50660" w:rsidRPr="005648D9">
                <w:rPr>
                  <w:rStyle w:val="Hyperlink"/>
                  <w:rFonts w:eastAsia="Times New Roman" w:cs="Calibri"/>
                </w:rPr>
                <w:t>Fiscal Overview section</w:t>
              </w:r>
            </w:hyperlink>
            <w:r w:rsidR="00A50660">
              <w:rPr>
                <w:rFonts w:eastAsia="Times New Roman" w:cs="Calibri"/>
              </w:rPr>
              <w:t>.</w:t>
            </w:r>
          </w:p>
        </w:tc>
      </w:tr>
      <w:tr w:rsidR="0069212A" w:rsidRPr="0069212A" w14:paraId="633F5B64"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8304436" w14:textId="76AF08A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This capital grants program shall be described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w:t>
            </w:r>
            <w:r w:rsidRPr="0069212A">
              <w:rPr>
                <w:rFonts w:eastAsia="Times New Roman" w:cs="Calibri"/>
              </w:rPr>
              <w:t> </w:t>
            </w:r>
          </w:p>
          <w:p w14:paraId="4EB5A502" w14:textId="6C5F26D7"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29880BF4" w14:textId="18A81DAC" w:rsidR="0069212A" w:rsidRPr="0069212A" w:rsidRDefault="00F1222E"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414BBFBF"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0A1FDAC" w14:textId="33EB2B0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Additionally, the executive shall propose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w:t>
            </w:r>
            <w:r w:rsidRPr="0069212A">
              <w:rPr>
                <w:rFonts w:eastAsia="Times New Roman" w:cs="Calibri"/>
              </w:rPr>
              <w:t> </w:t>
            </w:r>
          </w:p>
          <w:p w14:paraId="318D6A01" w14:textId="6081D77B"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19287CE3" w14:textId="4B4A0060" w:rsidR="0069212A" w:rsidRPr="0069212A" w:rsidRDefault="00F1222E"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60ADCBF3"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40311BB7" w14:textId="77777777" w:rsidR="005472D9" w:rsidRDefault="0069212A" w:rsidP="0069212A">
            <w:pPr>
              <w:spacing w:line="240" w:lineRule="auto"/>
              <w:textAlignment w:val="baseline"/>
              <w:rPr>
                <w:rFonts w:eastAsia="Times New Roman" w:cs="Calibri"/>
                <w:shd w:val="clear" w:color="auto" w:fill="FFFFFF"/>
              </w:rPr>
            </w:pPr>
            <w:r w:rsidRPr="0069212A">
              <w:rPr>
                <w:rFonts w:eastAsia="Times New Roman" w:cs="Calibri"/>
                <w:shd w:val="clear" w:color="auto" w:fill="FFFFFF"/>
              </w:rPr>
              <w:t>the amount of levy proceeds to be allocated for the capital grants program and </w:t>
            </w:r>
          </w:p>
          <w:p w14:paraId="1207CD78" w14:textId="196205B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CE23F7">
              <w:rPr>
                <w:rFonts w:eastAsia="Times New Roman" w:cs="Calibri"/>
                <w:b/>
                <w:i/>
              </w:rPr>
              <w:t>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50622838" w14:textId="3CDB77FE" w:rsidR="0069212A" w:rsidRPr="0069212A" w:rsidRDefault="00F1222E"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3CB0CB8F"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67620CB"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a process for determining annually if a reduction to the amount of levy proceeds allocated for the purposes of this subsection is necessary and the amount of any such reduction.  </w:t>
            </w:r>
            <w:r w:rsidRPr="0069212A">
              <w:rPr>
                <w:rFonts w:eastAsia="Times New Roman" w:cs="Calibri"/>
              </w:rPr>
              <w:t> </w:t>
            </w:r>
          </w:p>
          <w:p w14:paraId="7CD4B45B" w14:textId="703464A5"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CE23F7">
              <w:rPr>
                <w:rFonts w:eastAsia="Times New Roman" w:cs="Calibri"/>
                <w:b/>
                <w:i/>
              </w:rPr>
              <w:t>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0717F223" w14:textId="2080BD5A" w:rsidR="0069212A" w:rsidRPr="0069212A" w:rsidRDefault="00F1222E"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4C7505C9" w14:textId="77777777" w:rsidTr="003420B4">
        <w:trPr>
          <w:gridBefore w:val="1"/>
          <w:wBefore w:w="8" w:type="dxa"/>
        </w:trPr>
        <w:tc>
          <w:tcPr>
            <w:tcW w:w="4650" w:type="dxa"/>
            <w:gridSpan w:val="2"/>
            <w:tcBorders>
              <w:top w:val="nil"/>
              <w:left w:val="single" w:sz="18" w:space="0" w:color="FFC000" w:themeColor="accent4"/>
              <w:bottom w:val="nil"/>
              <w:right w:val="single" w:sz="18" w:space="0" w:color="FFC000" w:themeColor="accent4"/>
            </w:tcBorders>
            <w:shd w:val="clear" w:color="auto" w:fill="auto"/>
            <w:hideMark/>
          </w:tcPr>
          <w:p w14:paraId="657DF22E" w14:textId="5FDDC4D1"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The executive shall also propose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a policy for prioritizing capital investments in new buildings or facilities as compared to capital investments in existing buildings or facilities</w:t>
            </w:r>
            <w:r w:rsidRPr="0069212A">
              <w:rPr>
                <w:rFonts w:eastAsia="Times New Roman" w:cs="Calibri"/>
              </w:rPr>
              <w:t> </w:t>
            </w:r>
          </w:p>
          <w:p w14:paraId="2BC0C89F" w14:textId="42A99994"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CE23F7">
              <w:rPr>
                <w:rFonts w:eastAsia="Times New Roman" w:cs="Calibri"/>
                <w:b/>
                <w:i/>
              </w:rPr>
              <w:t> </w:t>
            </w:r>
            <w:r w:rsidR="00E3575F" w:rsidRPr="00E3575F">
              <w:rPr>
                <w:rFonts w:eastAsia="Times New Roman" w:cs="Calibri"/>
                <w:i/>
                <w:iCs/>
              </w:rPr>
              <w:t>4.E </w:t>
            </w:r>
          </w:p>
        </w:tc>
        <w:tc>
          <w:tcPr>
            <w:tcW w:w="4650" w:type="dxa"/>
            <w:gridSpan w:val="2"/>
            <w:tcBorders>
              <w:top w:val="nil"/>
              <w:left w:val="nil"/>
              <w:bottom w:val="nil"/>
              <w:right w:val="single" w:sz="18" w:space="0" w:color="FFC000" w:themeColor="accent4"/>
            </w:tcBorders>
            <w:shd w:val="clear" w:color="auto" w:fill="auto"/>
            <w:hideMark/>
          </w:tcPr>
          <w:p w14:paraId="1DDD438C" w14:textId="6C53E7A2" w:rsidR="0069212A" w:rsidRPr="0069212A" w:rsidRDefault="00F1222E"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320040" w:rsidRPr="0069212A" w14:paraId="476533AE" w14:textId="77777777" w:rsidTr="00320040">
        <w:trPr>
          <w:gridAfter w:val="1"/>
          <w:wAfter w:w="8" w:type="dxa"/>
        </w:trPr>
        <w:tc>
          <w:tcPr>
            <w:tcW w:w="4650" w:type="dxa"/>
            <w:gridSpan w:val="2"/>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2D72F43A" w14:textId="77777777" w:rsidR="00320040" w:rsidRPr="0069212A" w:rsidRDefault="00320040" w:rsidP="00555460">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The Best Starts for Kids </w:t>
            </w:r>
            <w:r>
              <w:rPr>
                <w:rFonts w:eastAsia="Times New Roman" w:cs="Calibri"/>
                <w:shd w:val="clear" w:color="auto" w:fill="FFFFFF"/>
              </w:rPr>
              <w:t>Implementation Plan</w:t>
            </w:r>
            <w:r w:rsidRPr="0069212A">
              <w:rPr>
                <w:rFonts w:eastAsia="Times New Roman" w:cs="Calibri"/>
                <w:shd w:val="clear" w:color="auto" w:fill="FFFFFF"/>
              </w:rPr>
              <w:t xml:space="preserve"> shall also include a framework to measure the performance of levy strategies in achieving their outcomes and require an annual report on levy expenditures, services and outcome, including </w:t>
            </w:r>
            <w:r w:rsidRPr="0069212A">
              <w:rPr>
                <w:rFonts w:eastAsia="Times New Roman" w:cs="Calibri"/>
              </w:rPr>
              <w:t> </w:t>
            </w:r>
          </w:p>
          <w:p w14:paraId="2E101B21" w14:textId="77777777" w:rsidR="00320040" w:rsidRPr="0069212A" w:rsidRDefault="00320040" w:rsidP="00555460">
            <w:pPr>
              <w:spacing w:line="240" w:lineRule="auto"/>
              <w:textAlignment w:val="baseline"/>
              <w:rPr>
                <w:rFonts w:eastAsia="Times New Roman" w:cs="Calibri"/>
                <w:shd w:val="clear" w:color="auto" w:fill="FFFFFF"/>
              </w:rPr>
            </w:pPr>
            <w:r>
              <w:rPr>
                <w:rFonts w:eastAsia="Times New Roman" w:cs="Calibri"/>
                <w:i/>
              </w:rPr>
              <w:t>Section</w:t>
            </w:r>
            <w:r w:rsidRPr="00CE23F7">
              <w:rPr>
                <w:rFonts w:eastAsia="Times New Roman" w:cs="Calibri"/>
                <w:b/>
                <w:i/>
              </w:rPr>
              <w:t> </w:t>
            </w:r>
            <w:r w:rsidRPr="00CE23F7">
              <w:rPr>
                <w:rFonts w:eastAsia="Times New Roman" w:cs="Calibri"/>
                <w:i/>
                <w:shd w:val="clear" w:color="auto" w:fill="FFFFFF"/>
              </w:rPr>
              <w:t>7.A</w:t>
            </w:r>
            <w:r w:rsidRPr="00CE23F7">
              <w:rPr>
                <w:rFonts w:eastAsia="Times New Roman" w:cs="Calibri"/>
                <w:i/>
              </w:rPr>
              <w:t> </w:t>
            </w:r>
          </w:p>
        </w:tc>
        <w:tc>
          <w:tcPr>
            <w:tcW w:w="4650" w:type="dxa"/>
            <w:gridSpan w:val="2"/>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3AED9476" w14:textId="77777777" w:rsidR="00320040" w:rsidRDefault="00F1222E" w:rsidP="00555460">
            <w:pPr>
              <w:spacing w:line="240" w:lineRule="auto"/>
              <w:textAlignment w:val="baseline"/>
            </w:pPr>
            <w:hyperlink w:anchor="_Data_and_Evaluation" w:history="1">
              <w:r w:rsidR="00320040" w:rsidRPr="00A252A3">
                <w:rPr>
                  <w:rStyle w:val="Hyperlink"/>
                  <w:rFonts w:eastAsia="Times New Roman" w:cs="Calibri"/>
                </w:rPr>
                <w:t>Data and Evaluation section. </w:t>
              </w:r>
            </w:hyperlink>
          </w:p>
        </w:tc>
      </w:tr>
    </w:tbl>
    <w:p w14:paraId="18BFFEDC" w14:textId="77777777" w:rsidR="006A6E94" w:rsidRDefault="006A6E94">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6A6E94" w:rsidRPr="0069212A" w14:paraId="00A2C80C" w14:textId="77777777" w:rsidTr="006A6E94">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7D5571D8" w14:textId="667C4556" w:rsidR="006A6E94" w:rsidRPr="0069212A" w:rsidRDefault="006A6E94" w:rsidP="006A6E94">
            <w:pPr>
              <w:spacing w:line="240" w:lineRule="auto"/>
              <w:textAlignment w:val="baseline"/>
              <w:rPr>
                <w:rFonts w:eastAsia="Times New Roman" w:cs="Calibri"/>
                <w:shd w:val="clear" w:color="auto" w:fill="FFFFFF"/>
              </w:rPr>
            </w:pPr>
            <w:r w:rsidRPr="0069212A">
              <w:rPr>
                <w:rFonts w:eastAsia="Times New Roman" w:cs="Calibri"/>
                <w:b/>
                <w:bCs/>
              </w:rPr>
              <w:lastRenderedPageBreak/>
              <w:t xml:space="preserve">Required Implementation Plan </w:t>
            </w:r>
            <w:r w:rsidR="00320040">
              <w:rPr>
                <w:rFonts w:eastAsia="Times New Roman" w:cs="Calibri"/>
                <w:b/>
                <w:bCs/>
              </w:rPr>
              <w:t>Elements</w:t>
            </w:r>
            <w:r w:rsidR="00320040"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51FD61EE" w14:textId="63E93088" w:rsidR="006A6E94" w:rsidRDefault="00213C4D" w:rsidP="006A6E94">
            <w:pPr>
              <w:spacing w:line="240" w:lineRule="auto"/>
              <w:textAlignment w:val="baseline"/>
            </w:pPr>
            <w:r>
              <w:rPr>
                <w:rFonts w:eastAsia="Times New Roman" w:cs="Calibri"/>
                <w:b/>
                <w:bCs/>
              </w:rPr>
              <w:t>Links to Relevant Section(s)</w:t>
            </w:r>
          </w:p>
        </w:tc>
      </w:tr>
      <w:tr w:rsidR="00DE40BB" w:rsidRPr="0069212A" w:rsidDel="00320040" w14:paraId="412F24EE" w14:textId="1CA6B17A"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6F1E2D60" w14:textId="77777777" w:rsidR="00291A3C" w:rsidRPr="0069212A" w:rsidDel="00320040" w:rsidRDefault="00291A3C" w:rsidP="00291A3C">
            <w:pPr>
              <w:spacing w:line="240" w:lineRule="auto"/>
              <w:textAlignment w:val="baseline"/>
              <w:rPr>
                <w:rFonts w:ascii="Segoe UI" w:eastAsia="Times New Roman" w:hAnsi="Segoe UI" w:cs="Segoe UI"/>
                <w:sz w:val="18"/>
                <w:szCs w:val="18"/>
              </w:rPr>
            </w:pPr>
            <w:r w:rsidRPr="0069212A" w:rsidDel="00320040">
              <w:rPr>
                <w:rFonts w:eastAsia="Times New Roman" w:cs="Calibri"/>
                <w:shd w:val="clear" w:color="auto" w:fill="FFFFFF"/>
              </w:rPr>
              <w:t xml:space="preserve">The Best Starts for Kids </w:t>
            </w:r>
            <w:r w:rsidDel="00320040">
              <w:rPr>
                <w:rFonts w:eastAsia="Times New Roman" w:cs="Calibri"/>
                <w:shd w:val="clear" w:color="auto" w:fill="FFFFFF"/>
              </w:rPr>
              <w:t>Implementation Plan</w:t>
            </w:r>
            <w:r w:rsidRPr="0069212A" w:rsidDel="00320040">
              <w:rPr>
                <w:rFonts w:eastAsia="Times New Roman" w:cs="Calibri"/>
                <w:shd w:val="clear" w:color="auto" w:fill="FFFFFF"/>
              </w:rPr>
              <w:t xml:space="preserve"> shall also include a framework to measure the performance of levy strategies in achieving their outcomes and require an annual report on levy expenditures, services and outcome, including </w:t>
            </w:r>
            <w:r w:rsidRPr="0069212A" w:rsidDel="00320040">
              <w:rPr>
                <w:rFonts w:eastAsia="Times New Roman" w:cs="Calibri"/>
              </w:rPr>
              <w:t> </w:t>
            </w:r>
          </w:p>
          <w:p w14:paraId="659AACB7" w14:textId="5929DBBF" w:rsidR="00DE40BB" w:rsidRPr="0069212A" w:rsidDel="00320040" w:rsidRDefault="009512DA" w:rsidP="0069212A">
            <w:pPr>
              <w:spacing w:line="240" w:lineRule="auto"/>
              <w:textAlignment w:val="baseline"/>
              <w:rPr>
                <w:rFonts w:eastAsia="Times New Roman" w:cs="Calibri"/>
                <w:shd w:val="clear" w:color="auto" w:fill="FFFFFF"/>
              </w:rPr>
            </w:pPr>
            <w:r w:rsidDel="00320040">
              <w:rPr>
                <w:rFonts w:eastAsia="Times New Roman" w:cs="Calibri"/>
                <w:i/>
              </w:rPr>
              <w:t>Section</w:t>
            </w:r>
            <w:r w:rsidR="00291A3C" w:rsidRPr="00CE23F7" w:rsidDel="00320040">
              <w:rPr>
                <w:rFonts w:eastAsia="Times New Roman" w:cs="Calibri"/>
                <w:b/>
                <w:i/>
              </w:rPr>
              <w:t> </w:t>
            </w:r>
            <w:r w:rsidR="00291A3C" w:rsidRPr="00CE23F7" w:rsidDel="00320040">
              <w:rPr>
                <w:rFonts w:eastAsia="Times New Roman" w:cs="Calibri"/>
                <w:i/>
                <w:shd w:val="clear" w:color="auto" w:fill="FFFFFF"/>
              </w:rPr>
              <w:t>7.A</w:t>
            </w:r>
            <w:r w:rsidR="00291A3C" w:rsidRPr="00CE23F7" w:rsidDel="00320040">
              <w:rPr>
                <w:rFonts w:eastAsia="Times New Roman" w:cs="Calibri"/>
                <w:i/>
              </w:rPr>
              <w:t>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79E0D3ED" w14:textId="1C268DE2" w:rsidR="00DE40BB" w:rsidDel="00320040" w:rsidRDefault="00F1222E" w:rsidP="0069212A">
            <w:pPr>
              <w:spacing w:line="240" w:lineRule="auto"/>
              <w:textAlignment w:val="baseline"/>
            </w:pPr>
            <w:hyperlink w:anchor="_Data_and_Evaluation" w:history="1">
              <w:r w:rsidR="00291A3C" w:rsidRPr="00A252A3" w:rsidDel="00320040">
                <w:rPr>
                  <w:rStyle w:val="Hyperlink"/>
                  <w:rFonts w:eastAsia="Times New Roman" w:cs="Calibri"/>
                </w:rPr>
                <w:t>Data and Evaluation section. </w:t>
              </w:r>
            </w:hyperlink>
          </w:p>
        </w:tc>
      </w:tr>
      <w:tr w:rsidR="00DE40BB" w:rsidRPr="0069212A" w14:paraId="58770EFB" w14:textId="77777777"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0E1DCCFA" w14:textId="77777777" w:rsidR="00291A3C" w:rsidRPr="0069212A" w:rsidRDefault="00291A3C" w:rsidP="00291A3C">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Total expenditures of levy proceed by program area by ZIP Code in King County; and</w:t>
            </w:r>
            <w:r w:rsidRPr="0069212A">
              <w:rPr>
                <w:rFonts w:eastAsia="Times New Roman" w:cs="Calibri"/>
              </w:rPr>
              <w:t> </w:t>
            </w:r>
          </w:p>
          <w:p w14:paraId="284D5D4D" w14:textId="77777777" w:rsidR="00291A3C" w:rsidRPr="0069212A" w:rsidRDefault="00291A3C" w:rsidP="00291A3C">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the number of individuals receiving levy-funded services by program area by ZIP Code in King County of where the individual resides at the time of service.</w:t>
            </w:r>
            <w:r w:rsidRPr="0069212A">
              <w:rPr>
                <w:rFonts w:eastAsia="Times New Roman" w:cs="Calibri"/>
              </w:rPr>
              <w:t> </w:t>
            </w:r>
          </w:p>
          <w:p w14:paraId="069A6EA7" w14:textId="035436A8" w:rsidR="00DE40BB" w:rsidRPr="0069212A" w:rsidRDefault="009512DA" w:rsidP="0069212A">
            <w:pPr>
              <w:spacing w:line="240" w:lineRule="auto"/>
              <w:textAlignment w:val="baseline"/>
              <w:rPr>
                <w:rFonts w:eastAsia="Times New Roman" w:cs="Calibri"/>
                <w:shd w:val="clear" w:color="auto" w:fill="FFFFFF"/>
              </w:rPr>
            </w:pPr>
            <w:r>
              <w:rPr>
                <w:rFonts w:eastAsia="Times New Roman" w:cs="Calibri"/>
                <w:i/>
              </w:rPr>
              <w:t>Section</w:t>
            </w:r>
            <w:r w:rsidRPr="00CE23F7">
              <w:rPr>
                <w:rFonts w:eastAsia="Times New Roman" w:cs="Calibri"/>
                <w:b/>
                <w:i/>
              </w:rPr>
              <w:t> </w:t>
            </w:r>
            <w:r w:rsidR="00291A3C" w:rsidRPr="00CE23F7">
              <w:rPr>
                <w:rFonts w:eastAsia="Times New Roman" w:cs="Calibri"/>
                <w:i/>
              </w:rPr>
              <w:t>7.A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6D93C199" w14:textId="348BD6FB" w:rsidR="00DE40BB" w:rsidRDefault="00F1222E" w:rsidP="0069212A">
            <w:pPr>
              <w:spacing w:line="240" w:lineRule="auto"/>
              <w:textAlignment w:val="baseline"/>
            </w:pPr>
            <w:hyperlink w:anchor="_Data_and_Evaluation" w:history="1">
              <w:r w:rsidR="00291A3C" w:rsidRPr="00A252A3">
                <w:rPr>
                  <w:rStyle w:val="Hyperlink"/>
                  <w:rFonts w:eastAsia="Times New Roman" w:cs="Calibri"/>
                </w:rPr>
                <w:t>Data and Evaluation section. </w:t>
              </w:r>
            </w:hyperlink>
          </w:p>
        </w:tc>
      </w:tr>
      <w:tr w:rsidR="00DB40DA" w:rsidRPr="0069212A" w14:paraId="7D85F318" w14:textId="77777777" w:rsidTr="001D29C6">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1E7B822F" w14:textId="77652883" w:rsidR="00DB40DA" w:rsidRPr="0069212A" w:rsidRDefault="009634BC" w:rsidP="00291A3C">
            <w:pPr>
              <w:spacing w:line="240" w:lineRule="auto"/>
              <w:textAlignment w:val="baseline"/>
              <w:rPr>
                <w:rFonts w:eastAsia="Times New Roman" w:cs="Calibri"/>
                <w:shd w:val="clear" w:color="auto" w:fill="FFFFFF"/>
              </w:rPr>
            </w:pPr>
            <w:r>
              <w:rPr>
                <w:rFonts w:eastAsia="Times New Roman" w:cs="Calibri"/>
                <w:b/>
                <w:bCs/>
              </w:rPr>
              <w:t>Requested</w:t>
            </w:r>
            <w:r w:rsidR="00991136" w:rsidRPr="0069212A">
              <w:rPr>
                <w:rFonts w:eastAsia="Times New Roman" w:cs="Calibri"/>
                <w:b/>
                <w:bCs/>
              </w:rPr>
              <w:t xml:space="preserve"> Implementation Plan </w:t>
            </w:r>
            <w:r w:rsidR="00561ADD">
              <w:rPr>
                <w:rFonts w:eastAsia="Times New Roman" w:cs="Calibri"/>
                <w:b/>
                <w:bCs/>
              </w:rPr>
              <w:t>Elements</w:t>
            </w:r>
            <w:r w:rsidR="00561ADD" w:rsidRPr="0069212A">
              <w:rPr>
                <w:rFonts w:eastAsia="Times New Roman" w:cs="Calibri"/>
                <w:b/>
                <w:bCs/>
              </w:rPr>
              <w:t xml:space="preserve"> </w:t>
            </w:r>
            <w:r w:rsidR="00991136" w:rsidRPr="0069212A">
              <w:rPr>
                <w:rFonts w:eastAsia="Times New Roman" w:cs="Calibri"/>
                <w:b/>
                <w:bCs/>
              </w:rPr>
              <w:t xml:space="preserve">from </w:t>
            </w:r>
            <w:r w:rsidR="002645EF">
              <w:rPr>
                <w:rFonts w:eastAsia="Times New Roman" w:cs="Calibri"/>
                <w:b/>
                <w:bCs/>
              </w:rPr>
              <w:t>Motion 15888</w:t>
            </w:r>
            <w:r w:rsidR="00991136">
              <w:rPr>
                <w:rFonts w:eastAsia="Times New Roman" w:cs="Calibri"/>
                <w:b/>
                <w:bCs/>
              </w:rPr>
              <w:t xml:space="preserve"> </w:t>
            </w:r>
            <w:r w:rsidR="00991136" w:rsidRPr="0069212A">
              <w:rPr>
                <w:rFonts w:eastAsia="Times New Roman" w:cs="Calibri"/>
                <w:b/>
                <w:bCs/>
              </w:rPr>
              <w:t>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033E0657" w14:textId="544B29B0" w:rsidR="00DB40DA" w:rsidRDefault="00213C4D" w:rsidP="0069212A">
            <w:pPr>
              <w:spacing w:line="240" w:lineRule="auto"/>
              <w:textAlignment w:val="baseline"/>
            </w:pPr>
            <w:r>
              <w:rPr>
                <w:rFonts w:eastAsia="Times New Roman" w:cs="Calibri"/>
                <w:b/>
                <w:bCs/>
              </w:rPr>
              <w:t>Links to Relevant Section(s)</w:t>
            </w:r>
          </w:p>
        </w:tc>
      </w:tr>
      <w:tr w:rsidR="00C62EF1" w:rsidRPr="0069212A" w14:paraId="7AF14275" w14:textId="77777777"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0489BC01" w14:textId="77777777" w:rsidR="00C62EF1" w:rsidRDefault="002645EF" w:rsidP="002645EF">
            <w:pPr>
              <w:spacing w:line="240" w:lineRule="auto"/>
              <w:contextualSpacing/>
            </w:pPr>
            <w:r>
              <w:t>Identify in the transmitted plan strategies relating to prevention, outreach and early intervention to address mental health and substance use impacts, in children and youth five through twenty-four years old, that have been exacerbated due to the coronavirus disease 2019 pandemic</w:t>
            </w:r>
          </w:p>
          <w:p w14:paraId="38422F88" w14:textId="7773AB0B" w:rsidR="003C1FC6" w:rsidRPr="002645EF" w:rsidRDefault="003C1FC6" w:rsidP="002645EF">
            <w:pPr>
              <w:spacing w:line="240" w:lineRule="auto"/>
              <w:contextualSpacing/>
            </w:pPr>
            <w:r>
              <w:rPr>
                <w:rFonts w:eastAsia="Times New Roman" w:cs="Calibri"/>
                <w:i/>
              </w:rPr>
              <w:t>Section</w:t>
            </w:r>
            <w:r w:rsidRPr="00CE23F7">
              <w:rPr>
                <w:rFonts w:eastAsia="Times New Roman" w:cs="Calibri"/>
                <w:b/>
                <w:i/>
              </w:rPr>
              <w:t> </w:t>
            </w:r>
            <w:r w:rsidRPr="00CE23F7">
              <w:rPr>
                <w:rFonts w:eastAsia="Times New Roman" w:cs="Calibri"/>
                <w:i/>
              </w:rPr>
              <w:t>A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3DD9504A" w14:textId="441F24AB" w:rsidR="00C62EF1" w:rsidRDefault="00F1222E" w:rsidP="0069212A">
            <w:pPr>
              <w:spacing w:line="240" w:lineRule="auto"/>
              <w:textAlignment w:val="baseline"/>
            </w:pPr>
            <w:hyperlink w:anchor="Liberation_Healing" w:history="1">
              <w:r w:rsidR="00D72CD5" w:rsidRPr="001D29C6">
                <w:rPr>
                  <w:rStyle w:val="Hyperlink"/>
                </w:rPr>
                <w:t>Liberation and Healin</w:t>
              </w:r>
              <w:r w:rsidR="001D29C6">
                <w:rPr>
                  <w:rStyle w:val="Hyperlink"/>
                </w:rPr>
                <w:t>g section</w:t>
              </w:r>
              <w:r w:rsidR="007A2FDE">
                <w:rPr>
                  <w:rFonts w:eastAsia="Times New Roman" w:cs="Calibri"/>
                </w:rPr>
                <w:t>;</w:t>
              </w:r>
              <w:r w:rsidR="001D29C6">
                <w:rPr>
                  <w:rStyle w:val="Hyperlink"/>
                </w:rPr>
                <w:t xml:space="preserve"> </w:t>
              </w:r>
            </w:hyperlink>
            <w:r w:rsidR="001D29C6">
              <w:t xml:space="preserve"> </w:t>
            </w:r>
          </w:p>
          <w:p w14:paraId="0DC76CB3" w14:textId="54AAF464" w:rsidR="00D72CD5" w:rsidRDefault="00F1222E" w:rsidP="0069212A">
            <w:pPr>
              <w:spacing w:line="240" w:lineRule="auto"/>
              <w:textAlignment w:val="baseline"/>
            </w:pPr>
            <w:hyperlink w:anchor="School_BasedHealthCenters" w:history="1">
              <w:r w:rsidR="00D72CD5" w:rsidRPr="001D29C6">
                <w:rPr>
                  <w:rStyle w:val="Hyperlink"/>
                </w:rPr>
                <w:t>School Based Health Center</w:t>
              </w:r>
              <w:r w:rsidR="001D29C6">
                <w:rPr>
                  <w:rStyle w:val="Hyperlink"/>
                </w:rPr>
                <w:t>s section</w:t>
              </w:r>
            </w:hyperlink>
            <w:r w:rsidR="007A2FDE">
              <w:rPr>
                <w:rFonts w:eastAsia="Times New Roman" w:cs="Calibri"/>
              </w:rPr>
              <w:t>;</w:t>
            </w:r>
          </w:p>
          <w:p w14:paraId="5E2635F8" w14:textId="3D182BCB" w:rsidR="00C62EF1" w:rsidRDefault="00F1222E" w:rsidP="0069212A">
            <w:pPr>
              <w:spacing w:line="240" w:lineRule="auto"/>
              <w:textAlignment w:val="baseline"/>
            </w:pPr>
            <w:hyperlink w:anchor="_Sustain_the_Gain" w:history="1">
              <w:r w:rsidR="001D29C6" w:rsidRPr="001D29C6">
                <w:rPr>
                  <w:rStyle w:val="Hyperlink"/>
                </w:rPr>
                <w:t>Sustain the Gai</w:t>
              </w:r>
              <w:r w:rsidR="001D29C6">
                <w:rPr>
                  <w:rStyle w:val="Hyperlink"/>
                </w:rPr>
                <w:t xml:space="preserve">n </w:t>
              </w:r>
              <w:r w:rsidR="007A2FDE">
                <w:rPr>
                  <w:rStyle w:val="Hyperlink"/>
                </w:rPr>
                <w:t>s</w:t>
              </w:r>
              <w:r w:rsidR="001D29C6">
                <w:rPr>
                  <w:rStyle w:val="Hyperlink"/>
                </w:rPr>
                <w:t>ection</w:t>
              </w:r>
            </w:hyperlink>
            <w:r w:rsidR="00213C4D">
              <w:rPr>
                <w:rStyle w:val="Hyperlink"/>
              </w:rPr>
              <w:t>.</w:t>
            </w:r>
          </w:p>
        </w:tc>
      </w:tr>
      <w:tr w:rsidR="002645EF" w:rsidRPr="0069212A" w14:paraId="7B8CC60E" w14:textId="77777777"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4BB33D72" w14:textId="77777777" w:rsidR="00507D1F" w:rsidRDefault="00507D1F" w:rsidP="00507D1F">
            <w:pPr>
              <w:spacing w:line="240" w:lineRule="auto"/>
              <w:contextualSpacing/>
            </w:pPr>
            <w:r>
              <w:t>Consider programs and services that provide, expand access to or provide and expand access to substance use disorder supports for children and youth, including, but not limited to, awareness campaigns on substance use.</w:t>
            </w:r>
          </w:p>
          <w:p w14:paraId="25659775" w14:textId="0956A7EF" w:rsidR="002645EF" w:rsidRPr="003C1FC6" w:rsidRDefault="003C1FC6" w:rsidP="003C1FC6">
            <w:pPr>
              <w:spacing w:line="240" w:lineRule="auto"/>
              <w:contextualSpacing/>
            </w:pPr>
            <w:r>
              <w:rPr>
                <w:rFonts w:eastAsia="Times New Roman" w:cs="Calibri"/>
                <w:i/>
              </w:rPr>
              <w:t>Section</w:t>
            </w:r>
            <w:r w:rsidRPr="00CE23F7">
              <w:rPr>
                <w:rFonts w:eastAsia="Times New Roman" w:cs="Calibri"/>
                <w:b/>
                <w:i/>
              </w:rPr>
              <w:t> </w:t>
            </w:r>
            <w:r w:rsidRPr="00213C4D">
              <w:rPr>
                <w:rFonts w:eastAsia="Times New Roman" w:cs="Calibri"/>
                <w:bCs/>
                <w:i/>
              </w:rPr>
              <w:t>B</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45702D75" w14:textId="555AAAC4" w:rsidR="002645EF" w:rsidRDefault="00F1222E" w:rsidP="0069212A">
            <w:pPr>
              <w:spacing w:line="240" w:lineRule="auto"/>
              <w:textAlignment w:val="baseline"/>
            </w:pPr>
            <w:hyperlink w:anchor="_Sustain_the_Gain" w:history="1">
              <w:r w:rsidR="001D29C6" w:rsidRPr="001D29C6">
                <w:rPr>
                  <w:rStyle w:val="Hyperlink"/>
                </w:rPr>
                <w:t>Sustain the Gai</w:t>
              </w:r>
              <w:r w:rsidR="001D29C6">
                <w:rPr>
                  <w:rStyle w:val="Hyperlink"/>
                </w:rPr>
                <w:t xml:space="preserve">n </w:t>
              </w:r>
              <w:r w:rsidR="00213C4D">
                <w:rPr>
                  <w:rStyle w:val="Hyperlink"/>
                </w:rPr>
                <w:t>s</w:t>
              </w:r>
              <w:r w:rsidR="001D29C6">
                <w:rPr>
                  <w:rStyle w:val="Hyperlink"/>
                </w:rPr>
                <w:t>ection</w:t>
              </w:r>
            </w:hyperlink>
            <w:r w:rsidR="00213C4D">
              <w:rPr>
                <w:rStyle w:val="Hyperlink"/>
              </w:rPr>
              <w:t>.</w:t>
            </w:r>
          </w:p>
        </w:tc>
      </w:tr>
    </w:tbl>
    <w:p w14:paraId="7A3A5001" w14:textId="77777777" w:rsidR="009F442A" w:rsidRDefault="002D5D1D" w:rsidP="00D70758">
      <w:pPr>
        <w:spacing w:line="240" w:lineRule="auto"/>
        <w:rPr>
          <w:iCs/>
        </w:rPr>
      </w:pPr>
      <w:r>
        <w:br w:type="page"/>
      </w:r>
    </w:p>
    <w:p w14:paraId="2831B9B8" w14:textId="2A1C38F7" w:rsidR="002D5D1D" w:rsidRDefault="002D5D1D" w:rsidP="3E480556">
      <w:pPr>
        <w:spacing w:line="240" w:lineRule="auto"/>
        <w:rPr>
          <w:rFonts w:eastAsiaTheme="majorEastAsia" w:cstheme="majorBidi"/>
          <w:color w:val="002060"/>
          <w:sz w:val="24"/>
          <w:szCs w:val="24"/>
        </w:rPr>
        <w:sectPr w:rsidR="002D5D1D" w:rsidSect="00CA63D9">
          <w:pgSz w:w="12240" w:h="15840" w:code="1"/>
          <w:pgMar w:top="1440" w:right="1440" w:bottom="1440" w:left="1440" w:header="720" w:footer="720" w:gutter="0"/>
          <w:lnNumType w:countBy="1"/>
          <w:cols w:space="720"/>
          <w:titlePg/>
          <w:docGrid w:linePitch="360"/>
        </w:sectPr>
      </w:pPr>
      <w:bookmarkStart w:id="111" w:name="_Toc75175312"/>
    </w:p>
    <w:p w14:paraId="6B91FBBA" w14:textId="687A0B0C" w:rsidR="00D70758" w:rsidRDefault="00D70758" w:rsidP="00025030">
      <w:pPr>
        <w:pStyle w:val="Heading2"/>
        <w:numPr>
          <w:ilvl w:val="0"/>
          <w:numId w:val="56"/>
        </w:numPr>
        <w:rPr>
          <w:noProof/>
        </w:rPr>
      </w:pPr>
      <w:bookmarkStart w:id="112" w:name="_Toc85188560"/>
      <w:r w:rsidRPr="00056A25">
        <w:rPr>
          <w:iCs/>
        </w:rPr>
        <w:lastRenderedPageBreak/>
        <w:t>Best Starts</w:t>
      </w:r>
      <w:r w:rsidRPr="448004B2">
        <w:rPr>
          <w:noProof/>
        </w:rPr>
        <w:t xml:space="preserve"> </w:t>
      </w:r>
      <w:r w:rsidR="00E63D35">
        <w:rPr>
          <w:noProof/>
        </w:rPr>
        <w:t>2016-2021</w:t>
      </w:r>
      <w:r w:rsidRPr="448004B2">
        <w:rPr>
          <w:noProof/>
        </w:rPr>
        <w:t xml:space="preserve"> Outcomes</w:t>
      </w:r>
      <w:bookmarkEnd w:id="111"/>
      <w:bookmarkEnd w:id="112"/>
    </w:p>
    <w:p w14:paraId="5A73113E" w14:textId="4270EB9A" w:rsidR="00D70758" w:rsidRDefault="00BC4534" w:rsidP="00D70758">
      <w:pPr>
        <w:spacing w:line="240" w:lineRule="auto"/>
        <w:rPr>
          <w:rFonts w:eastAsiaTheme="majorEastAsia" w:cstheme="majorBidi"/>
          <w:color w:val="002060"/>
          <w:sz w:val="24"/>
          <w:szCs w:val="24"/>
        </w:rPr>
      </w:pPr>
      <w:r>
        <w:rPr>
          <w:noProof/>
        </w:rPr>
        <w:drawing>
          <wp:inline distT="0" distB="0" distL="0" distR="0" wp14:anchorId="010B4DFD" wp14:editId="6E309515">
            <wp:extent cx="7448744" cy="5633052"/>
            <wp:effectExtent l="0" t="0" r="0" b="6350"/>
            <wp:docPr id="1572634511" name="Picture 157263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634511"/>
                    <pic:cNvPicPr/>
                  </pic:nvPicPr>
                  <pic:blipFill>
                    <a:blip r:embed="rId28">
                      <a:extLst>
                        <a:ext uri="{28A0092B-C50C-407E-A947-70E740481C1C}">
                          <a14:useLocalDpi xmlns:a14="http://schemas.microsoft.com/office/drawing/2010/main" val="0"/>
                        </a:ext>
                      </a:extLst>
                    </a:blip>
                    <a:stretch>
                      <a:fillRect/>
                    </a:stretch>
                  </pic:blipFill>
                  <pic:spPr>
                    <a:xfrm>
                      <a:off x="0" y="0"/>
                      <a:ext cx="7448744" cy="5633052"/>
                    </a:xfrm>
                    <a:prstGeom prst="rect">
                      <a:avLst/>
                    </a:prstGeom>
                  </pic:spPr>
                </pic:pic>
              </a:graphicData>
            </a:graphic>
          </wp:inline>
        </w:drawing>
      </w:r>
    </w:p>
    <w:p w14:paraId="7F42E9C2" w14:textId="6DAD8A8C" w:rsidR="00BC4534" w:rsidRDefault="0031665B">
      <w:pPr>
        <w:spacing w:line="240" w:lineRule="auto"/>
        <w:rPr>
          <w:rFonts w:eastAsiaTheme="majorEastAsia" w:cstheme="majorBidi"/>
          <w:color w:val="002060"/>
          <w:sz w:val="24"/>
          <w:szCs w:val="26"/>
        </w:rPr>
      </w:pPr>
      <w:bookmarkStart w:id="113" w:name="_Toc75175313"/>
      <w:r>
        <w:rPr>
          <w:noProof/>
        </w:rPr>
        <w:lastRenderedPageBreak/>
        <w:drawing>
          <wp:inline distT="0" distB="0" distL="0" distR="0" wp14:anchorId="35A9156C" wp14:editId="5D687D3B">
            <wp:extent cx="7921625" cy="5943600"/>
            <wp:effectExtent l="0" t="0" r="3175" b="0"/>
            <wp:docPr id="1572634512" name="Picture 157263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634512"/>
                    <pic:cNvPicPr/>
                  </pic:nvPicPr>
                  <pic:blipFill>
                    <a:blip r:embed="rId29">
                      <a:extLst>
                        <a:ext uri="{28A0092B-C50C-407E-A947-70E740481C1C}">
                          <a14:useLocalDpi xmlns:a14="http://schemas.microsoft.com/office/drawing/2010/main" val="0"/>
                        </a:ext>
                      </a:extLst>
                    </a:blip>
                    <a:stretch>
                      <a:fillRect/>
                    </a:stretch>
                  </pic:blipFill>
                  <pic:spPr>
                    <a:xfrm>
                      <a:off x="0" y="0"/>
                      <a:ext cx="7921625" cy="5943600"/>
                    </a:xfrm>
                    <a:prstGeom prst="rect">
                      <a:avLst/>
                    </a:prstGeom>
                  </pic:spPr>
                </pic:pic>
              </a:graphicData>
            </a:graphic>
          </wp:inline>
        </w:drawing>
      </w:r>
      <w:r w:rsidR="00BC4534">
        <w:br w:type="page"/>
      </w:r>
    </w:p>
    <w:p w14:paraId="19D2D246" w14:textId="77777777" w:rsidR="00074AAD" w:rsidRDefault="00074AAD" w:rsidP="00BC4534">
      <w:pPr>
        <w:pStyle w:val="Heading2"/>
        <w:sectPr w:rsidR="00074AAD" w:rsidSect="00CA63D9">
          <w:pgSz w:w="15840" w:h="12240" w:orient="landscape" w:code="1"/>
          <w:pgMar w:top="1440" w:right="1440" w:bottom="1440" w:left="1440" w:header="720" w:footer="720" w:gutter="0"/>
          <w:cols w:space="720"/>
          <w:titlePg/>
          <w:docGrid w:linePitch="360"/>
        </w:sectPr>
      </w:pPr>
    </w:p>
    <w:p w14:paraId="0B696F56" w14:textId="0D5133F5" w:rsidR="00D70758" w:rsidRPr="00B856F9" w:rsidRDefault="00D70758" w:rsidP="00025030">
      <w:pPr>
        <w:pStyle w:val="Heading2"/>
        <w:numPr>
          <w:ilvl w:val="0"/>
          <w:numId w:val="56"/>
        </w:numPr>
      </w:pPr>
      <w:bookmarkStart w:id="114" w:name="_Toc85188561"/>
      <w:r>
        <w:lastRenderedPageBreak/>
        <w:t>Headline &amp; Secondary Indicators</w:t>
      </w:r>
      <w:bookmarkEnd w:id="113"/>
      <w:bookmarkEnd w:id="114"/>
    </w:p>
    <w:p w14:paraId="66E0FAB9" w14:textId="77777777" w:rsidR="00D70758" w:rsidRPr="00672309" w:rsidRDefault="00D70758" w:rsidP="00D70758">
      <w:pPr>
        <w:pStyle w:val="ListParagraph"/>
      </w:pPr>
    </w:p>
    <w:tbl>
      <w:tblPr>
        <w:tblStyle w:val="TableGrid"/>
        <w:tblW w:w="0" w:type="auto"/>
        <w:tblLook w:val="04A0" w:firstRow="1" w:lastRow="0" w:firstColumn="1" w:lastColumn="0" w:noHBand="0" w:noVBand="1"/>
      </w:tblPr>
      <w:tblGrid>
        <w:gridCol w:w="9350"/>
      </w:tblGrid>
      <w:tr w:rsidR="00D70758" w:rsidRPr="0058327D" w14:paraId="69B0CB85" w14:textId="77777777" w:rsidTr="00D32E80">
        <w:tc>
          <w:tcPr>
            <w:tcW w:w="9350" w:type="dxa"/>
            <w:shd w:val="clear" w:color="auto" w:fill="B4C6E7" w:themeFill="accent1" w:themeFillTint="66"/>
          </w:tcPr>
          <w:p w14:paraId="5FFF8C28" w14:textId="77777777" w:rsidR="00D70758" w:rsidRPr="0058327D" w:rsidRDefault="00D70758" w:rsidP="00D32E80">
            <w:pPr>
              <w:jc w:val="center"/>
              <w:rPr>
                <w:sz w:val="28"/>
                <w:szCs w:val="28"/>
              </w:rPr>
            </w:pPr>
            <w:r w:rsidRPr="0058327D">
              <w:rPr>
                <w:sz w:val="28"/>
                <w:szCs w:val="28"/>
              </w:rPr>
              <w:t>Headline Indicators</w:t>
            </w:r>
          </w:p>
        </w:tc>
      </w:tr>
      <w:tr w:rsidR="00D70758" w14:paraId="2B219DF7" w14:textId="77777777" w:rsidTr="00D32E80">
        <w:tc>
          <w:tcPr>
            <w:tcW w:w="9350" w:type="dxa"/>
          </w:tcPr>
          <w:p w14:paraId="3E7CAA39" w14:textId="77777777" w:rsidR="00D70758" w:rsidRPr="009D75F6" w:rsidRDefault="00D70758" w:rsidP="00D32E80">
            <w:pPr>
              <w:rPr>
                <w:b/>
                <w:bCs/>
              </w:rPr>
            </w:pPr>
            <w:r w:rsidRPr="009D75F6">
              <w:rPr>
                <w:b/>
                <w:bCs/>
              </w:rPr>
              <w:t>Prenatal to 5</w:t>
            </w:r>
          </w:p>
          <w:p w14:paraId="4F9B1EAE" w14:textId="77777777" w:rsidR="00D70758" w:rsidRPr="00101A9C" w:rsidRDefault="00D70758" w:rsidP="00025030">
            <w:pPr>
              <w:numPr>
                <w:ilvl w:val="0"/>
                <w:numId w:val="53"/>
              </w:numPr>
              <w:spacing w:line="240" w:lineRule="auto"/>
            </w:pPr>
            <w:r w:rsidRPr="00101A9C">
              <w:t xml:space="preserve">Babies are born healthy </w:t>
            </w:r>
          </w:p>
          <w:p w14:paraId="0CF4C81D" w14:textId="77777777" w:rsidR="00D70758" w:rsidRPr="00101A9C" w:rsidRDefault="00D70758" w:rsidP="00025030">
            <w:pPr>
              <w:pStyle w:val="ListParagraph"/>
              <w:numPr>
                <w:ilvl w:val="1"/>
                <w:numId w:val="53"/>
              </w:numPr>
              <w:spacing w:line="240" w:lineRule="auto"/>
            </w:pPr>
            <w:r w:rsidRPr="00101A9C">
              <w:rPr>
                <w:i/>
                <w:iCs/>
              </w:rPr>
              <w:t>Infant mortality</w:t>
            </w:r>
          </w:p>
          <w:p w14:paraId="25ADBE47" w14:textId="77777777" w:rsidR="00D70758" w:rsidRPr="00101A9C" w:rsidRDefault="00D70758" w:rsidP="00025030">
            <w:pPr>
              <w:numPr>
                <w:ilvl w:val="1"/>
                <w:numId w:val="53"/>
              </w:numPr>
              <w:spacing w:line="240" w:lineRule="auto"/>
            </w:pPr>
            <w:r w:rsidRPr="00101A9C">
              <w:rPr>
                <w:i/>
                <w:iCs/>
              </w:rPr>
              <w:t>Pre-term birth</w:t>
            </w:r>
          </w:p>
          <w:p w14:paraId="1569770C" w14:textId="77777777" w:rsidR="00D70758" w:rsidRPr="00101A9C" w:rsidRDefault="00D70758" w:rsidP="00025030">
            <w:pPr>
              <w:numPr>
                <w:ilvl w:val="0"/>
                <w:numId w:val="53"/>
              </w:numPr>
              <w:spacing w:line="240" w:lineRule="auto"/>
            </w:pPr>
            <w:r w:rsidRPr="00101A9C">
              <w:t>Children are thriving</w:t>
            </w:r>
          </w:p>
          <w:p w14:paraId="0A08C541" w14:textId="77777777" w:rsidR="00D70758" w:rsidRPr="00101A9C" w:rsidRDefault="00D70758" w:rsidP="00025030">
            <w:pPr>
              <w:numPr>
                <w:ilvl w:val="0"/>
                <w:numId w:val="53"/>
              </w:numPr>
              <w:spacing w:line="240" w:lineRule="auto"/>
            </w:pPr>
            <w:r w:rsidRPr="00101A9C">
              <w:t xml:space="preserve">Children are Kindergarten Ready </w:t>
            </w:r>
            <w:r w:rsidRPr="00101A9C">
              <w:rPr>
                <w:i/>
                <w:iCs/>
              </w:rPr>
              <w:t xml:space="preserve"> </w:t>
            </w:r>
          </w:p>
          <w:p w14:paraId="0D840371" w14:textId="77777777" w:rsidR="00D70758" w:rsidRPr="00101A9C" w:rsidRDefault="00D70758" w:rsidP="00025030">
            <w:pPr>
              <w:numPr>
                <w:ilvl w:val="0"/>
                <w:numId w:val="53"/>
              </w:numPr>
              <w:spacing w:line="240" w:lineRule="auto"/>
            </w:pPr>
            <w:r w:rsidRPr="00101A9C">
              <w:t>Families/Caregivers are strong</w:t>
            </w:r>
          </w:p>
          <w:p w14:paraId="1C84BBB4" w14:textId="77777777" w:rsidR="00D70758" w:rsidRDefault="00D70758" w:rsidP="00D32E80"/>
        </w:tc>
      </w:tr>
      <w:tr w:rsidR="00D70758" w14:paraId="26083D62" w14:textId="77777777" w:rsidTr="00D32E80">
        <w:tc>
          <w:tcPr>
            <w:tcW w:w="9350" w:type="dxa"/>
          </w:tcPr>
          <w:p w14:paraId="43B5E1B3" w14:textId="77777777" w:rsidR="00D70758" w:rsidRPr="009D75F6" w:rsidRDefault="00D70758" w:rsidP="00D32E80">
            <w:pPr>
              <w:rPr>
                <w:b/>
                <w:bCs/>
              </w:rPr>
            </w:pPr>
            <w:r w:rsidRPr="009D75F6">
              <w:rPr>
                <w:b/>
                <w:bCs/>
              </w:rPr>
              <w:t>5 to 24 years</w:t>
            </w:r>
          </w:p>
          <w:p w14:paraId="33A0691E" w14:textId="77777777" w:rsidR="00D70758" w:rsidRPr="00101A9C" w:rsidRDefault="00D70758" w:rsidP="00025030">
            <w:pPr>
              <w:numPr>
                <w:ilvl w:val="0"/>
                <w:numId w:val="54"/>
              </w:numPr>
              <w:spacing w:line="240" w:lineRule="auto"/>
            </w:pPr>
            <w:r w:rsidRPr="00101A9C">
              <w:t>Youth and young adults are healthy</w:t>
            </w:r>
          </w:p>
          <w:p w14:paraId="2BED7C9D" w14:textId="77777777" w:rsidR="00D70758" w:rsidRPr="00101A9C" w:rsidRDefault="00D70758" w:rsidP="00025030">
            <w:pPr>
              <w:numPr>
                <w:ilvl w:val="0"/>
                <w:numId w:val="54"/>
              </w:numPr>
              <w:spacing w:line="240" w:lineRule="auto"/>
            </w:pPr>
            <w:r w:rsidRPr="00101A9C">
              <w:t>Youth are thriving</w:t>
            </w:r>
          </w:p>
          <w:p w14:paraId="50D26F45" w14:textId="77777777" w:rsidR="00D70758" w:rsidRPr="00101A9C" w:rsidRDefault="00D70758" w:rsidP="00025030">
            <w:pPr>
              <w:numPr>
                <w:ilvl w:val="0"/>
                <w:numId w:val="54"/>
              </w:numPr>
              <w:spacing w:line="240" w:lineRule="auto"/>
            </w:pPr>
            <w:r w:rsidRPr="00101A9C">
              <w:t>Youth have supportive adults</w:t>
            </w:r>
          </w:p>
          <w:p w14:paraId="34039AE9" w14:textId="77777777" w:rsidR="00D70758" w:rsidRPr="00101A9C" w:rsidRDefault="00D70758" w:rsidP="00025030">
            <w:pPr>
              <w:numPr>
                <w:ilvl w:val="0"/>
                <w:numId w:val="54"/>
              </w:numPr>
              <w:spacing w:line="240" w:lineRule="auto"/>
            </w:pPr>
            <w:r w:rsidRPr="00101A9C">
              <w:t xml:space="preserve">Youth graduate high school on-time </w:t>
            </w:r>
          </w:p>
          <w:p w14:paraId="095AA541" w14:textId="77777777" w:rsidR="00D70758" w:rsidRPr="00101A9C" w:rsidRDefault="00D70758" w:rsidP="00025030">
            <w:pPr>
              <w:numPr>
                <w:ilvl w:val="0"/>
                <w:numId w:val="54"/>
              </w:numPr>
              <w:spacing w:line="240" w:lineRule="auto"/>
            </w:pPr>
            <w:r w:rsidRPr="00101A9C">
              <w:t xml:space="preserve">Youth &amp; young adults in school or working </w:t>
            </w:r>
          </w:p>
          <w:p w14:paraId="75826276" w14:textId="77777777" w:rsidR="00D70758" w:rsidRDefault="00D70758" w:rsidP="00D32E80"/>
        </w:tc>
      </w:tr>
      <w:tr w:rsidR="00D70758" w14:paraId="6D4B1163" w14:textId="77777777" w:rsidTr="00D32E80">
        <w:tc>
          <w:tcPr>
            <w:tcW w:w="9350" w:type="dxa"/>
          </w:tcPr>
          <w:p w14:paraId="25279D76" w14:textId="77777777" w:rsidR="00D70758" w:rsidRPr="009D75F6" w:rsidRDefault="00D70758" w:rsidP="00D32E80">
            <w:pPr>
              <w:rPr>
                <w:b/>
                <w:bCs/>
              </w:rPr>
            </w:pPr>
            <w:r w:rsidRPr="009D75F6">
              <w:rPr>
                <w:b/>
                <w:bCs/>
              </w:rPr>
              <w:t>Communities of Opportunity</w:t>
            </w:r>
          </w:p>
          <w:p w14:paraId="7BD08EEE" w14:textId="4AD8C462" w:rsidR="00D70758" w:rsidRDefault="00D70758" w:rsidP="00025030">
            <w:pPr>
              <w:pStyle w:val="paragraph"/>
              <w:numPr>
                <w:ilvl w:val="0"/>
                <w:numId w:val="59"/>
              </w:numPr>
              <w:spacing w:before="100" w:line="252" w:lineRule="auto"/>
            </w:pPr>
            <w:r>
              <w:t>Households paying less than 30</w:t>
            </w:r>
            <w:r w:rsidR="00FE291C">
              <w:t>percent</w:t>
            </w:r>
            <w:r>
              <w:t xml:space="preserve"> of income on housing; and households paying less than 50</w:t>
            </w:r>
            <w:r w:rsidR="00FE291C">
              <w:t>percent</w:t>
            </w:r>
            <w:r>
              <w:t xml:space="preserve"> of income on housing.</w:t>
            </w:r>
          </w:p>
          <w:p w14:paraId="0B084337" w14:textId="77777777" w:rsidR="00D70758" w:rsidRDefault="00D70758" w:rsidP="00025030">
            <w:pPr>
              <w:pStyle w:val="paragraph"/>
              <w:numPr>
                <w:ilvl w:val="0"/>
                <w:numId w:val="59"/>
              </w:numPr>
              <w:spacing w:before="100" w:line="252" w:lineRule="auto"/>
            </w:pPr>
            <w:r>
              <w:t>Involuntary residential displacement (measured by residential migration)</w:t>
            </w:r>
          </w:p>
          <w:p w14:paraId="5707471B" w14:textId="77777777" w:rsidR="00D70758" w:rsidRDefault="00D70758" w:rsidP="00025030">
            <w:pPr>
              <w:pStyle w:val="paragraph"/>
              <w:numPr>
                <w:ilvl w:val="0"/>
                <w:numId w:val="59"/>
              </w:numPr>
              <w:spacing w:beforeAutospacing="0" w:after="0" w:afterAutospacing="0" w:line="252" w:lineRule="auto"/>
            </w:pPr>
            <w:r>
              <w:t>Households earning a living wage, above 200 percent of poverty</w:t>
            </w:r>
          </w:p>
          <w:p w14:paraId="4D3FC481" w14:textId="77777777" w:rsidR="00D70758" w:rsidRDefault="00D70758" w:rsidP="00025030">
            <w:pPr>
              <w:pStyle w:val="paragraph"/>
              <w:numPr>
                <w:ilvl w:val="0"/>
                <w:numId w:val="59"/>
              </w:numPr>
              <w:spacing w:before="100" w:line="252" w:lineRule="auto"/>
            </w:pPr>
            <w:r>
              <w:t xml:space="preserve">Adults employed </w:t>
            </w:r>
          </w:p>
          <w:p w14:paraId="22625FB5" w14:textId="77777777" w:rsidR="00D70758" w:rsidRDefault="00D70758" w:rsidP="00025030">
            <w:pPr>
              <w:pStyle w:val="paragraph"/>
              <w:numPr>
                <w:ilvl w:val="0"/>
                <w:numId w:val="59"/>
              </w:numPr>
              <w:spacing w:before="100" w:line="252" w:lineRule="auto"/>
            </w:pPr>
            <w:r>
              <w:t>Youth and young adults who are in school or employed</w:t>
            </w:r>
          </w:p>
          <w:p w14:paraId="32FE6A3D" w14:textId="77777777" w:rsidR="00D70758" w:rsidRDefault="00D70758" w:rsidP="00025030">
            <w:pPr>
              <w:pStyle w:val="paragraph"/>
              <w:numPr>
                <w:ilvl w:val="0"/>
                <w:numId w:val="59"/>
              </w:numPr>
              <w:spacing w:before="100" w:line="252" w:lineRule="auto"/>
            </w:pPr>
            <w:r>
              <w:t>Good to excellent health (self-reported)</w:t>
            </w:r>
          </w:p>
          <w:p w14:paraId="653E6493" w14:textId="77777777" w:rsidR="00D70758" w:rsidRDefault="00D70758" w:rsidP="00025030">
            <w:pPr>
              <w:pStyle w:val="paragraph"/>
              <w:numPr>
                <w:ilvl w:val="0"/>
                <w:numId w:val="59"/>
              </w:numPr>
              <w:spacing w:before="100" w:line="252" w:lineRule="auto"/>
            </w:pPr>
            <w:r>
              <w:t>Engagement in civic activities</w:t>
            </w:r>
          </w:p>
          <w:p w14:paraId="25A54102" w14:textId="77777777" w:rsidR="00D70758" w:rsidRDefault="00D70758" w:rsidP="00025030">
            <w:pPr>
              <w:pStyle w:val="paragraph"/>
              <w:numPr>
                <w:ilvl w:val="0"/>
                <w:numId w:val="59"/>
              </w:numPr>
              <w:spacing w:before="100" w:line="252" w:lineRule="auto"/>
            </w:pPr>
            <w:r>
              <w:t>Youth who have an adult to turn to for help</w:t>
            </w:r>
          </w:p>
          <w:p w14:paraId="4FBBA8E4" w14:textId="77777777" w:rsidR="00D70758" w:rsidRDefault="00D70758" w:rsidP="00D32E80">
            <w:pPr>
              <w:rPr>
                <w:rFonts w:eastAsia="Calibri" w:cs="Arial"/>
              </w:rPr>
            </w:pPr>
          </w:p>
        </w:tc>
      </w:tr>
      <w:tr w:rsidR="00D70758" w14:paraId="0F70BD64" w14:textId="77777777" w:rsidTr="00D32E80">
        <w:tc>
          <w:tcPr>
            <w:tcW w:w="9350" w:type="dxa"/>
          </w:tcPr>
          <w:p w14:paraId="73E6E5A4" w14:textId="77777777" w:rsidR="00D70758" w:rsidRPr="009D75F6" w:rsidRDefault="00D70758" w:rsidP="00D32E80">
            <w:pPr>
              <w:rPr>
                <w:b/>
                <w:bCs/>
              </w:rPr>
            </w:pPr>
            <w:r w:rsidRPr="009D75F6">
              <w:rPr>
                <w:b/>
                <w:bCs/>
              </w:rPr>
              <w:t>Youth and Family Homelessness Prevention Initiative</w:t>
            </w:r>
          </w:p>
          <w:p w14:paraId="7C04CD52" w14:textId="77777777" w:rsidR="00D70758" w:rsidRPr="00101A9C" w:rsidRDefault="00D70758" w:rsidP="00025030">
            <w:pPr>
              <w:pStyle w:val="ListParagraph"/>
              <w:numPr>
                <w:ilvl w:val="0"/>
                <w:numId w:val="55"/>
              </w:numPr>
              <w:spacing w:line="240" w:lineRule="auto"/>
            </w:pPr>
            <w:r w:rsidRPr="00101A9C">
              <w:t>Number of families and youth experiencing homelessness </w:t>
            </w:r>
          </w:p>
          <w:p w14:paraId="5F45AFA9" w14:textId="77777777" w:rsidR="00D70758" w:rsidRDefault="00D70758" w:rsidP="00D32E80">
            <w:pPr>
              <w:ind w:left="360"/>
            </w:pPr>
          </w:p>
        </w:tc>
      </w:tr>
    </w:tbl>
    <w:p w14:paraId="731E5461" w14:textId="77777777" w:rsidR="00D70758" w:rsidRDefault="00D70758" w:rsidP="00D70758">
      <w:pPr>
        <w:rPr>
          <w:rFonts w:eastAsiaTheme="majorEastAsia" w:cstheme="majorBidi"/>
          <w:color w:val="2F5496" w:themeColor="accent1" w:themeShade="BF"/>
          <w:sz w:val="28"/>
          <w:szCs w:val="28"/>
        </w:rPr>
      </w:pPr>
    </w:p>
    <w:tbl>
      <w:tblPr>
        <w:tblStyle w:val="TableGrid"/>
        <w:tblW w:w="0" w:type="auto"/>
        <w:tblLook w:val="04A0" w:firstRow="1" w:lastRow="0" w:firstColumn="1" w:lastColumn="0" w:noHBand="0" w:noVBand="1"/>
      </w:tblPr>
      <w:tblGrid>
        <w:gridCol w:w="9350"/>
      </w:tblGrid>
      <w:tr w:rsidR="00D70758" w:rsidRPr="0058327D" w14:paraId="7DAFF523" w14:textId="77777777" w:rsidTr="00D32E80">
        <w:tc>
          <w:tcPr>
            <w:tcW w:w="9350" w:type="dxa"/>
            <w:shd w:val="clear" w:color="auto" w:fill="B4C6E7" w:themeFill="accent1" w:themeFillTint="66"/>
          </w:tcPr>
          <w:p w14:paraId="6D981023" w14:textId="77777777" w:rsidR="00D70758" w:rsidRPr="0058327D" w:rsidRDefault="00D70758" w:rsidP="00D32E80">
            <w:pPr>
              <w:jc w:val="center"/>
              <w:rPr>
                <w:sz w:val="28"/>
                <w:szCs w:val="28"/>
              </w:rPr>
            </w:pPr>
            <w:r>
              <w:rPr>
                <w:sz w:val="28"/>
                <w:szCs w:val="28"/>
              </w:rPr>
              <w:t>Secondary</w:t>
            </w:r>
            <w:r w:rsidRPr="0058327D">
              <w:rPr>
                <w:sz w:val="28"/>
                <w:szCs w:val="28"/>
              </w:rPr>
              <w:t xml:space="preserve"> Indicators</w:t>
            </w:r>
          </w:p>
        </w:tc>
      </w:tr>
      <w:tr w:rsidR="00D70758" w14:paraId="7E75515D" w14:textId="77777777" w:rsidTr="00D32E80">
        <w:tc>
          <w:tcPr>
            <w:tcW w:w="9350" w:type="dxa"/>
          </w:tcPr>
          <w:p w14:paraId="625C4B9B" w14:textId="77777777" w:rsidR="00D70758" w:rsidRPr="009D75F6" w:rsidRDefault="00D70758" w:rsidP="00D32E80">
            <w:pPr>
              <w:rPr>
                <w:b/>
                <w:bCs/>
              </w:rPr>
            </w:pPr>
            <w:r w:rsidRPr="009D75F6">
              <w:rPr>
                <w:b/>
                <w:bCs/>
              </w:rPr>
              <w:t>Prenatal to 5</w:t>
            </w:r>
          </w:p>
          <w:p w14:paraId="09CD57F2" w14:textId="77777777" w:rsidR="00D70758" w:rsidRPr="0058327D" w:rsidRDefault="00D70758" w:rsidP="00025030">
            <w:pPr>
              <w:numPr>
                <w:ilvl w:val="0"/>
                <w:numId w:val="53"/>
              </w:numPr>
              <w:spacing w:line="240" w:lineRule="auto"/>
            </w:pPr>
            <w:r w:rsidRPr="0058327D">
              <w:t>Babies who are breastfed</w:t>
            </w:r>
          </w:p>
          <w:p w14:paraId="25B3A234" w14:textId="77777777" w:rsidR="00D70758" w:rsidRPr="0058327D" w:rsidRDefault="00D70758" w:rsidP="00025030">
            <w:pPr>
              <w:numPr>
                <w:ilvl w:val="0"/>
                <w:numId w:val="53"/>
              </w:numPr>
              <w:spacing w:line="240" w:lineRule="auto"/>
            </w:pPr>
            <w:r w:rsidRPr="0058327D">
              <w:t>Children are healthy</w:t>
            </w:r>
          </w:p>
          <w:p w14:paraId="77625CB6" w14:textId="77777777" w:rsidR="00D70758" w:rsidRPr="0058327D" w:rsidRDefault="00D70758" w:rsidP="00025030">
            <w:pPr>
              <w:numPr>
                <w:ilvl w:val="0"/>
                <w:numId w:val="53"/>
              </w:numPr>
              <w:spacing w:line="240" w:lineRule="auto"/>
            </w:pPr>
            <w:r w:rsidRPr="0058327D">
              <w:t>Child care/preschools are high quality</w:t>
            </w:r>
          </w:p>
          <w:p w14:paraId="138B9853" w14:textId="77777777" w:rsidR="00D70758" w:rsidRPr="0058327D" w:rsidRDefault="00D70758" w:rsidP="00025030">
            <w:pPr>
              <w:numPr>
                <w:ilvl w:val="0"/>
                <w:numId w:val="53"/>
              </w:numPr>
              <w:spacing w:line="240" w:lineRule="auto"/>
            </w:pPr>
            <w:r w:rsidRPr="0058327D">
              <w:t>Parents missing school/work due to child care</w:t>
            </w:r>
          </w:p>
          <w:p w14:paraId="6D5F5256" w14:textId="77777777" w:rsidR="00D70758" w:rsidRPr="0058327D" w:rsidRDefault="00D70758" w:rsidP="00025030">
            <w:pPr>
              <w:numPr>
                <w:ilvl w:val="0"/>
                <w:numId w:val="53"/>
              </w:numPr>
              <w:spacing w:line="240" w:lineRule="auto"/>
            </w:pPr>
            <w:r w:rsidRPr="0058327D">
              <w:t>Families and caregivers provide a nurturing environment for children:</w:t>
            </w:r>
          </w:p>
          <w:p w14:paraId="7CE69131" w14:textId="77777777" w:rsidR="00D70758" w:rsidRPr="0058327D" w:rsidRDefault="00D70758" w:rsidP="00025030">
            <w:pPr>
              <w:numPr>
                <w:ilvl w:val="1"/>
                <w:numId w:val="53"/>
              </w:numPr>
              <w:spacing w:line="240" w:lineRule="auto"/>
            </w:pPr>
            <w:r w:rsidRPr="0058327D">
              <w:t>Families are resilient and have hope for the future</w:t>
            </w:r>
          </w:p>
          <w:p w14:paraId="345D10FE" w14:textId="77777777" w:rsidR="00D70758" w:rsidRPr="0058327D" w:rsidRDefault="00D70758" w:rsidP="00025030">
            <w:pPr>
              <w:numPr>
                <w:ilvl w:val="1"/>
                <w:numId w:val="53"/>
              </w:numPr>
              <w:spacing w:line="240" w:lineRule="auto"/>
            </w:pPr>
            <w:r w:rsidRPr="0058327D">
              <w:t>Families have positive relationships and social supports</w:t>
            </w:r>
          </w:p>
          <w:p w14:paraId="7161B46A" w14:textId="77777777" w:rsidR="00D70758" w:rsidRPr="0058327D" w:rsidRDefault="00D70758" w:rsidP="00025030">
            <w:pPr>
              <w:numPr>
                <w:ilvl w:val="1"/>
                <w:numId w:val="53"/>
              </w:numPr>
              <w:spacing w:line="240" w:lineRule="auto"/>
            </w:pPr>
            <w:r w:rsidRPr="0058327D">
              <w:lastRenderedPageBreak/>
              <w:t>Children receive recommended health and developmental screenings and are connected to needed services</w:t>
            </w:r>
          </w:p>
          <w:p w14:paraId="4C534609" w14:textId="77777777" w:rsidR="00D70758" w:rsidRPr="0058327D" w:rsidRDefault="00D70758" w:rsidP="00025030">
            <w:pPr>
              <w:numPr>
                <w:ilvl w:val="1"/>
                <w:numId w:val="53"/>
              </w:numPr>
              <w:spacing w:line="240" w:lineRule="auto"/>
            </w:pPr>
            <w:r w:rsidRPr="0058327D">
              <w:t>Parents/caregivers have knowledge of parenting and child development</w:t>
            </w:r>
          </w:p>
          <w:p w14:paraId="31B2A71B" w14:textId="77777777" w:rsidR="00D70758" w:rsidRPr="0058327D" w:rsidRDefault="00D70758" w:rsidP="00025030">
            <w:pPr>
              <w:numPr>
                <w:ilvl w:val="1"/>
                <w:numId w:val="53"/>
              </w:numPr>
              <w:spacing w:line="240" w:lineRule="auto"/>
            </w:pPr>
            <w:r w:rsidRPr="0058327D">
              <w:t>Families have concrete support in times of need</w:t>
            </w:r>
          </w:p>
          <w:p w14:paraId="2DC17680" w14:textId="77777777" w:rsidR="00D70758" w:rsidRPr="0058327D" w:rsidRDefault="00D70758" w:rsidP="00025030">
            <w:pPr>
              <w:numPr>
                <w:ilvl w:val="1"/>
                <w:numId w:val="53"/>
              </w:numPr>
              <w:spacing w:line="240" w:lineRule="auto"/>
            </w:pPr>
            <w:r w:rsidRPr="0058327D">
              <w:t>Children have strong parent/caregiver relationships</w:t>
            </w:r>
          </w:p>
          <w:p w14:paraId="71EBCF1C" w14:textId="77777777" w:rsidR="00D70758" w:rsidRDefault="00D70758" w:rsidP="00D32E80"/>
        </w:tc>
      </w:tr>
      <w:tr w:rsidR="00D70758" w14:paraId="2E602383" w14:textId="77777777" w:rsidTr="00D32E80">
        <w:tc>
          <w:tcPr>
            <w:tcW w:w="9350" w:type="dxa"/>
          </w:tcPr>
          <w:p w14:paraId="75BF6813" w14:textId="77777777" w:rsidR="00D70758" w:rsidRPr="009D75F6" w:rsidRDefault="00D70758" w:rsidP="00D32E80">
            <w:pPr>
              <w:rPr>
                <w:b/>
                <w:bCs/>
              </w:rPr>
            </w:pPr>
            <w:r w:rsidRPr="009D75F6">
              <w:rPr>
                <w:b/>
                <w:bCs/>
              </w:rPr>
              <w:lastRenderedPageBreak/>
              <w:t>5 to 24 years</w:t>
            </w:r>
          </w:p>
          <w:p w14:paraId="4B089484" w14:textId="77777777" w:rsidR="00D70758" w:rsidRPr="0058327D" w:rsidRDefault="00D70758" w:rsidP="00025030">
            <w:pPr>
              <w:numPr>
                <w:ilvl w:val="0"/>
                <w:numId w:val="54"/>
              </w:numPr>
              <w:spacing w:line="240" w:lineRule="auto"/>
            </w:pPr>
            <w:r w:rsidRPr="0058327D">
              <w:t>Youth are physically active</w:t>
            </w:r>
          </w:p>
          <w:p w14:paraId="23367049" w14:textId="77777777" w:rsidR="00D70758" w:rsidRPr="0058327D" w:rsidRDefault="00D70758" w:rsidP="00025030">
            <w:pPr>
              <w:numPr>
                <w:ilvl w:val="0"/>
                <w:numId w:val="54"/>
              </w:numPr>
              <w:spacing w:line="240" w:lineRule="auto"/>
            </w:pPr>
            <w:r w:rsidRPr="0058327D">
              <w:t xml:space="preserve">Youth are not using substances    </w:t>
            </w:r>
          </w:p>
          <w:p w14:paraId="7A7E5C4F" w14:textId="77777777" w:rsidR="00D70758" w:rsidRPr="0058327D" w:rsidRDefault="00D70758" w:rsidP="00025030">
            <w:pPr>
              <w:numPr>
                <w:ilvl w:val="0"/>
                <w:numId w:val="54"/>
              </w:numPr>
              <w:spacing w:line="240" w:lineRule="auto"/>
            </w:pPr>
            <w:r w:rsidRPr="0058327D">
              <w:t>Youth are succeeding in school</w:t>
            </w:r>
          </w:p>
          <w:p w14:paraId="5CA840F4" w14:textId="77777777" w:rsidR="00D70758" w:rsidRPr="0058327D" w:rsidRDefault="00D70758" w:rsidP="00025030">
            <w:pPr>
              <w:numPr>
                <w:ilvl w:val="1"/>
                <w:numId w:val="54"/>
              </w:numPr>
              <w:spacing w:line="240" w:lineRule="auto"/>
            </w:pPr>
            <w:r w:rsidRPr="0058327D">
              <w:t>Youth are not chronically absent from school</w:t>
            </w:r>
          </w:p>
          <w:p w14:paraId="3DD0AD07" w14:textId="77777777" w:rsidR="00D70758" w:rsidRPr="0058327D" w:rsidRDefault="00D70758" w:rsidP="00025030">
            <w:pPr>
              <w:numPr>
                <w:ilvl w:val="1"/>
                <w:numId w:val="54"/>
              </w:numPr>
              <w:spacing w:line="240" w:lineRule="auto"/>
            </w:pPr>
            <w:r w:rsidRPr="0058327D">
              <w:t>Youth are getting good grades in school</w:t>
            </w:r>
          </w:p>
          <w:p w14:paraId="098ABDF6" w14:textId="77777777" w:rsidR="00D70758" w:rsidRPr="0058327D" w:rsidRDefault="00D70758" w:rsidP="00025030">
            <w:pPr>
              <w:numPr>
                <w:ilvl w:val="1"/>
                <w:numId w:val="54"/>
              </w:numPr>
              <w:spacing w:line="240" w:lineRule="auto"/>
            </w:pPr>
            <w:r w:rsidRPr="0058327D">
              <w:t>Schools are not suspending/expelling youth</w:t>
            </w:r>
          </w:p>
          <w:p w14:paraId="2AA646BB" w14:textId="77777777" w:rsidR="00D70758" w:rsidRPr="0058327D" w:rsidRDefault="00D70758" w:rsidP="00025030">
            <w:pPr>
              <w:numPr>
                <w:ilvl w:val="1"/>
                <w:numId w:val="54"/>
              </w:numPr>
              <w:spacing w:line="240" w:lineRule="auto"/>
            </w:pPr>
            <w:r w:rsidRPr="0058327D">
              <w:t>Youth have a career or college credential </w:t>
            </w:r>
          </w:p>
          <w:p w14:paraId="47F44EE5" w14:textId="77777777" w:rsidR="00D70758" w:rsidRPr="0058327D" w:rsidRDefault="00D70758" w:rsidP="00025030">
            <w:pPr>
              <w:numPr>
                <w:ilvl w:val="0"/>
                <w:numId w:val="54"/>
              </w:numPr>
              <w:spacing w:line="240" w:lineRule="auto"/>
            </w:pPr>
            <w:r w:rsidRPr="0058327D">
              <w:t>Youth have hope for the future</w:t>
            </w:r>
          </w:p>
          <w:p w14:paraId="028394AA" w14:textId="2BA36DCC" w:rsidR="00D70758" w:rsidRPr="0058327D" w:rsidRDefault="00D70758" w:rsidP="00025030">
            <w:pPr>
              <w:numPr>
                <w:ilvl w:val="0"/>
                <w:numId w:val="54"/>
              </w:numPr>
              <w:spacing w:line="240" w:lineRule="auto"/>
            </w:pPr>
            <w:r w:rsidRPr="0058327D">
              <w:t>Families, schools</w:t>
            </w:r>
            <w:r w:rsidR="002755CF">
              <w:t>,</w:t>
            </w:r>
            <w:r w:rsidRPr="0058327D">
              <w:t xml:space="preserve"> and communities provide supporting environment for youth</w:t>
            </w:r>
          </w:p>
          <w:p w14:paraId="0CEAFFB3" w14:textId="77777777" w:rsidR="00D70758" w:rsidRDefault="00D70758" w:rsidP="00D32E80"/>
        </w:tc>
      </w:tr>
    </w:tbl>
    <w:p w14:paraId="393F2CE0" w14:textId="666094C1" w:rsidR="00D70758" w:rsidRDefault="00D70758" w:rsidP="00D70758">
      <w:pPr>
        <w:pStyle w:val="paragraph"/>
        <w:rPr>
          <w:rFonts w:eastAsiaTheme="minorEastAsia"/>
        </w:rPr>
      </w:pPr>
    </w:p>
    <w:p w14:paraId="47A9653A" w14:textId="77777777" w:rsidR="00D70758" w:rsidRDefault="00D70758" w:rsidP="00D70758">
      <w:pPr>
        <w:rPr>
          <w:rFonts w:eastAsia="Calibri" w:cs="Arial"/>
          <w:color w:val="2F5496" w:themeColor="accent1" w:themeShade="BF"/>
          <w:sz w:val="28"/>
          <w:szCs w:val="28"/>
        </w:rPr>
      </w:pPr>
    </w:p>
    <w:p w14:paraId="489D4E1E" w14:textId="77777777" w:rsidR="00D70758" w:rsidRDefault="00D70758" w:rsidP="00D70758">
      <w:pPr>
        <w:spacing w:line="240" w:lineRule="auto"/>
        <w:rPr>
          <w:rFonts w:eastAsiaTheme="majorEastAsia" w:cstheme="majorBidi"/>
          <w:color w:val="2F5496" w:themeColor="accent1" w:themeShade="BF"/>
          <w:sz w:val="28"/>
          <w:szCs w:val="28"/>
        </w:rPr>
      </w:pPr>
      <w:r w:rsidRPr="448004B2">
        <w:rPr>
          <w:rFonts w:eastAsiaTheme="majorEastAsia" w:cstheme="majorBidi"/>
          <w:color w:val="2F5496" w:themeColor="accent1" w:themeShade="BF"/>
          <w:sz w:val="28"/>
          <w:szCs w:val="28"/>
        </w:rPr>
        <w:br w:type="page"/>
      </w:r>
    </w:p>
    <w:p w14:paraId="0688906D" w14:textId="77777777" w:rsidR="00D70758" w:rsidRDefault="00D70758" w:rsidP="00025030">
      <w:pPr>
        <w:pStyle w:val="Heading2"/>
        <w:numPr>
          <w:ilvl w:val="0"/>
          <w:numId w:val="56"/>
        </w:numPr>
      </w:pPr>
      <w:bookmarkStart w:id="115" w:name="_Toc75175314"/>
      <w:bookmarkStart w:id="116" w:name="_Toc85188562"/>
      <w:r>
        <w:lastRenderedPageBreak/>
        <w:t>CYAB Governance Board Roster</w:t>
      </w:r>
      <w:bookmarkEnd w:id="115"/>
      <w:bookmarkEnd w:id="116"/>
    </w:p>
    <w:p w14:paraId="40196596" w14:textId="77777777" w:rsidR="00D70758" w:rsidRDefault="00D70758" w:rsidP="00D70758"/>
    <w:p w14:paraId="295B09FA" w14:textId="7CF9CF86" w:rsidR="00D70758" w:rsidRDefault="367569FE" w:rsidP="00D70758">
      <w:r>
        <w:rPr>
          <w:noProof/>
        </w:rPr>
        <w:drawing>
          <wp:inline distT="0" distB="0" distL="0" distR="0" wp14:anchorId="22E5B169" wp14:editId="11F1C684">
            <wp:extent cx="1605280" cy="1052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1605280" cy="1052830"/>
                    </a:xfrm>
                    <a:prstGeom prst="rect">
                      <a:avLst/>
                    </a:prstGeom>
                  </pic:spPr>
                </pic:pic>
              </a:graphicData>
            </a:graphic>
          </wp:inline>
        </w:drawing>
      </w:r>
    </w:p>
    <w:p w14:paraId="249A9789" w14:textId="77777777" w:rsidR="00D70758" w:rsidRDefault="00D70758" w:rsidP="00D70758">
      <w:pPr>
        <w:rPr>
          <w:rFonts w:ascii="Verdana" w:eastAsia="Times New Roman" w:hAnsi="Verdana" w:cs="Arial"/>
          <w:b/>
          <w:bCs/>
          <w:color w:val="23221F"/>
          <w:sz w:val="21"/>
          <w:szCs w:val="21"/>
          <w:lang w:val="en"/>
        </w:rPr>
      </w:pPr>
    </w:p>
    <w:p w14:paraId="59B422D5" w14:textId="06E24D81" w:rsidR="00D70758" w:rsidRDefault="00C857D9" w:rsidP="00D70758">
      <w:pPr>
        <w:rPr>
          <w:rFonts w:ascii="Verdana" w:eastAsia="Times New Roman" w:hAnsi="Verdana" w:cs="Arial"/>
          <w:b/>
          <w:bCs/>
          <w:color w:val="23221F"/>
          <w:sz w:val="21"/>
          <w:szCs w:val="21"/>
          <w:lang w:val="en"/>
        </w:rPr>
      </w:pPr>
      <w:r>
        <w:rPr>
          <w:rFonts w:ascii="Verdana" w:eastAsia="Times New Roman" w:hAnsi="Verdana" w:cs="Arial"/>
          <w:b/>
          <w:bCs/>
          <w:color w:val="23221F"/>
          <w:sz w:val="21"/>
          <w:szCs w:val="21"/>
          <w:lang w:val="en"/>
        </w:rPr>
        <w:t>CHILDREN AND YOUTH ADVISORY</w:t>
      </w:r>
      <w:r w:rsidR="00D70758" w:rsidRPr="00550A53">
        <w:rPr>
          <w:rFonts w:ascii="Verdana" w:eastAsia="Times New Roman" w:hAnsi="Verdana" w:cs="Arial"/>
          <w:b/>
          <w:bCs/>
          <w:color w:val="23221F"/>
          <w:sz w:val="21"/>
          <w:szCs w:val="21"/>
          <w:lang w:val="en"/>
        </w:rPr>
        <w:t xml:space="preserve"> MEMBERS</w:t>
      </w:r>
    </w:p>
    <w:p w14:paraId="6EA92AD4" w14:textId="77777777" w:rsidR="00D70758" w:rsidRPr="0097490D" w:rsidRDefault="00D70758" w:rsidP="00D70758"/>
    <w:tbl>
      <w:tblPr>
        <w:tblStyle w:val="PlainTable3"/>
        <w:tblW w:w="9180" w:type="dxa"/>
        <w:tblLook w:val="04A0" w:firstRow="1" w:lastRow="0" w:firstColumn="1" w:lastColumn="0" w:noHBand="0" w:noVBand="1"/>
      </w:tblPr>
      <w:tblGrid>
        <w:gridCol w:w="3330"/>
        <w:gridCol w:w="5850"/>
      </w:tblGrid>
      <w:tr w:rsidR="00D70758" w:rsidRPr="0061791E" w14:paraId="7A3E0711" w14:textId="77777777" w:rsidTr="00D32E80">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330" w:type="dxa"/>
          </w:tcPr>
          <w:p w14:paraId="6ADD04F8" w14:textId="77777777" w:rsidR="00D70758" w:rsidRPr="007F26AB" w:rsidRDefault="00D70758" w:rsidP="00D32E80">
            <w:pPr>
              <w:spacing w:line="360" w:lineRule="auto"/>
              <w:rPr>
                <w:rFonts w:ascii="Arial Narrow" w:eastAsia="Times New Roman" w:hAnsi="Arial Narrow" w:cs="Calibri"/>
                <w:b w:val="0"/>
                <w:bCs w:val="0"/>
                <w:sz w:val="24"/>
                <w:szCs w:val="24"/>
              </w:rPr>
            </w:pPr>
            <w:r>
              <w:rPr>
                <w:rFonts w:ascii="Arial Narrow" w:eastAsia="Times New Roman" w:hAnsi="Arial Narrow" w:cs="Calibri"/>
                <w:b w:val="0"/>
                <w:bCs w:val="0"/>
                <w:sz w:val="24"/>
                <w:szCs w:val="24"/>
              </w:rPr>
              <w:t>BOARD MEMBER</w:t>
            </w:r>
          </w:p>
        </w:tc>
        <w:tc>
          <w:tcPr>
            <w:tcW w:w="5850" w:type="dxa"/>
          </w:tcPr>
          <w:p w14:paraId="3C1484F9" w14:textId="77777777" w:rsidR="00D70758" w:rsidRPr="007F26AB" w:rsidRDefault="00D70758" w:rsidP="00D32E80">
            <w:pPr>
              <w:spacing w:line="36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 w:val="24"/>
                <w:szCs w:val="24"/>
              </w:rPr>
            </w:pPr>
            <w:r>
              <w:rPr>
                <w:rFonts w:ascii="Arial Narrow" w:eastAsia="Times New Roman" w:hAnsi="Arial Narrow" w:cs="Calibri"/>
                <w:b w:val="0"/>
                <w:bCs w:val="0"/>
                <w:sz w:val="24"/>
                <w:szCs w:val="24"/>
              </w:rPr>
              <w:t>ORGANIZATION</w:t>
            </w:r>
          </w:p>
        </w:tc>
      </w:tr>
      <w:tr w:rsidR="00D70758" w:rsidRPr="0061791E" w14:paraId="4B4A143A"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8A2035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Abigail Echo Hawk</w:t>
            </w:r>
          </w:p>
        </w:tc>
        <w:tc>
          <w:tcPr>
            <w:tcW w:w="5850" w:type="dxa"/>
          </w:tcPr>
          <w:p w14:paraId="3A683871"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Urban Indian Health Institute</w:t>
            </w:r>
          </w:p>
        </w:tc>
      </w:tr>
      <w:tr w:rsidR="00D70758" w:rsidRPr="0061791E" w14:paraId="56DD0DC9"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3F6D25A"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Angela Griffin</w:t>
            </w:r>
          </w:p>
        </w:tc>
        <w:tc>
          <w:tcPr>
            <w:tcW w:w="5850" w:type="dxa"/>
          </w:tcPr>
          <w:p w14:paraId="5EF0CC5E"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Treehouse</w:t>
            </w:r>
          </w:p>
        </w:tc>
      </w:tr>
      <w:tr w:rsidR="00D70758" w:rsidRPr="0061791E" w14:paraId="468AA47C"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966B77A"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Ariana Sherlock</w:t>
            </w:r>
          </w:p>
        </w:tc>
        <w:tc>
          <w:tcPr>
            <w:tcW w:w="5850" w:type="dxa"/>
          </w:tcPr>
          <w:p w14:paraId="7499ACE4"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Sound Cities Association</w:t>
            </w:r>
          </w:p>
        </w:tc>
      </w:tr>
      <w:tr w:rsidR="00D70758" w:rsidRPr="0061791E" w14:paraId="131C81C2"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FD4F40D"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Ben Danielson</w:t>
            </w:r>
          </w:p>
        </w:tc>
        <w:tc>
          <w:tcPr>
            <w:tcW w:w="5850" w:type="dxa"/>
          </w:tcPr>
          <w:p w14:paraId="37A369BE"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University of Washington</w:t>
            </w:r>
          </w:p>
        </w:tc>
      </w:tr>
      <w:tr w:rsidR="00D70758" w:rsidRPr="0061791E" w14:paraId="4DE095AE"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7AA99E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Beth Larsen</w:t>
            </w:r>
          </w:p>
        </w:tc>
        <w:tc>
          <w:tcPr>
            <w:tcW w:w="5850" w:type="dxa"/>
          </w:tcPr>
          <w:p w14:paraId="76DE6BF5"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P</w:t>
            </w:r>
            <w:r>
              <w:rPr>
                <w:rFonts w:ascii="Arial Narrow" w:eastAsia="Times New Roman" w:hAnsi="Arial Narrow" w:cs="Calibri"/>
                <w:sz w:val="24"/>
                <w:szCs w:val="24"/>
              </w:rPr>
              <w:t>uget Sound Educational Service District</w:t>
            </w:r>
          </w:p>
        </w:tc>
      </w:tr>
      <w:tr w:rsidR="00D70758" w:rsidRPr="0061791E" w14:paraId="03826138"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BDB21D5" w14:textId="77777777" w:rsidR="00D70758" w:rsidRPr="0061791E" w:rsidRDefault="00D70758" w:rsidP="00D32E80">
            <w:pPr>
              <w:spacing w:line="360" w:lineRule="auto"/>
              <w:rPr>
                <w:rFonts w:ascii="Arial Narrow" w:eastAsia="Times New Roman" w:hAnsi="Arial Narrow" w:cs="Calibri"/>
                <w:sz w:val="24"/>
                <w:szCs w:val="24"/>
              </w:rPr>
            </w:pPr>
            <w:r w:rsidRPr="1A9B0F04">
              <w:rPr>
                <w:rFonts w:ascii="Arial Narrow" w:eastAsia="Times New Roman" w:hAnsi="Arial Narrow" w:cs="Calibri"/>
                <w:sz w:val="24"/>
                <w:szCs w:val="24"/>
              </w:rPr>
              <w:t>BobbIe</w:t>
            </w:r>
            <w:r w:rsidRPr="0061791E">
              <w:rPr>
                <w:rFonts w:ascii="Arial Narrow" w:eastAsia="Times New Roman" w:hAnsi="Arial Narrow" w:cs="Calibri"/>
                <w:sz w:val="24"/>
                <w:szCs w:val="24"/>
              </w:rPr>
              <w:t xml:space="preserve"> Bridge</w:t>
            </w:r>
          </w:p>
        </w:tc>
        <w:tc>
          <w:tcPr>
            <w:tcW w:w="5850" w:type="dxa"/>
          </w:tcPr>
          <w:p w14:paraId="60ADB840"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Center for Children &amp; Youth Justice</w:t>
            </w:r>
          </w:p>
        </w:tc>
      </w:tr>
      <w:tr w:rsidR="00D70758" w:rsidRPr="0061791E" w14:paraId="28C48258"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BD85F6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Brian Saelens</w:t>
            </w:r>
          </w:p>
        </w:tc>
        <w:tc>
          <w:tcPr>
            <w:tcW w:w="5850" w:type="dxa"/>
          </w:tcPr>
          <w:p w14:paraId="76D01BB9"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1B0E3265">
              <w:rPr>
                <w:rFonts w:ascii="Arial Narrow" w:eastAsia="Times New Roman" w:hAnsi="Arial Narrow" w:cs="Calibri"/>
                <w:sz w:val="24"/>
                <w:szCs w:val="24"/>
              </w:rPr>
              <w:t xml:space="preserve">Seattle </w:t>
            </w:r>
            <w:r w:rsidRPr="007F26AB">
              <w:rPr>
                <w:rFonts w:ascii="Arial Narrow" w:eastAsia="Times New Roman" w:hAnsi="Arial Narrow" w:cs="Calibri"/>
                <w:sz w:val="24"/>
                <w:szCs w:val="24"/>
              </w:rPr>
              <w:t>Children's Research Institute</w:t>
            </w:r>
          </w:p>
        </w:tc>
      </w:tr>
      <w:tr w:rsidR="00D70758" w:rsidRPr="0061791E" w14:paraId="58886102"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5C92072"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Brianna Granad</w:t>
            </w:r>
            <w:r>
              <w:rPr>
                <w:rFonts w:ascii="Arial Narrow" w:eastAsia="Times New Roman" w:hAnsi="Arial Narrow" w:cs="Calibri"/>
                <w:sz w:val="24"/>
                <w:szCs w:val="24"/>
              </w:rPr>
              <w:t>o</w:t>
            </w:r>
            <w:r w:rsidRPr="0061791E">
              <w:rPr>
                <w:rFonts w:ascii="Arial Narrow" w:eastAsia="Times New Roman" w:hAnsi="Arial Narrow" w:cs="Calibri"/>
                <w:sz w:val="24"/>
                <w:szCs w:val="24"/>
              </w:rPr>
              <w:t xml:space="preserve"> Holden</w:t>
            </w:r>
          </w:p>
        </w:tc>
        <w:tc>
          <w:tcPr>
            <w:tcW w:w="5850" w:type="dxa"/>
          </w:tcPr>
          <w:p w14:paraId="5FEE6AE9"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University of Washington</w:t>
            </w:r>
          </w:p>
        </w:tc>
      </w:tr>
      <w:tr w:rsidR="00D70758" w:rsidRPr="0061791E" w14:paraId="7FA263CD"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02FE66F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Corbin Muck</w:t>
            </w:r>
          </w:p>
        </w:tc>
        <w:tc>
          <w:tcPr>
            <w:tcW w:w="5850" w:type="dxa"/>
          </w:tcPr>
          <w:p w14:paraId="74BFDD86"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Tiny Trees Preschool</w:t>
            </w:r>
          </w:p>
        </w:tc>
      </w:tr>
      <w:tr w:rsidR="00D70758" w:rsidRPr="0061791E" w14:paraId="583EA73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3DBA5A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Debbie Peterson</w:t>
            </w:r>
          </w:p>
        </w:tc>
        <w:tc>
          <w:tcPr>
            <w:tcW w:w="5850" w:type="dxa"/>
          </w:tcPr>
          <w:p w14:paraId="6C6E22EC"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Federal Way Community Connections</w:t>
            </w:r>
          </w:p>
        </w:tc>
      </w:tr>
      <w:tr w:rsidR="00D70758" w:rsidRPr="0061791E" w14:paraId="0A70763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6A240B2"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Ed Marcuse</w:t>
            </w:r>
          </w:p>
        </w:tc>
        <w:tc>
          <w:tcPr>
            <w:tcW w:w="5850" w:type="dxa"/>
          </w:tcPr>
          <w:p w14:paraId="4998EAB1"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Seattle Children's</w:t>
            </w:r>
            <w:r>
              <w:rPr>
                <w:rFonts w:ascii="Arial Narrow" w:eastAsia="Times New Roman" w:hAnsi="Arial Narrow" w:cs="Calibri"/>
                <w:sz w:val="24"/>
                <w:szCs w:val="24"/>
              </w:rPr>
              <w:t xml:space="preserve"> Hospital</w:t>
            </w:r>
          </w:p>
        </w:tc>
      </w:tr>
      <w:tr w:rsidR="00D70758" w:rsidRPr="0061791E" w14:paraId="5E9B3CA5"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7742E18"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Harlan Gallinger</w:t>
            </w:r>
          </w:p>
        </w:tc>
        <w:tc>
          <w:tcPr>
            <w:tcW w:w="5850" w:type="dxa"/>
          </w:tcPr>
          <w:p w14:paraId="5F1909D6"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Mary Bridge Children's</w:t>
            </w:r>
            <w:r>
              <w:rPr>
                <w:rFonts w:ascii="Arial Narrow" w:eastAsia="Times New Roman" w:hAnsi="Arial Narrow" w:cs="Calibri"/>
                <w:sz w:val="24"/>
                <w:szCs w:val="24"/>
              </w:rPr>
              <w:t xml:space="preserve"> </w:t>
            </w:r>
            <w:r w:rsidRPr="008D0714">
              <w:rPr>
                <w:rFonts w:ascii="Arial Narrow" w:eastAsia="Times New Roman" w:hAnsi="Arial Narrow" w:cs="Calibri"/>
                <w:sz w:val="24"/>
                <w:szCs w:val="24"/>
              </w:rPr>
              <w:t>Hospital</w:t>
            </w:r>
          </w:p>
        </w:tc>
      </w:tr>
      <w:tr w:rsidR="00D70758" w:rsidRPr="0061791E" w14:paraId="06F7072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047260FC"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Helena Stephens</w:t>
            </w:r>
          </w:p>
        </w:tc>
        <w:tc>
          <w:tcPr>
            <w:tcW w:w="5850" w:type="dxa"/>
          </w:tcPr>
          <w:p w14:paraId="32FF4B43"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 xml:space="preserve">City of </w:t>
            </w:r>
            <w:r w:rsidRPr="1A9B0F04">
              <w:rPr>
                <w:rFonts w:ascii="Arial Narrow" w:eastAsia="Times New Roman" w:hAnsi="Arial Narrow" w:cs="Calibri"/>
                <w:sz w:val="24"/>
                <w:szCs w:val="24"/>
              </w:rPr>
              <w:t>Bellevue</w:t>
            </w:r>
          </w:p>
        </w:tc>
      </w:tr>
      <w:tr w:rsidR="00D70758" w:rsidRPr="0061791E" w14:paraId="61E9AFA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DDA5DC0"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Hikma Sherka</w:t>
            </w:r>
          </w:p>
        </w:tc>
        <w:tc>
          <w:tcPr>
            <w:tcW w:w="5850" w:type="dxa"/>
          </w:tcPr>
          <w:p w14:paraId="4D4B6EE2"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South Seattle College</w:t>
            </w:r>
          </w:p>
        </w:tc>
      </w:tr>
      <w:tr w:rsidR="00D70758" w:rsidRPr="0061791E" w14:paraId="45201DF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D04E53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Hye-Kyung Kang</w:t>
            </w:r>
          </w:p>
        </w:tc>
        <w:tc>
          <w:tcPr>
            <w:tcW w:w="5850" w:type="dxa"/>
          </w:tcPr>
          <w:p w14:paraId="1FDB8F96"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Seattle University</w:t>
            </w:r>
          </w:p>
        </w:tc>
      </w:tr>
      <w:tr w:rsidR="00D70758" w:rsidRPr="0061791E" w14:paraId="120B1869" w14:textId="77777777" w:rsidTr="00D32E80">
        <w:trPr>
          <w:trHeight w:val="330"/>
        </w:trPr>
        <w:tc>
          <w:tcPr>
            <w:cnfStyle w:val="001000000000" w:firstRow="0" w:lastRow="0" w:firstColumn="1" w:lastColumn="0" w:oddVBand="0" w:evenVBand="0" w:oddHBand="0" w:evenHBand="0" w:firstRowFirstColumn="0" w:firstRowLastColumn="0" w:lastRowFirstColumn="0" w:lastRowLastColumn="0"/>
            <w:tcW w:w="3330" w:type="dxa"/>
            <w:hideMark/>
          </w:tcPr>
          <w:p w14:paraId="7C2AA0E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Jaimée Marsh</w:t>
            </w:r>
          </w:p>
        </w:tc>
        <w:tc>
          <w:tcPr>
            <w:tcW w:w="5850" w:type="dxa"/>
          </w:tcPr>
          <w:p w14:paraId="0A6CFBF8"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FEEST</w:t>
            </w:r>
          </w:p>
        </w:tc>
      </w:tr>
      <w:tr w:rsidR="00D70758" w:rsidRPr="0061791E" w14:paraId="0FA60A7E"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EB43A47"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Jessica Werner*</w:t>
            </w:r>
          </w:p>
        </w:tc>
        <w:tc>
          <w:tcPr>
            <w:tcW w:w="5850" w:type="dxa"/>
          </w:tcPr>
          <w:p w14:paraId="732C903B"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YDEKC</w:t>
            </w:r>
          </w:p>
        </w:tc>
      </w:tr>
      <w:tr w:rsidR="00D70758" w:rsidRPr="0061791E" w14:paraId="1C534ED7"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6FED3C57"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Karen Hart</w:t>
            </w:r>
          </w:p>
        </w:tc>
        <w:tc>
          <w:tcPr>
            <w:tcW w:w="5850" w:type="dxa"/>
          </w:tcPr>
          <w:p w14:paraId="7B30DB20"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SEI</w:t>
            </w:r>
            <w:r>
              <w:rPr>
                <w:rFonts w:ascii="Arial Narrow" w:eastAsia="Times New Roman" w:hAnsi="Arial Narrow" w:cs="Calibri"/>
                <w:sz w:val="24"/>
                <w:szCs w:val="24"/>
              </w:rPr>
              <w:t>U</w:t>
            </w:r>
            <w:r w:rsidRPr="008D0714">
              <w:rPr>
                <w:rFonts w:ascii="Arial Narrow" w:eastAsia="Times New Roman" w:hAnsi="Arial Narrow" w:cs="Calibri"/>
                <w:sz w:val="24"/>
                <w:szCs w:val="24"/>
              </w:rPr>
              <w:t xml:space="preserve"> Local 925</w:t>
            </w:r>
          </w:p>
        </w:tc>
      </w:tr>
      <w:tr w:rsidR="00D70758" w:rsidRPr="0061791E" w14:paraId="2E13EB31"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3045D74"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Karen Howe</w:t>
            </w:r>
          </w:p>
        </w:tc>
        <w:tc>
          <w:tcPr>
            <w:tcW w:w="5850" w:type="dxa"/>
          </w:tcPr>
          <w:p w14:paraId="198212B2"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King County District Court</w:t>
            </w:r>
          </w:p>
        </w:tc>
      </w:tr>
      <w:tr w:rsidR="00D70758" w:rsidRPr="0061791E" w14:paraId="25555125"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D3276F0"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Mutende Katambo</w:t>
            </w:r>
          </w:p>
        </w:tc>
        <w:tc>
          <w:tcPr>
            <w:tcW w:w="5850" w:type="dxa"/>
          </w:tcPr>
          <w:p w14:paraId="2409C19C"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Coalition for Refugees</w:t>
            </w:r>
            <w:r>
              <w:rPr>
                <w:rFonts w:ascii="Arial Narrow" w:eastAsia="Times New Roman" w:hAnsi="Arial Narrow" w:cs="Calibri"/>
                <w:sz w:val="24"/>
                <w:szCs w:val="24"/>
              </w:rPr>
              <w:t xml:space="preserve"> from Burma</w:t>
            </w:r>
          </w:p>
        </w:tc>
      </w:tr>
      <w:tr w:rsidR="00D70758" w:rsidRPr="0061791E" w14:paraId="69D8A7EC"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516B94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Mohamed Abdi</w:t>
            </w:r>
          </w:p>
        </w:tc>
        <w:tc>
          <w:tcPr>
            <w:tcW w:w="5850" w:type="dxa"/>
          </w:tcPr>
          <w:p w14:paraId="63CDD105"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 xml:space="preserve">Youth Position </w:t>
            </w:r>
          </w:p>
        </w:tc>
      </w:tr>
      <w:tr w:rsidR="00D70758" w:rsidRPr="0061791E" w14:paraId="256E36E9"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7AEF349"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lastRenderedPageBreak/>
              <w:t>Nancy Woodland</w:t>
            </w:r>
          </w:p>
        </w:tc>
        <w:tc>
          <w:tcPr>
            <w:tcW w:w="5850" w:type="dxa"/>
          </w:tcPr>
          <w:p w14:paraId="4DB7F63C" w14:textId="2E8B9DA3"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Ampers</w:t>
            </w:r>
            <w:r w:rsidR="00C35661">
              <w:rPr>
                <w:rFonts w:ascii="Arial Narrow" w:eastAsia="Times New Roman" w:hAnsi="Arial Narrow" w:cs="Calibri"/>
                <w:sz w:val="24"/>
                <w:szCs w:val="24"/>
              </w:rPr>
              <w:t>and Community, LLC</w:t>
            </w:r>
          </w:p>
        </w:tc>
      </w:tr>
      <w:tr w:rsidR="00D70758" w:rsidRPr="0061791E" w14:paraId="3CA5F33B"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03D5DB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Nathan Buck</w:t>
            </w:r>
          </w:p>
        </w:tc>
        <w:tc>
          <w:tcPr>
            <w:tcW w:w="5850" w:type="dxa"/>
          </w:tcPr>
          <w:p w14:paraId="1D4008FF"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Neighborhood House</w:t>
            </w:r>
          </w:p>
        </w:tc>
      </w:tr>
      <w:tr w:rsidR="00D70758" w:rsidRPr="0061791E" w14:paraId="4D3A77C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570FB0C"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Nebiyu Yassin</w:t>
            </w:r>
          </w:p>
        </w:tc>
        <w:tc>
          <w:tcPr>
            <w:tcW w:w="5850" w:type="dxa"/>
          </w:tcPr>
          <w:p w14:paraId="1A5BC252"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Youth Position</w:t>
            </w:r>
          </w:p>
        </w:tc>
      </w:tr>
      <w:tr w:rsidR="00D70758" w:rsidRPr="0061791E" w14:paraId="19A0E15A"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7125C78"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Rita Alcantara</w:t>
            </w:r>
          </w:p>
        </w:tc>
        <w:tc>
          <w:tcPr>
            <w:tcW w:w="5850" w:type="dxa"/>
          </w:tcPr>
          <w:p w14:paraId="76724A7F"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Kindering</w:t>
            </w:r>
          </w:p>
        </w:tc>
      </w:tr>
      <w:tr w:rsidR="00D70758" w:rsidRPr="0061791E" w14:paraId="299B98DC"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BF1ECD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Robyn Mulenga</w:t>
            </w:r>
          </w:p>
        </w:tc>
        <w:tc>
          <w:tcPr>
            <w:tcW w:w="5850" w:type="dxa"/>
          </w:tcPr>
          <w:p w14:paraId="1B19032D"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Sound Cities Association</w:t>
            </w:r>
          </w:p>
        </w:tc>
      </w:tr>
      <w:tr w:rsidR="00D70758" w:rsidRPr="0061791E" w14:paraId="14CFCB1E"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143FCA6"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Rochelle Clayton Strunk</w:t>
            </w:r>
          </w:p>
        </w:tc>
        <w:tc>
          <w:tcPr>
            <w:tcW w:w="5850" w:type="dxa"/>
          </w:tcPr>
          <w:p w14:paraId="38404625"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Encompass Early Lea</w:t>
            </w:r>
            <w:r>
              <w:rPr>
                <w:rFonts w:ascii="Arial Narrow" w:eastAsia="Times New Roman" w:hAnsi="Arial Narrow" w:cs="Calibri"/>
                <w:sz w:val="24"/>
                <w:szCs w:val="24"/>
              </w:rPr>
              <w:t>rning Center</w:t>
            </w:r>
          </w:p>
        </w:tc>
      </w:tr>
      <w:tr w:rsidR="00D70758" w:rsidRPr="0061791E" w14:paraId="382675E8"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02AFF0EE"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Suzette Espinoza Cruz</w:t>
            </w:r>
          </w:p>
        </w:tc>
        <w:tc>
          <w:tcPr>
            <w:tcW w:w="5850" w:type="dxa"/>
          </w:tcPr>
          <w:p w14:paraId="32BA8253"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Department of Education and Early Le</w:t>
            </w:r>
            <w:r>
              <w:rPr>
                <w:rFonts w:ascii="Arial Narrow" w:eastAsia="Times New Roman" w:hAnsi="Arial Narrow" w:cs="Calibri"/>
                <w:sz w:val="24"/>
                <w:szCs w:val="24"/>
              </w:rPr>
              <w:t>arning</w:t>
            </w:r>
          </w:p>
        </w:tc>
      </w:tr>
      <w:tr w:rsidR="00D70758" w:rsidRPr="0061791E" w14:paraId="0ACC55E1"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686284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Tanya Kim</w:t>
            </w:r>
          </w:p>
        </w:tc>
        <w:tc>
          <w:tcPr>
            <w:tcW w:w="5850" w:type="dxa"/>
          </w:tcPr>
          <w:p w14:paraId="53C36A28"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Seattle Humans Services Department</w:t>
            </w:r>
          </w:p>
        </w:tc>
      </w:tr>
      <w:tr w:rsidR="00D70758" w:rsidRPr="0061791E" w14:paraId="5D2F6B4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C0747F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Thien-Di Do</w:t>
            </w:r>
          </w:p>
        </w:tc>
        <w:tc>
          <w:tcPr>
            <w:tcW w:w="5850" w:type="dxa"/>
          </w:tcPr>
          <w:p w14:paraId="1E5FD307"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Rwanda Girls Initiative</w:t>
            </w:r>
          </w:p>
        </w:tc>
      </w:tr>
      <w:tr w:rsidR="00D70758" w:rsidRPr="0061791E" w14:paraId="11B3026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F33D51D"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Thomas Bales</w:t>
            </w:r>
          </w:p>
        </w:tc>
        <w:tc>
          <w:tcPr>
            <w:tcW w:w="5850" w:type="dxa"/>
          </w:tcPr>
          <w:p w14:paraId="0283B492"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National School Organizing Strategy</w:t>
            </w:r>
          </w:p>
        </w:tc>
      </w:tr>
      <w:tr w:rsidR="00D70758" w:rsidRPr="0061791E" w14:paraId="3C6B093E"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B70208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Tobey Close</w:t>
            </w:r>
          </w:p>
        </w:tc>
        <w:tc>
          <w:tcPr>
            <w:tcW w:w="5850" w:type="dxa"/>
          </w:tcPr>
          <w:p w14:paraId="379DD116"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Kindering</w:t>
            </w:r>
          </w:p>
        </w:tc>
      </w:tr>
    </w:tbl>
    <w:p w14:paraId="714E579A" w14:textId="77777777" w:rsidR="00D70758" w:rsidRPr="00AA4477" w:rsidRDefault="00D70758" w:rsidP="00D70758"/>
    <w:p w14:paraId="6583A51B" w14:textId="77777777" w:rsidR="00D70758" w:rsidRDefault="00D70758" w:rsidP="00D70758">
      <w:pPr>
        <w:spacing w:line="240" w:lineRule="auto"/>
        <w:rPr>
          <w:rFonts w:eastAsiaTheme="majorEastAsia" w:cstheme="majorBidi"/>
          <w:color w:val="002060"/>
          <w:sz w:val="24"/>
          <w:szCs w:val="24"/>
        </w:rPr>
      </w:pPr>
      <w:r>
        <w:br w:type="page"/>
      </w:r>
    </w:p>
    <w:p w14:paraId="0661E7E3" w14:textId="77777777" w:rsidR="00D70758" w:rsidRDefault="00D70758" w:rsidP="00025030">
      <w:pPr>
        <w:pStyle w:val="Heading2"/>
        <w:numPr>
          <w:ilvl w:val="0"/>
          <w:numId w:val="56"/>
        </w:numPr>
      </w:pPr>
      <w:bookmarkStart w:id="117" w:name="_Toc75175315"/>
      <w:bookmarkStart w:id="118" w:name="_Toc85188563"/>
      <w:r>
        <w:lastRenderedPageBreak/>
        <w:t>COO Governance Group Roster</w:t>
      </w:r>
      <w:bookmarkEnd w:id="117"/>
      <w:bookmarkEnd w:id="118"/>
    </w:p>
    <w:p w14:paraId="68E8A276" w14:textId="77777777" w:rsidR="00EA3650" w:rsidRPr="00EA3650" w:rsidRDefault="00EA3650" w:rsidP="00EA3650"/>
    <w:p w14:paraId="7509923B" w14:textId="169B3095" w:rsidR="00D70758" w:rsidRPr="00073169" w:rsidRDefault="367569FE" w:rsidP="00D70758">
      <w:r>
        <w:rPr>
          <w:noProof/>
        </w:rPr>
        <w:drawing>
          <wp:inline distT="0" distB="0" distL="0" distR="0" wp14:anchorId="70408A6C" wp14:editId="4DE1ACF7">
            <wp:extent cx="2534822" cy="1074709"/>
            <wp:effectExtent l="0" t="0" r="0" b="0"/>
            <wp:docPr id="16" name="Picture 16" descr="Macintosh HD:private:var:folders:r2:61j0vxds1292m21b1m6r7yhh0000gn:T:TemporaryItems:communities-of-opport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534822" cy="1074709"/>
                    </a:xfrm>
                    <a:prstGeom prst="rect">
                      <a:avLst/>
                    </a:prstGeom>
                  </pic:spPr>
                </pic:pic>
              </a:graphicData>
            </a:graphic>
          </wp:inline>
        </w:drawing>
      </w:r>
    </w:p>
    <w:p w14:paraId="0B3BC611" w14:textId="46828718" w:rsidR="00D70758" w:rsidRDefault="00D70758" w:rsidP="00D70758">
      <w:pPr>
        <w:rPr>
          <w:rFonts w:ascii="Verdana" w:eastAsia="Times New Roman" w:hAnsi="Verdana" w:cs="Arial"/>
          <w:b/>
          <w:bCs/>
          <w:color w:val="23221F"/>
          <w:sz w:val="21"/>
          <w:szCs w:val="21"/>
          <w:lang w:val="en"/>
        </w:rPr>
      </w:pPr>
      <w:r w:rsidRPr="5C1001DE">
        <w:rPr>
          <w:rFonts w:ascii="Verdana" w:eastAsia="Times New Roman" w:hAnsi="Verdana" w:cs="Arial"/>
          <w:b/>
          <w:bCs/>
          <w:color w:val="23221F"/>
          <w:sz w:val="21"/>
          <w:szCs w:val="21"/>
          <w:lang w:val="en"/>
        </w:rPr>
        <w:t>GOVERNANCE GROUP MEMBERS</w:t>
      </w:r>
      <w:r w:rsidR="00EF7493">
        <w:rPr>
          <w:rStyle w:val="FootnoteReference"/>
          <w:rFonts w:ascii="Verdana" w:eastAsia="Times New Roman" w:hAnsi="Verdana" w:cs="Arial"/>
          <w:b/>
          <w:bCs/>
          <w:color w:val="23221F"/>
          <w:sz w:val="21"/>
          <w:szCs w:val="21"/>
          <w:lang w:val="en"/>
        </w:rPr>
        <w:footnoteReference w:id="263"/>
      </w:r>
    </w:p>
    <w:p w14:paraId="0F2A2B8F" w14:textId="77777777" w:rsidR="00D70758" w:rsidRPr="00073169" w:rsidRDefault="00D70758" w:rsidP="00D70758"/>
    <w:tbl>
      <w:tblPr>
        <w:tblStyle w:val="TableGrid"/>
        <w:tblW w:w="103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8"/>
        <w:gridCol w:w="4140"/>
        <w:gridCol w:w="3780"/>
      </w:tblGrid>
      <w:tr w:rsidR="00D70758" w:rsidRPr="00550A53" w14:paraId="64418B3A" w14:textId="77777777" w:rsidTr="00D32E80">
        <w:tc>
          <w:tcPr>
            <w:tcW w:w="2448" w:type="dxa"/>
            <w:tcBorders>
              <w:top w:val="nil"/>
              <w:bottom w:val="single" w:sz="4" w:space="0" w:color="auto"/>
              <w:right w:val="single" w:sz="4" w:space="0" w:color="auto"/>
            </w:tcBorders>
          </w:tcPr>
          <w:p w14:paraId="5FD5B4F6" w14:textId="77777777" w:rsidR="00D70758" w:rsidRPr="00966039" w:rsidRDefault="00D70758" w:rsidP="00D32E80">
            <w:pPr>
              <w:shd w:val="clear" w:color="auto" w:fill="FFFFFF"/>
              <w:rPr>
                <w:rFonts w:asciiTheme="majorHAnsi" w:eastAsia="Times New Roman" w:hAnsiTheme="majorHAnsi" w:cs="Arial"/>
                <w:b/>
                <w:bCs/>
                <w:color w:val="23221F"/>
                <w:sz w:val="18"/>
                <w:szCs w:val="18"/>
                <w:lang w:val="en"/>
              </w:rPr>
            </w:pPr>
            <w:r w:rsidRPr="00966039">
              <w:rPr>
                <w:rFonts w:asciiTheme="majorHAnsi" w:eastAsia="Times New Roman" w:hAnsiTheme="majorHAnsi" w:cs="Arial"/>
                <w:b/>
                <w:bCs/>
                <w:color w:val="23221F"/>
                <w:sz w:val="18"/>
                <w:szCs w:val="18"/>
                <w:lang w:val="en"/>
              </w:rPr>
              <w:t>A.J. McClure</w:t>
            </w:r>
          </w:p>
        </w:tc>
        <w:tc>
          <w:tcPr>
            <w:tcW w:w="4140" w:type="dxa"/>
            <w:tcBorders>
              <w:top w:val="nil"/>
              <w:left w:val="single" w:sz="4" w:space="0" w:color="auto"/>
              <w:bottom w:val="single" w:sz="4" w:space="0" w:color="auto"/>
            </w:tcBorders>
          </w:tcPr>
          <w:p w14:paraId="248C1B0F"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2DF6D23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Global to Local*</w:t>
            </w:r>
          </w:p>
        </w:tc>
        <w:tc>
          <w:tcPr>
            <w:tcW w:w="3780" w:type="dxa"/>
            <w:tcBorders>
              <w:top w:val="nil"/>
              <w:left w:val="nil"/>
              <w:bottom w:val="single" w:sz="4" w:space="0" w:color="auto"/>
            </w:tcBorders>
          </w:tcPr>
          <w:p w14:paraId="70EA36B4"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 &amp; SeaTac/Tukwila Partnership</w:t>
            </w:r>
          </w:p>
        </w:tc>
      </w:tr>
      <w:tr w:rsidR="00D70758" w:rsidRPr="00550A53" w14:paraId="4E116C4F" w14:textId="77777777" w:rsidTr="00D32E80">
        <w:tc>
          <w:tcPr>
            <w:tcW w:w="2448" w:type="dxa"/>
            <w:tcBorders>
              <w:right w:val="single" w:sz="4" w:space="0" w:color="auto"/>
            </w:tcBorders>
          </w:tcPr>
          <w:p w14:paraId="41872961"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Deanna Dawson</w:t>
            </w:r>
          </w:p>
        </w:tc>
        <w:tc>
          <w:tcPr>
            <w:tcW w:w="4140" w:type="dxa"/>
            <w:tcBorders>
              <w:top w:val="single" w:sz="4" w:space="0" w:color="auto"/>
              <w:left w:val="single" w:sz="4" w:space="0" w:color="auto"/>
              <w:bottom w:val="single" w:sz="4" w:space="0" w:color="auto"/>
            </w:tcBorders>
          </w:tcPr>
          <w:p w14:paraId="794B4AFF"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588913E5"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Sound Cities Association*</w:t>
            </w:r>
          </w:p>
        </w:tc>
        <w:tc>
          <w:tcPr>
            <w:tcW w:w="3780" w:type="dxa"/>
            <w:tcBorders>
              <w:top w:val="single" w:sz="4" w:space="0" w:color="auto"/>
              <w:left w:val="nil"/>
              <w:bottom w:val="single" w:sz="4" w:space="0" w:color="auto"/>
            </w:tcBorders>
          </w:tcPr>
          <w:p w14:paraId="1DCD0A64"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p w14:paraId="5E145BC5"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3B012BF3" w14:textId="77777777" w:rsidTr="00D32E80">
        <w:tc>
          <w:tcPr>
            <w:tcW w:w="2448" w:type="dxa"/>
            <w:tcBorders>
              <w:right w:val="single" w:sz="4" w:space="0" w:color="auto"/>
            </w:tcBorders>
          </w:tcPr>
          <w:p w14:paraId="0D74E114"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Jenn Ramirez Robson</w:t>
            </w:r>
          </w:p>
        </w:tc>
        <w:tc>
          <w:tcPr>
            <w:tcW w:w="4140" w:type="dxa"/>
            <w:tcBorders>
              <w:top w:val="single" w:sz="4" w:space="0" w:color="auto"/>
              <w:left w:val="single" w:sz="4" w:space="0" w:color="auto"/>
              <w:bottom w:val="single" w:sz="4" w:space="0" w:color="auto"/>
            </w:tcBorders>
          </w:tcPr>
          <w:p w14:paraId="57EB6F97"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Director of Resident Services</w:t>
            </w:r>
          </w:p>
          <w:p w14:paraId="7E24DDF3"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King County Housing Authority*</w:t>
            </w:r>
          </w:p>
        </w:tc>
        <w:tc>
          <w:tcPr>
            <w:tcW w:w="3780" w:type="dxa"/>
            <w:tcBorders>
              <w:top w:val="single" w:sz="4" w:space="0" w:color="auto"/>
              <w:left w:val="nil"/>
              <w:bottom w:val="single" w:sz="4" w:space="0" w:color="auto"/>
            </w:tcBorders>
          </w:tcPr>
          <w:p w14:paraId="6763BB45"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781439FA"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1F8AFA7E" w14:textId="77777777" w:rsidTr="00D32E80">
        <w:tc>
          <w:tcPr>
            <w:tcW w:w="2448" w:type="dxa"/>
            <w:tcBorders>
              <w:right w:val="single" w:sz="4" w:space="0" w:color="auto"/>
            </w:tcBorders>
          </w:tcPr>
          <w:p w14:paraId="36FFD422"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Matelita Jackson</w:t>
            </w:r>
          </w:p>
        </w:tc>
        <w:tc>
          <w:tcPr>
            <w:tcW w:w="4140" w:type="dxa"/>
            <w:tcBorders>
              <w:top w:val="single" w:sz="4" w:space="0" w:color="auto"/>
              <w:left w:val="single" w:sz="4" w:space="0" w:color="auto"/>
              <w:bottom w:val="single" w:sz="4" w:space="0" w:color="auto"/>
            </w:tcBorders>
          </w:tcPr>
          <w:p w14:paraId="0F79E17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SE Network Director</w:t>
            </w:r>
          </w:p>
          <w:p w14:paraId="51CA4B4C"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Boys &amp; Girls Club of King County</w:t>
            </w:r>
          </w:p>
        </w:tc>
        <w:tc>
          <w:tcPr>
            <w:tcW w:w="3780" w:type="dxa"/>
            <w:tcBorders>
              <w:top w:val="single" w:sz="4" w:space="0" w:color="auto"/>
              <w:left w:val="nil"/>
              <w:bottom w:val="single" w:sz="4" w:space="0" w:color="auto"/>
            </w:tcBorders>
          </w:tcPr>
          <w:p w14:paraId="58B772A2"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10B58A65"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43E838F9" w14:textId="77777777" w:rsidTr="00D32E80">
        <w:tc>
          <w:tcPr>
            <w:tcW w:w="2448" w:type="dxa"/>
            <w:tcBorders>
              <w:right w:val="single" w:sz="4" w:space="0" w:color="auto"/>
            </w:tcBorders>
          </w:tcPr>
          <w:p w14:paraId="31B87749"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Lydia Assefa-Dawson</w:t>
            </w:r>
          </w:p>
        </w:tc>
        <w:tc>
          <w:tcPr>
            <w:tcW w:w="4140" w:type="dxa"/>
            <w:tcBorders>
              <w:top w:val="single" w:sz="4" w:space="0" w:color="auto"/>
              <w:left w:val="single" w:sz="4" w:space="0" w:color="auto"/>
              <w:bottom w:val="single" w:sz="4" w:space="0" w:color="auto"/>
            </w:tcBorders>
          </w:tcPr>
          <w:p w14:paraId="0CC4F84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Housing Program Coordinator</w:t>
            </w:r>
          </w:p>
          <w:p w14:paraId="7B7462B9"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King County Housing Authority*</w:t>
            </w:r>
          </w:p>
        </w:tc>
        <w:tc>
          <w:tcPr>
            <w:tcW w:w="3780" w:type="dxa"/>
            <w:tcBorders>
              <w:top w:val="single" w:sz="4" w:space="0" w:color="auto"/>
              <w:left w:val="nil"/>
              <w:bottom w:val="single" w:sz="4" w:space="0" w:color="auto"/>
            </w:tcBorders>
          </w:tcPr>
          <w:p w14:paraId="3AFC4B3E"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7BDF630F"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21A1DA52" w14:textId="77777777" w:rsidTr="00D32E80">
        <w:tc>
          <w:tcPr>
            <w:tcW w:w="2448" w:type="dxa"/>
            <w:tcBorders>
              <w:right w:val="single" w:sz="4" w:space="0" w:color="auto"/>
            </w:tcBorders>
          </w:tcPr>
          <w:p w14:paraId="3EDE927B"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Marguerite Ro</w:t>
            </w:r>
          </w:p>
        </w:tc>
        <w:tc>
          <w:tcPr>
            <w:tcW w:w="4140" w:type="dxa"/>
            <w:tcBorders>
              <w:top w:val="single" w:sz="4" w:space="0" w:color="auto"/>
              <w:left w:val="single" w:sz="4" w:space="0" w:color="auto"/>
              <w:bottom w:val="single" w:sz="4" w:space="0" w:color="auto"/>
            </w:tcBorders>
          </w:tcPr>
          <w:p w14:paraId="7BA65358" w14:textId="77777777" w:rsidR="00D70758" w:rsidRPr="00966039" w:rsidRDefault="00D70758" w:rsidP="00D32E80">
            <w:pPr>
              <w:shd w:val="clear" w:color="auto" w:fill="FFFFFF"/>
              <w:rPr>
                <w:rFonts w:asciiTheme="majorHAnsi" w:hAnsiTheme="majorHAnsi"/>
                <w:color w:val="525252" w:themeColor="accent3" w:themeShade="80"/>
                <w:sz w:val="18"/>
                <w:szCs w:val="18"/>
              </w:rPr>
            </w:pPr>
            <w:r w:rsidRPr="00966039">
              <w:rPr>
                <w:rFonts w:asciiTheme="majorHAnsi" w:hAnsiTheme="majorHAnsi"/>
                <w:color w:val="525252" w:themeColor="accent3" w:themeShade="80"/>
                <w:sz w:val="18"/>
                <w:szCs w:val="18"/>
              </w:rPr>
              <w:t>Chief of Assessment, Policy Development &amp; Evaluation</w:t>
            </w:r>
          </w:p>
          <w:p w14:paraId="36D84EEE"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Public Health - Seattle &amp; King County*</w:t>
            </w:r>
          </w:p>
        </w:tc>
        <w:tc>
          <w:tcPr>
            <w:tcW w:w="3780" w:type="dxa"/>
            <w:tcBorders>
              <w:top w:val="single" w:sz="4" w:space="0" w:color="auto"/>
              <w:left w:val="nil"/>
              <w:bottom w:val="single" w:sz="4" w:space="0" w:color="auto"/>
            </w:tcBorders>
          </w:tcPr>
          <w:p w14:paraId="2358D2F6"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King County Executive Representative</w:t>
            </w:r>
          </w:p>
        </w:tc>
      </w:tr>
      <w:tr w:rsidR="00D70758" w:rsidRPr="00550A53" w14:paraId="6B17A641" w14:textId="77777777" w:rsidTr="00D32E80">
        <w:tc>
          <w:tcPr>
            <w:tcW w:w="2448" w:type="dxa"/>
            <w:tcBorders>
              <w:right w:val="single" w:sz="4" w:space="0" w:color="auto"/>
            </w:tcBorders>
          </w:tcPr>
          <w:p w14:paraId="5941430B"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Michael Brown</w:t>
            </w:r>
          </w:p>
        </w:tc>
        <w:tc>
          <w:tcPr>
            <w:tcW w:w="4140" w:type="dxa"/>
            <w:tcBorders>
              <w:top w:val="single" w:sz="4" w:space="0" w:color="auto"/>
              <w:left w:val="single" w:sz="4" w:space="0" w:color="auto"/>
              <w:bottom w:val="single" w:sz="4" w:space="0" w:color="auto"/>
            </w:tcBorders>
          </w:tcPr>
          <w:p w14:paraId="37B5F33C"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Chief Architect</w:t>
            </w:r>
          </w:p>
          <w:p w14:paraId="5A411066"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Civic Commons*</w:t>
            </w:r>
          </w:p>
        </w:tc>
        <w:tc>
          <w:tcPr>
            <w:tcW w:w="3780" w:type="dxa"/>
            <w:tcBorders>
              <w:top w:val="single" w:sz="4" w:space="0" w:color="auto"/>
              <w:left w:val="nil"/>
              <w:bottom w:val="single" w:sz="4" w:space="0" w:color="auto"/>
            </w:tcBorders>
          </w:tcPr>
          <w:p w14:paraId="0D1EFD76"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Seattle Foundation Appointment</w:t>
            </w:r>
          </w:p>
          <w:p w14:paraId="78EE5AA0"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7AA7AD1E" w14:textId="77777777" w:rsidTr="00D32E80">
        <w:tc>
          <w:tcPr>
            <w:tcW w:w="2448" w:type="dxa"/>
            <w:tcBorders>
              <w:right w:val="single" w:sz="4" w:space="0" w:color="auto"/>
            </w:tcBorders>
          </w:tcPr>
          <w:p w14:paraId="05520ED1"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Paola Maranan</w:t>
            </w:r>
          </w:p>
        </w:tc>
        <w:tc>
          <w:tcPr>
            <w:tcW w:w="4140" w:type="dxa"/>
            <w:tcBorders>
              <w:top w:val="single" w:sz="4" w:space="0" w:color="auto"/>
              <w:left w:val="single" w:sz="4" w:space="0" w:color="auto"/>
              <w:bottom w:val="single" w:sz="4" w:space="0" w:color="auto"/>
            </w:tcBorders>
          </w:tcPr>
          <w:p w14:paraId="380F1D8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Owner/Principal Consultant</w:t>
            </w:r>
          </w:p>
          <w:p w14:paraId="36EB8C78"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ArcBend Consulting*</w:t>
            </w:r>
          </w:p>
        </w:tc>
        <w:tc>
          <w:tcPr>
            <w:tcW w:w="3780" w:type="dxa"/>
            <w:tcBorders>
              <w:top w:val="single" w:sz="4" w:space="0" w:color="auto"/>
              <w:left w:val="nil"/>
              <w:bottom w:val="single" w:sz="4" w:space="0" w:color="auto"/>
            </w:tcBorders>
          </w:tcPr>
          <w:p w14:paraId="0578B0B0"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021F024B"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A6674D" w14:paraId="5B2126E7" w14:textId="77777777" w:rsidTr="00D32E80">
        <w:tc>
          <w:tcPr>
            <w:tcW w:w="2448" w:type="dxa"/>
            <w:tcBorders>
              <w:right w:val="single" w:sz="4" w:space="0" w:color="auto"/>
            </w:tcBorders>
          </w:tcPr>
          <w:p w14:paraId="0DA948BF" w14:textId="77777777" w:rsidR="00D70758" w:rsidRPr="00966039" w:rsidRDefault="00D70758" w:rsidP="00D32E80">
            <w:pPr>
              <w:shd w:val="clear" w:color="auto" w:fill="FFFFFF"/>
              <w:rPr>
                <w:rFonts w:asciiTheme="majorHAnsi" w:eastAsia="Times New Roman" w:hAnsiTheme="majorHAnsi" w:cs="Arial"/>
                <w:b/>
                <w:bCs/>
                <w:color w:val="23221F"/>
                <w:sz w:val="18"/>
                <w:szCs w:val="18"/>
                <w:lang w:val="en"/>
              </w:rPr>
            </w:pPr>
            <w:r w:rsidRPr="00966039">
              <w:rPr>
                <w:rFonts w:asciiTheme="majorHAnsi" w:eastAsia="Times New Roman" w:hAnsiTheme="majorHAnsi" w:cs="Arial"/>
                <w:b/>
                <w:bCs/>
                <w:color w:val="23221F"/>
                <w:sz w:val="18"/>
                <w:szCs w:val="18"/>
                <w:lang w:val="en"/>
              </w:rPr>
              <w:t>Vazaskia Crockrell</w:t>
            </w:r>
          </w:p>
        </w:tc>
        <w:tc>
          <w:tcPr>
            <w:tcW w:w="4140" w:type="dxa"/>
            <w:tcBorders>
              <w:top w:val="single" w:sz="4" w:space="0" w:color="auto"/>
              <w:left w:val="single" w:sz="4" w:space="0" w:color="auto"/>
              <w:bottom w:val="single" w:sz="4" w:space="0" w:color="auto"/>
            </w:tcBorders>
          </w:tcPr>
          <w:p w14:paraId="325880B5"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Equity &amp; Social Justice Director</w:t>
            </w:r>
          </w:p>
          <w:p w14:paraId="084E77E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King County Council*</w:t>
            </w:r>
          </w:p>
        </w:tc>
        <w:tc>
          <w:tcPr>
            <w:tcW w:w="3780" w:type="dxa"/>
            <w:tcBorders>
              <w:top w:val="single" w:sz="4" w:space="0" w:color="auto"/>
              <w:left w:val="nil"/>
              <w:bottom w:val="single" w:sz="4" w:space="0" w:color="auto"/>
            </w:tcBorders>
          </w:tcPr>
          <w:p w14:paraId="455970DD"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King County Council Representative</w:t>
            </w:r>
          </w:p>
          <w:p w14:paraId="134BB9BC"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A6674D" w14:paraId="3BFA489D" w14:textId="77777777" w:rsidTr="00D32E80">
        <w:tc>
          <w:tcPr>
            <w:tcW w:w="2448" w:type="dxa"/>
            <w:tcBorders>
              <w:top w:val="single" w:sz="4" w:space="0" w:color="auto"/>
              <w:bottom w:val="single" w:sz="4" w:space="0" w:color="auto"/>
              <w:right w:val="single" w:sz="4" w:space="0" w:color="auto"/>
            </w:tcBorders>
          </w:tcPr>
          <w:p w14:paraId="21DE624F"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Sili Savusa</w:t>
            </w:r>
          </w:p>
        </w:tc>
        <w:tc>
          <w:tcPr>
            <w:tcW w:w="4140" w:type="dxa"/>
            <w:tcBorders>
              <w:top w:val="single" w:sz="4" w:space="0" w:color="auto"/>
              <w:left w:val="single" w:sz="4" w:space="0" w:color="auto"/>
              <w:bottom w:val="single" w:sz="4" w:space="0" w:color="auto"/>
              <w:right w:val="single" w:sz="4" w:space="0" w:color="auto"/>
            </w:tcBorders>
          </w:tcPr>
          <w:p w14:paraId="6B6E23DF"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7B632489"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White Center CDA*</w:t>
            </w:r>
          </w:p>
        </w:tc>
        <w:tc>
          <w:tcPr>
            <w:tcW w:w="3780" w:type="dxa"/>
            <w:tcBorders>
              <w:top w:val="single" w:sz="4" w:space="0" w:color="auto"/>
              <w:left w:val="single" w:sz="4" w:space="0" w:color="auto"/>
              <w:bottom w:val="single" w:sz="4" w:space="0" w:color="auto"/>
            </w:tcBorders>
          </w:tcPr>
          <w:p w14:paraId="257D85CC"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 &amp;</w:t>
            </w:r>
          </w:p>
          <w:p w14:paraId="5B82977C"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White Center Partnership</w:t>
            </w:r>
          </w:p>
        </w:tc>
      </w:tr>
      <w:tr w:rsidR="00D70758" w:rsidRPr="00A6674D" w14:paraId="6C2156AD" w14:textId="77777777" w:rsidTr="00D32E80">
        <w:tc>
          <w:tcPr>
            <w:tcW w:w="2448" w:type="dxa"/>
            <w:tcBorders>
              <w:top w:val="single" w:sz="4" w:space="0" w:color="auto"/>
              <w:left w:val="nil"/>
              <w:bottom w:val="single" w:sz="4" w:space="0" w:color="auto"/>
              <w:right w:val="single" w:sz="4" w:space="0" w:color="auto"/>
            </w:tcBorders>
          </w:tcPr>
          <w:p w14:paraId="0BC07D57"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Tony To</w:t>
            </w:r>
          </w:p>
        </w:tc>
        <w:tc>
          <w:tcPr>
            <w:tcW w:w="4140" w:type="dxa"/>
            <w:tcBorders>
              <w:top w:val="single" w:sz="4" w:space="0" w:color="auto"/>
              <w:left w:val="single" w:sz="4" w:space="0" w:color="auto"/>
              <w:bottom w:val="single" w:sz="4" w:space="0" w:color="auto"/>
              <w:right w:val="single" w:sz="4" w:space="0" w:color="auto"/>
            </w:tcBorders>
          </w:tcPr>
          <w:p w14:paraId="72951EF6"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Director Emeritus &amp; Othello Square Project Director</w:t>
            </w:r>
          </w:p>
          <w:p w14:paraId="5DD1B196"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HomeSight*</w:t>
            </w:r>
          </w:p>
        </w:tc>
        <w:tc>
          <w:tcPr>
            <w:tcW w:w="3780" w:type="dxa"/>
            <w:tcBorders>
              <w:top w:val="single" w:sz="4" w:space="0" w:color="auto"/>
              <w:left w:val="single" w:sz="4" w:space="0" w:color="auto"/>
              <w:bottom w:val="single" w:sz="4" w:space="0" w:color="auto"/>
            </w:tcBorders>
          </w:tcPr>
          <w:p w14:paraId="5096A8D3"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3ED77E9E"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A6674D" w14:paraId="0BB430B1" w14:textId="77777777" w:rsidTr="00D32E80">
        <w:tc>
          <w:tcPr>
            <w:tcW w:w="2448" w:type="dxa"/>
            <w:tcBorders>
              <w:top w:val="single" w:sz="4" w:space="0" w:color="auto"/>
              <w:bottom w:val="single" w:sz="4" w:space="0" w:color="auto"/>
            </w:tcBorders>
          </w:tcPr>
          <w:p w14:paraId="56071E89" w14:textId="77777777" w:rsidR="00D70758" w:rsidRPr="00966039" w:rsidRDefault="00D70758" w:rsidP="00D32E80">
            <w:pPr>
              <w:shd w:val="clear" w:color="auto" w:fill="FFFFFF"/>
              <w:spacing w:line="360" w:lineRule="auto"/>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Ubax Gardheere</w:t>
            </w:r>
          </w:p>
        </w:tc>
        <w:tc>
          <w:tcPr>
            <w:tcW w:w="4140" w:type="dxa"/>
            <w:tcBorders>
              <w:top w:val="single" w:sz="4" w:space="0" w:color="auto"/>
              <w:bottom w:val="single" w:sz="4" w:space="0" w:color="auto"/>
            </w:tcBorders>
          </w:tcPr>
          <w:p w14:paraId="6A2B58FD"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Equitable Development Manager</w:t>
            </w:r>
          </w:p>
          <w:p w14:paraId="1C01DF58"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Seattle Office of Planning &amp; Community Development*</w:t>
            </w:r>
          </w:p>
        </w:tc>
        <w:tc>
          <w:tcPr>
            <w:tcW w:w="3780" w:type="dxa"/>
            <w:tcBorders>
              <w:top w:val="single" w:sz="4" w:space="0" w:color="auto"/>
              <w:bottom w:val="single" w:sz="4" w:space="0" w:color="auto"/>
            </w:tcBorders>
          </w:tcPr>
          <w:p w14:paraId="0EE1E8FF" w14:textId="77777777" w:rsidR="00D70758" w:rsidRPr="00966039" w:rsidRDefault="00D70758" w:rsidP="00D32E80">
            <w:pPr>
              <w:shd w:val="clear" w:color="auto" w:fill="FFFFFF"/>
              <w:spacing w:line="360" w:lineRule="auto"/>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tc>
      </w:tr>
      <w:tr w:rsidR="00D70758" w:rsidRPr="00A6674D" w14:paraId="151AAEA2" w14:textId="77777777" w:rsidTr="00D32E80">
        <w:tc>
          <w:tcPr>
            <w:tcW w:w="2448" w:type="dxa"/>
            <w:tcBorders>
              <w:top w:val="single" w:sz="4" w:space="0" w:color="auto"/>
            </w:tcBorders>
          </w:tcPr>
          <w:p w14:paraId="1ABCB6AB" w14:textId="77777777" w:rsidR="00D70758" w:rsidRPr="00966039" w:rsidRDefault="00D70758" w:rsidP="00D32E80">
            <w:pPr>
              <w:shd w:val="clear" w:color="auto" w:fill="FFFFFF"/>
              <w:spacing w:line="360" w:lineRule="auto"/>
              <w:rPr>
                <w:rFonts w:asciiTheme="majorHAnsi" w:eastAsia="Times New Roman" w:hAnsiTheme="majorHAnsi" w:cs="Arial"/>
                <w:b/>
                <w:bCs/>
                <w:color w:val="23221F"/>
                <w:sz w:val="18"/>
                <w:szCs w:val="18"/>
                <w:lang w:val="en"/>
              </w:rPr>
            </w:pPr>
            <w:r w:rsidRPr="00966039">
              <w:rPr>
                <w:rFonts w:asciiTheme="majorHAnsi" w:eastAsia="Times New Roman" w:hAnsiTheme="majorHAnsi" w:cs="Arial"/>
                <w:b/>
                <w:bCs/>
                <w:color w:val="23221F"/>
                <w:sz w:val="18"/>
                <w:szCs w:val="18"/>
                <w:lang w:val="en"/>
              </w:rPr>
              <w:t>Yordanos Teferi</w:t>
            </w:r>
          </w:p>
        </w:tc>
        <w:tc>
          <w:tcPr>
            <w:tcW w:w="4140" w:type="dxa"/>
            <w:tcBorders>
              <w:top w:val="single" w:sz="4" w:space="0" w:color="auto"/>
            </w:tcBorders>
          </w:tcPr>
          <w:p w14:paraId="54B872B8"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4315EA5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Multicultural Community Coalition*</w:t>
            </w:r>
          </w:p>
        </w:tc>
        <w:tc>
          <w:tcPr>
            <w:tcW w:w="3780" w:type="dxa"/>
            <w:tcBorders>
              <w:top w:val="single" w:sz="4" w:space="0" w:color="auto"/>
            </w:tcBorders>
          </w:tcPr>
          <w:p w14:paraId="3ACAE75D"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 &amp; Rainier Valley Partnership</w:t>
            </w:r>
          </w:p>
        </w:tc>
      </w:tr>
    </w:tbl>
    <w:p w14:paraId="3BAA3A25" w14:textId="77777777" w:rsidR="00D70758" w:rsidRDefault="00D70758" w:rsidP="00D70758">
      <w:pPr>
        <w:rPr>
          <w:rFonts w:ascii="Arial" w:hAnsi="Arial" w:cs="Arial"/>
          <w:i/>
          <w:sz w:val="20"/>
          <w:szCs w:val="20"/>
        </w:rPr>
      </w:pPr>
      <w:r>
        <w:rPr>
          <w:rFonts w:ascii="Arial" w:hAnsi="Arial" w:cs="Arial"/>
          <w:i/>
          <w:sz w:val="20"/>
          <w:szCs w:val="20"/>
        </w:rPr>
        <w:t>*Affiliation is listed for information purpose only. Unless noted, individual Governance Group members are not representing an organization or group.</w:t>
      </w:r>
    </w:p>
    <w:p w14:paraId="18904C0E" w14:textId="6D3FB5FC" w:rsidR="00BB5B4A" w:rsidRDefault="00D70758" w:rsidP="00D70758">
      <w:pPr>
        <w:rPr>
          <w:rFonts w:ascii="Arial" w:hAnsi="Arial" w:cs="Arial"/>
          <w:i/>
          <w:sz w:val="20"/>
          <w:szCs w:val="20"/>
        </w:rPr>
        <w:sectPr w:rsidR="00BB5B4A" w:rsidSect="00CA63D9">
          <w:pgSz w:w="12240" w:h="15840" w:code="1"/>
          <w:pgMar w:top="1440" w:right="1440" w:bottom="1440" w:left="1440" w:header="720" w:footer="720" w:gutter="0"/>
          <w:cols w:space="720"/>
          <w:titlePg/>
          <w:docGrid w:linePitch="360"/>
        </w:sectPr>
      </w:pPr>
      <w:r w:rsidRPr="004952C5">
        <w:rPr>
          <w:rFonts w:ascii="Arial" w:hAnsi="Arial" w:cs="Arial"/>
          <w:i/>
          <w:sz w:val="20"/>
          <w:szCs w:val="20"/>
        </w:rPr>
        <w:t>“Community representatives” are members who reflect demographic characteristics of the communities that qualify for funding and are grassroots organizers in those communities; or activists in those communities; or live in those communities; or have worked in those communiti</w:t>
      </w:r>
      <w:r>
        <w:rPr>
          <w:rFonts w:ascii="Arial" w:hAnsi="Arial" w:cs="Arial"/>
          <w:i/>
          <w:sz w:val="20"/>
          <w:szCs w:val="20"/>
        </w:rPr>
        <w:t>e</w:t>
      </w:r>
      <w:r w:rsidR="00727FE6">
        <w:rPr>
          <w:rFonts w:ascii="Arial" w:hAnsi="Arial" w:cs="Arial"/>
          <w:i/>
          <w:sz w:val="20"/>
          <w:szCs w:val="20"/>
        </w:rPr>
        <w:t>s.</w:t>
      </w:r>
      <w:bookmarkStart w:id="119" w:name="_Toc75175316"/>
    </w:p>
    <w:p w14:paraId="6B8AD7CD" w14:textId="37EADE16" w:rsidR="00D70758" w:rsidRDefault="00D70758" w:rsidP="00025030">
      <w:pPr>
        <w:pStyle w:val="Heading2"/>
        <w:numPr>
          <w:ilvl w:val="0"/>
          <w:numId w:val="56"/>
        </w:numPr>
      </w:pPr>
      <w:bookmarkStart w:id="120" w:name="_Fiscal_Detail"/>
      <w:bookmarkStart w:id="121" w:name="_Fiscal_Detail_on"/>
      <w:bookmarkStart w:id="122" w:name="_Toc85188564"/>
      <w:bookmarkEnd w:id="120"/>
      <w:bookmarkEnd w:id="121"/>
      <w:r w:rsidRPr="001C1451">
        <w:lastRenderedPageBreak/>
        <w:t>Fiscal Detail</w:t>
      </w:r>
      <w:bookmarkEnd w:id="119"/>
      <w:r w:rsidR="00A662FE">
        <w:t xml:space="preserve"> on Operating Investments</w:t>
      </w:r>
      <w:bookmarkEnd w:id="122"/>
    </w:p>
    <w:p w14:paraId="567FD772" w14:textId="77777777" w:rsidR="006F0E28" w:rsidRPr="006F0E28" w:rsidRDefault="006F0E28" w:rsidP="00D75A8A">
      <w:pPr>
        <w:rPr>
          <w:highlight w:val="lightGray"/>
        </w:rPr>
      </w:pPr>
    </w:p>
    <w:p w14:paraId="4728B7BA" w14:textId="36928BB7" w:rsidR="00B90716" w:rsidRDefault="003A6336" w:rsidP="007D3E9E">
      <w:pPr>
        <w:sectPr w:rsidR="00B90716" w:rsidSect="00CA63D9">
          <w:pgSz w:w="15840" w:h="12240" w:orient="landscape" w:code="1"/>
          <w:pgMar w:top="720" w:right="720" w:bottom="720" w:left="720" w:header="720" w:footer="720" w:gutter="0"/>
          <w:cols w:space="720"/>
          <w:titlePg/>
          <w:docGrid w:linePitch="360"/>
        </w:sectPr>
      </w:pPr>
      <w:bookmarkStart w:id="123" w:name="_Toc75175317"/>
      <w:r>
        <w:rPr>
          <w:noProof/>
        </w:rPr>
        <w:drawing>
          <wp:inline distT="0" distB="0" distL="0" distR="0" wp14:anchorId="48D4F537" wp14:editId="65C31B5B">
            <wp:extent cx="9144000" cy="4213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0" cy="4213860"/>
                    </a:xfrm>
                    <a:prstGeom prst="rect">
                      <a:avLst/>
                    </a:prstGeom>
                  </pic:spPr>
                </pic:pic>
              </a:graphicData>
            </a:graphic>
          </wp:inline>
        </w:drawing>
      </w:r>
    </w:p>
    <w:p w14:paraId="3C419E72" w14:textId="3C7ADDE5" w:rsidR="00D70758" w:rsidRPr="001C1451" w:rsidRDefault="00D70758" w:rsidP="00025030">
      <w:pPr>
        <w:pStyle w:val="Heading2"/>
        <w:numPr>
          <w:ilvl w:val="0"/>
          <w:numId w:val="56"/>
        </w:numPr>
      </w:pPr>
      <w:bookmarkStart w:id="124" w:name="_Procurement_and_Financial"/>
      <w:bookmarkStart w:id="125" w:name="_Toc85188565"/>
      <w:bookmarkEnd w:id="124"/>
      <w:r w:rsidRPr="001C1451">
        <w:lastRenderedPageBreak/>
        <w:t xml:space="preserve">Procurement </w:t>
      </w:r>
      <w:r w:rsidR="7B2847C0">
        <w:t xml:space="preserve">and Financial </w:t>
      </w:r>
      <w:r w:rsidRPr="001C1451">
        <w:t>Policies</w:t>
      </w:r>
      <w:bookmarkEnd w:id="123"/>
      <w:bookmarkEnd w:id="125"/>
    </w:p>
    <w:p w14:paraId="3C684751" w14:textId="77777777" w:rsidR="00D70758" w:rsidRDefault="00D70758" w:rsidP="00D70758"/>
    <w:p w14:paraId="0784C858" w14:textId="13431875" w:rsidR="00D70758" w:rsidRPr="00275918" w:rsidRDefault="00D70758" w:rsidP="00D70758">
      <w:pPr>
        <w:rPr>
          <w:b/>
          <w:bCs/>
        </w:rPr>
      </w:pPr>
      <w:r w:rsidRPr="00354EFE">
        <w:rPr>
          <w:b/>
          <w:i/>
        </w:rPr>
        <w:t>Best Starts</w:t>
      </w:r>
      <w:r w:rsidRPr="00275918">
        <w:rPr>
          <w:b/>
          <w:bCs/>
        </w:rPr>
        <w:t xml:space="preserve"> </w:t>
      </w:r>
      <w:r w:rsidRPr="00354EFE">
        <w:rPr>
          <w:b/>
          <w:i/>
        </w:rPr>
        <w:t>for Kids</w:t>
      </w:r>
      <w:r w:rsidRPr="00275918">
        <w:rPr>
          <w:b/>
          <w:bCs/>
        </w:rPr>
        <w:t xml:space="preserve"> Procurement and Fi</w:t>
      </w:r>
      <w:r w:rsidR="00EF51EA">
        <w:rPr>
          <w:b/>
          <w:bCs/>
        </w:rPr>
        <w:t>nancial</w:t>
      </w:r>
      <w:r w:rsidRPr="00275918">
        <w:rPr>
          <w:b/>
          <w:bCs/>
        </w:rPr>
        <w:t xml:space="preserve"> Policies</w:t>
      </w:r>
    </w:p>
    <w:p w14:paraId="3993EC79" w14:textId="77777777" w:rsidR="00A177B8" w:rsidRDefault="00A177B8" w:rsidP="00D70758">
      <w:pPr>
        <w:rPr>
          <w:b/>
          <w:bCs/>
        </w:rPr>
      </w:pPr>
    </w:p>
    <w:p w14:paraId="6CB8D63B" w14:textId="45B26519" w:rsidR="00A177B8" w:rsidRPr="004B537D" w:rsidRDefault="00A177B8" w:rsidP="00D70758">
      <w:r w:rsidRPr="004B537D">
        <w:t xml:space="preserve">The following procurement and financial policies </w:t>
      </w:r>
      <w:r w:rsidR="006C6205">
        <w:t xml:space="preserve">will guide the </w:t>
      </w:r>
      <w:r w:rsidR="001A2207">
        <w:t xml:space="preserve">work </w:t>
      </w:r>
      <w:r w:rsidR="00A33EAE">
        <w:t xml:space="preserve">of </w:t>
      </w:r>
      <w:r w:rsidR="001A2207" w:rsidRPr="00CC5FED">
        <w:rPr>
          <w:i/>
          <w:iCs/>
        </w:rPr>
        <w:t>Best Starts.</w:t>
      </w:r>
      <w:r w:rsidR="001A2207">
        <w:t xml:space="preserve">  </w:t>
      </w:r>
    </w:p>
    <w:p w14:paraId="53BBE70F" w14:textId="25A58070" w:rsidR="00CB1A3A" w:rsidRPr="004B537D" w:rsidRDefault="00CB1A3A" w:rsidP="00D70758"/>
    <w:p w14:paraId="71F26827" w14:textId="1E33C95A" w:rsidR="00D70758" w:rsidRDefault="00D70758" w:rsidP="00025030">
      <w:pPr>
        <w:pStyle w:val="ListParagraph"/>
        <w:numPr>
          <w:ilvl w:val="0"/>
          <w:numId w:val="57"/>
        </w:numPr>
      </w:pPr>
      <w:r>
        <w:t>No amendment shall extend the duration of any contract more than three additional years. Each new contract shall be of no more than three years</w:t>
      </w:r>
      <w:r w:rsidR="000778E4">
        <w:t xml:space="preserve"> in</w:t>
      </w:r>
      <w:r>
        <w:t xml:space="preserve"> duration. </w:t>
      </w:r>
    </w:p>
    <w:p w14:paraId="7B929521" w14:textId="25A58070" w:rsidR="00D70758" w:rsidRDefault="00D70758" w:rsidP="00D70758"/>
    <w:p w14:paraId="417001A8" w14:textId="25A58070" w:rsidR="00D70758" w:rsidRDefault="00D70758" w:rsidP="00025030">
      <w:pPr>
        <w:pStyle w:val="ListParagraph"/>
        <w:numPr>
          <w:ilvl w:val="0"/>
          <w:numId w:val="57"/>
        </w:numPr>
      </w:pPr>
      <w:r>
        <w:t xml:space="preserve">No new contract may be awarded unless the Executive has invited all councilmembers to designate council district staff to participate in the workgroups that have been or will be assembled to develop the implementation approach for the strategies outlined in approved the </w:t>
      </w:r>
      <w:r w:rsidRPr="00354EFE">
        <w:rPr>
          <w:i/>
        </w:rPr>
        <w:t>Best Starts</w:t>
      </w:r>
      <w:r>
        <w:t xml:space="preserve"> </w:t>
      </w:r>
      <w:r w:rsidRPr="00354EFE">
        <w:rPr>
          <w:i/>
        </w:rPr>
        <w:t>for Kids</w:t>
      </w:r>
      <w:r>
        <w:t xml:space="preserve"> Implementation Plan, except that invitation to a workgroup is not required for those strategies for which the executive determines no workgroup will be established.</w:t>
      </w:r>
    </w:p>
    <w:p w14:paraId="00FC6ED0" w14:textId="77777777" w:rsidR="00D70758" w:rsidRDefault="00D70758" w:rsidP="00D70758"/>
    <w:p w14:paraId="6F33E0CD" w14:textId="2298D8DE" w:rsidR="00D70758" w:rsidRDefault="00D70758" w:rsidP="00025030">
      <w:pPr>
        <w:pStyle w:val="ListParagraph"/>
        <w:numPr>
          <w:ilvl w:val="0"/>
          <w:numId w:val="57"/>
        </w:numPr>
      </w:pPr>
      <w:r>
        <w:t xml:space="preserve">For each new contract that is competitively procured, the Executive shall invite all councilmembers to designate council district staff to participate in the procurement process. The participation shall include the opportunity for any designated council district staff to be included as nonvoting members of the selection panel for each contract to be competitively procured. As a nonvoting member of a selection panel, any designated council district staff shall have access to all materials received by proposers or bidders as part of the procurement process or created as part of the selection process, the authority to attend and participate in all selection panel meetings, including those at which proposers or bidders are interviewed and the authority to participate in the selection panel's deliberations regarding award of any competitively procured contract. </w:t>
      </w:r>
    </w:p>
    <w:p w14:paraId="3443FE01" w14:textId="77777777" w:rsidR="00D70758" w:rsidRDefault="00D70758" w:rsidP="00D70758"/>
    <w:p w14:paraId="2F74302D" w14:textId="3DC2DFD3" w:rsidR="00D70758" w:rsidRDefault="00D70758" w:rsidP="00025030">
      <w:pPr>
        <w:pStyle w:val="ListParagraph"/>
        <w:numPr>
          <w:ilvl w:val="0"/>
          <w:numId w:val="57"/>
        </w:numPr>
      </w:pPr>
      <w:r>
        <w:t xml:space="preserve">For each new contract that is competitively procured, the </w:t>
      </w:r>
      <w:r w:rsidR="00D43CEA">
        <w:t>E</w:t>
      </w:r>
      <w:r>
        <w:t>xecutive shall invite the children and youth advisory board, established by Ordinance 18217</w:t>
      </w:r>
      <w:r w:rsidR="00300046">
        <w:t>,</w:t>
      </w:r>
      <w:r w:rsidR="00A41DE0">
        <w:rPr>
          <w:rStyle w:val="FootnoteReference"/>
        </w:rPr>
        <w:footnoteReference w:id="264"/>
      </w:r>
      <w:r>
        <w:t xml:space="preserve"> to select a member or members to be included on the selection panel for each contract. If the children and youth advisory board selects a member or members to participate, the participation shall be as full members of the selection panel, including voting rights. </w:t>
      </w:r>
    </w:p>
    <w:p w14:paraId="1768F096" w14:textId="77777777" w:rsidR="00D70758" w:rsidRDefault="00D70758" w:rsidP="00D70758"/>
    <w:p w14:paraId="2FE273D9" w14:textId="7B60FB81" w:rsidR="00D70758" w:rsidRDefault="00D70758" w:rsidP="00025030">
      <w:pPr>
        <w:pStyle w:val="ListParagraph"/>
        <w:numPr>
          <w:ilvl w:val="0"/>
          <w:numId w:val="57"/>
        </w:numPr>
      </w:pPr>
      <w:r>
        <w:t>No new competitively procured contract may be awarded unless, before notifying the selected contractor of its award, the Executive notifies each councilmember by email of the impending award, including the name of the contract and the selected contractor. The email notice to councilmembers must occur no less than one business day before the executive notifies the selected contractor of the award.</w:t>
      </w:r>
    </w:p>
    <w:p w14:paraId="1D831F01" w14:textId="77777777" w:rsidR="00D70758" w:rsidRDefault="00D70758" w:rsidP="00D70758">
      <w:pPr>
        <w:pStyle w:val="ListParagraph"/>
      </w:pPr>
    </w:p>
    <w:p w14:paraId="4A4934AA" w14:textId="64C68D4A" w:rsidR="00D70758" w:rsidRDefault="00D70758" w:rsidP="00025030">
      <w:pPr>
        <w:pStyle w:val="ListParagraph"/>
        <w:numPr>
          <w:ilvl w:val="0"/>
          <w:numId w:val="57"/>
        </w:numPr>
      </w:pPr>
      <w:r>
        <w:t>As with all operating funds, budget does not automatically carry forward to the next biennium. Unspent budget may be requested as carryforward in the following biennium via an omnibus supplemental ordinance, only in such cases where it is already committed via contract, M</w:t>
      </w:r>
      <w:r w:rsidR="009D0A12">
        <w:t xml:space="preserve">emorandum </w:t>
      </w:r>
      <w:r>
        <w:t>O</w:t>
      </w:r>
      <w:r w:rsidR="009D0A12">
        <w:t xml:space="preserve">f </w:t>
      </w:r>
      <w:r>
        <w:t>A</w:t>
      </w:r>
      <w:r w:rsidR="009D0A12">
        <w:t>greement</w:t>
      </w:r>
      <w:r>
        <w:t>, M</w:t>
      </w:r>
      <w:r w:rsidR="009D0A12">
        <w:t xml:space="preserve">emorandum </w:t>
      </w:r>
      <w:r>
        <w:t>O</w:t>
      </w:r>
      <w:r w:rsidR="009D0A12">
        <w:t xml:space="preserve">f </w:t>
      </w:r>
      <w:r>
        <w:t>U</w:t>
      </w:r>
      <w:r w:rsidR="009D0A12">
        <w:t>nderstanding</w:t>
      </w:r>
      <w:r>
        <w:t>, or similar commitments.</w:t>
      </w:r>
    </w:p>
    <w:p w14:paraId="75764CA6" w14:textId="77777777" w:rsidR="00D70758" w:rsidRDefault="00D70758" w:rsidP="00D70758">
      <w:pPr>
        <w:pStyle w:val="ListParagraph"/>
      </w:pPr>
    </w:p>
    <w:p w14:paraId="566775EA" w14:textId="51B111FA" w:rsidR="00D70758" w:rsidRDefault="00D70758" w:rsidP="00025030">
      <w:pPr>
        <w:pStyle w:val="ListParagraph"/>
        <w:numPr>
          <w:ilvl w:val="0"/>
          <w:numId w:val="57"/>
        </w:numPr>
      </w:pPr>
      <w:r>
        <w:t xml:space="preserve">The </w:t>
      </w:r>
      <w:r w:rsidRPr="00354EFE">
        <w:rPr>
          <w:i/>
        </w:rPr>
        <w:t>Best Starts</w:t>
      </w:r>
      <w:r>
        <w:t xml:space="preserve"> fund is required to maintain a 90-day rainy day reserve at any given time.</w:t>
      </w:r>
      <w:r w:rsidR="00E03766">
        <w:rPr>
          <w:rStyle w:val="FootnoteReference"/>
        </w:rPr>
        <w:footnoteReference w:id="265"/>
      </w:r>
      <w:r>
        <w:t xml:space="preserve"> This reserve must be equal to 90 days of expenditures based on the revised budget (adopted plus supplementals including </w:t>
      </w:r>
      <w:r>
        <w:lastRenderedPageBreak/>
        <w:t xml:space="preserve">carryforward) for that year. This reserve must be met before any capital grants, additions to programs, or other budget modifications can be made. </w:t>
      </w:r>
    </w:p>
    <w:p w14:paraId="5A23645A" w14:textId="77777777" w:rsidR="00D70758" w:rsidRDefault="00D70758" w:rsidP="00D70758"/>
    <w:p w14:paraId="0B2B8A91" w14:textId="7A4E496F" w:rsidR="00D70758" w:rsidRPr="00863CD5" w:rsidRDefault="00D70758" w:rsidP="00025030">
      <w:pPr>
        <w:pStyle w:val="ListParagraph"/>
        <w:numPr>
          <w:ilvl w:val="0"/>
          <w:numId w:val="58"/>
        </w:numPr>
        <w:rPr>
          <w:b/>
          <w:bCs/>
        </w:rPr>
      </w:pPr>
      <w:r>
        <w:t xml:space="preserve">For any change to strategy-level budgets in excess of $500,000 </w:t>
      </w:r>
      <w:r w:rsidR="009C724D" w:rsidRPr="006E49C6">
        <w:rPr>
          <w:i/>
        </w:rPr>
        <w:t>Best Starts</w:t>
      </w:r>
      <w:r w:rsidR="009C724D">
        <w:t xml:space="preserve"> leadership</w:t>
      </w:r>
      <w:r>
        <w:t xml:space="preserve"> will consult the Children and Youth Advisory Board for approval and send a letter to the King County Council with notification of the final change. </w:t>
      </w:r>
    </w:p>
    <w:p w14:paraId="40B98701" w14:textId="25F394A0" w:rsidR="00873E14" w:rsidRDefault="00D70758" w:rsidP="00025030">
      <w:pPr>
        <w:pStyle w:val="ListParagraph"/>
        <w:numPr>
          <w:ilvl w:val="1"/>
          <w:numId w:val="58"/>
        </w:numPr>
        <w:spacing w:line="240" w:lineRule="auto"/>
      </w:pPr>
      <w:r>
        <w:t xml:space="preserve">Such changes must be made within the same investment category, such as </w:t>
      </w:r>
      <w:r w:rsidR="003534D3">
        <w:t xml:space="preserve">but not limited to </w:t>
      </w:r>
      <w:r w:rsidR="006E3161">
        <w:t>Investing Early (prenatal to age five) or Sustain the Gain (ages five to 24)</w:t>
      </w:r>
      <w:r>
        <w:t>, as the legal appropriation authority is tied t</w:t>
      </w:r>
      <w:r w:rsidR="007F002D">
        <w:t xml:space="preserve">he percentages </w:t>
      </w:r>
      <w:r w:rsidR="00E04C97">
        <w:t xml:space="preserve">outlined </w:t>
      </w:r>
      <w:r w:rsidR="003E5071">
        <w:t>by ordinance</w:t>
      </w:r>
      <w:r w:rsidR="00FE348D">
        <w:t>.</w:t>
      </w:r>
      <w:r w:rsidR="00873E14">
        <w:br w:type="page"/>
      </w:r>
    </w:p>
    <w:p w14:paraId="143A405B" w14:textId="43D05D7B" w:rsidR="004B7B64" w:rsidRDefault="007C560E" w:rsidP="00025030">
      <w:pPr>
        <w:pStyle w:val="Heading2"/>
        <w:numPr>
          <w:ilvl w:val="0"/>
          <w:numId w:val="56"/>
        </w:numPr>
      </w:pPr>
      <w:bookmarkStart w:id="126" w:name="_Community_Engagement_Stakeholders"/>
      <w:bookmarkEnd w:id="126"/>
      <w:r>
        <w:lastRenderedPageBreak/>
        <w:t xml:space="preserve"> </w:t>
      </w:r>
      <w:bookmarkStart w:id="127" w:name="_Toc85188566"/>
      <w:r>
        <w:t xml:space="preserve">Community </w:t>
      </w:r>
      <w:r w:rsidR="00CB6C84">
        <w:t xml:space="preserve">Engagement </w:t>
      </w:r>
      <w:r w:rsidR="00121FE1">
        <w:t>Stakeholders</w:t>
      </w:r>
      <w:bookmarkEnd w:id="127"/>
    </w:p>
    <w:p w14:paraId="5EC3E9BC" w14:textId="77777777" w:rsidR="00446AC8" w:rsidRDefault="00446AC8" w:rsidP="006C17C4">
      <w:pPr>
        <w:rPr>
          <w:b/>
          <w:bCs/>
          <w:sz w:val="28"/>
          <w:szCs w:val="28"/>
        </w:rPr>
      </w:pPr>
    </w:p>
    <w:p w14:paraId="7167D9E0" w14:textId="1368756A" w:rsidR="006C17C4" w:rsidRPr="00475012" w:rsidRDefault="00E040BB" w:rsidP="006C17C4">
      <w:pPr>
        <w:rPr>
          <w:b/>
          <w:bCs/>
          <w:sz w:val="28"/>
          <w:szCs w:val="28"/>
        </w:rPr>
      </w:pPr>
      <w:r w:rsidRPr="00475012">
        <w:rPr>
          <w:b/>
          <w:bCs/>
          <w:sz w:val="28"/>
          <w:szCs w:val="28"/>
        </w:rPr>
        <w:t>2021</w:t>
      </w:r>
      <w:r w:rsidR="00475012">
        <w:rPr>
          <w:b/>
          <w:bCs/>
          <w:sz w:val="28"/>
          <w:szCs w:val="28"/>
        </w:rPr>
        <w:t xml:space="preserve"> Community Conversations</w:t>
      </w:r>
    </w:p>
    <w:p w14:paraId="257F27AC" w14:textId="77777777" w:rsidR="00475012" w:rsidRDefault="00475012" w:rsidP="006C17C4"/>
    <w:tbl>
      <w:tblPr>
        <w:tblW w:w="8625" w:type="dxa"/>
        <w:tblBorders>
          <w:top w:val="single" w:sz="12" w:space="0" w:color="FFC000" w:themeColor="accent4"/>
          <w:left w:val="single" w:sz="12" w:space="0" w:color="FFC000" w:themeColor="accent4"/>
          <w:bottom w:val="single" w:sz="12" w:space="0" w:color="FFC000" w:themeColor="accent4"/>
          <w:right w:val="single" w:sz="12" w:space="0" w:color="FFC000" w:themeColor="accent4"/>
        </w:tblBorders>
        <w:tblCellMar>
          <w:top w:w="15" w:type="dxa"/>
          <w:bottom w:w="15" w:type="dxa"/>
        </w:tblCellMar>
        <w:tblLook w:val="04A0" w:firstRow="1" w:lastRow="0" w:firstColumn="1" w:lastColumn="0" w:noHBand="0" w:noVBand="1"/>
      </w:tblPr>
      <w:tblGrid>
        <w:gridCol w:w="6465"/>
        <w:gridCol w:w="2160"/>
      </w:tblGrid>
      <w:tr w:rsidR="00165B01" w:rsidRPr="006C17C4" w14:paraId="5FB4981A" w14:textId="77777777" w:rsidTr="00AE2DF5">
        <w:trPr>
          <w:trHeight w:val="285"/>
        </w:trPr>
        <w:tc>
          <w:tcPr>
            <w:tcW w:w="6465" w:type="dxa"/>
            <w:tcBorders>
              <w:bottom w:val="single" w:sz="12" w:space="0" w:color="FFC000" w:themeColor="accent4"/>
            </w:tcBorders>
            <w:shd w:val="clear" w:color="auto" w:fill="D9E2F3" w:themeFill="accent1" w:themeFillTint="33"/>
            <w:noWrap/>
            <w:vAlign w:val="bottom"/>
            <w:hideMark/>
          </w:tcPr>
          <w:p w14:paraId="27F75E6B" w14:textId="77777777" w:rsidR="00165B01" w:rsidRPr="0003642A" w:rsidRDefault="00165B01" w:rsidP="006C17C4">
            <w:pPr>
              <w:spacing w:line="240" w:lineRule="auto"/>
              <w:rPr>
                <w:rFonts w:eastAsia="Times New Roman" w:cs="Calibri"/>
                <w:b/>
                <w:bCs/>
                <w:color w:val="000000"/>
              </w:rPr>
            </w:pPr>
            <w:r w:rsidRPr="0003642A">
              <w:rPr>
                <w:rFonts w:eastAsia="Times New Roman" w:cs="Calibri"/>
                <w:b/>
                <w:bCs/>
                <w:color w:val="000000"/>
              </w:rPr>
              <w:t>ORGANIZATION</w:t>
            </w:r>
          </w:p>
        </w:tc>
        <w:tc>
          <w:tcPr>
            <w:tcW w:w="2160" w:type="dxa"/>
            <w:tcBorders>
              <w:bottom w:val="single" w:sz="12" w:space="0" w:color="FFC000" w:themeColor="accent4"/>
            </w:tcBorders>
            <w:shd w:val="clear" w:color="auto" w:fill="D9E2F3" w:themeFill="accent1" w:themeFillTint="33"/>
            <w:noWrap/>
            <w:vAlign w:val="bottom"/>
            <w:hideMark/>
          </w:tcPr>
          <w:p w14:paraId="57EDFA9F" w14:textId="77777777" w:rsidR="00165B01" w:rsidRPr="006C17C4" w:rsidRDefault="00165B01" w:rsidP="006C17C4">
            <w:pPr>
              <w:spacing w:line="240" w:lineRule="auto"/>
              <w:rPr>
                <w:rFonts w:eastAsia="Times New Roman" w:cs="Calibri"/>
                <w:b/>
                <w:bCs/>
                <w:color w:val="000000"/>
                <w:u w:val="single"/>
              </w:rPr>
            </w:pPr>
            <w:r w:rsidRPr="006C17C4">
              <w:rPr>
                <w:rFonts w:eastAsia="Times New Roman" w:cs="Calibri"/>
                <w:b/>
                <w:bCs/>
                <w:color w:val="000000"/>
                <w:u w:val="single"/>
              </w:rPr>
              <w:t>DATE</w:t>
            </w:r>
          </w:p>
        </w:tc>
      </w:tr>
      <w:tr w:rsidR="00165B01" w:rsidRPr="006C17C4" w14:paraId="2CCC7AC9" w14:textId="77777777" w:rsidTr="00AE2DF5">
        <w:trPr>
          <w:trHeight w:val="285"/>
        </w:trPr>
        <w:tc>
          <w:tcPr>
            <w:tcW w:w="6465" w:type="dxa"/>
            <w:tcBorders>
              <w:top w:val="single" w:sz="12" w:space="0" w:color="FFC000" w:themeColor="accent4"/>
            </w:tcBorders>
            <w:noWrap/>
            <w:vAlign w:val="bottom"/>
          </w:tcPr>
          <w:p w14:paraId="4E2C6830" w14:textId="7B12E3F0" w:rsidR="00165B01" w:rsidRPr="00F25684" w:rsidRDefault="006C0DBF" w:rsidP="006C17C4">
            <w:pPr>
              <w:spacing w:line="240" w:lineRule="auto"/>
              <w:rPr>
                <w:rFonts w:eastAsia="Times New Roman" w:cs="Calibri"/>
                <w:color w:val="000000"/>
              </w:rPr>
            </w:pPr>
            <w:r>
              <w:rPr>
                <w:rFonts w:eastAsia="Times New Roman" w:cs="Calibri"/>
                <w:color w:val="000000"/>
              </w:rPr>
              <w:t>Best Starts</w:t>
            </w:r>
            <w:r w:rsidR="00165B01" w:rsidRPr="00F25684">
              <w:rPr>
                <w:rFonts w:eastAsia="Times New Roman" w:cs="Calibri"/>
                <w:color w:val="000000"/>
              </w:rPr>
              <w:t xml:space="preserve"> Community Listening Session</w:t>
            </w:r>
            <w:r w:rsidR="00652660">
              <w:rPr>
                <w:rFonts w:eastAsia="Times New Roman" w:cs="Calibri"/>
                <w:color w:val="000000"/>
              </w:rPr>
              <w:t>s</w:t>
            </w:r>
            <w:r w:rsidR="00165B01" w:rsidRPr="00F25684">
              <w:rPr>
                <w:rFonts w:eastAsia="Times New Roman" w:cs="Calibri"/>
                <w:color w:val="000000"/>
              </w:rPr>
              <w:t xml:space="preserve"> (2021</w:t>
            </w:r>
            <w:r w:rsidR="00442C81">
              <w:rPr>
                <w:rFonts w:eastAsia="Times New Roman" w:cs="Calibri"/>
                <w:color w:val="000000"/>
              </w:rPr>
              <w:t>)</w:t>
            </w:r>
          </w:p>
        </w:tc>
        <w:tc>
          <w:tcPr>
            <w:tcW w:w="2160" w:type="dxa"/>
            <w:tcBorders>
              <w:top w:val="single" w:sz="12" w:space="0" w:color="FFC000" w:themeColor="accent4"/>
            </w:tcBorders>
            <w:noWrap/>
            <w:vAlign w:val="bottom"/>
          </w:tcPr>
          <w:p w14:paraId="18A5D441" w14:textId="6CC10FBA" w:rsidR="00165B01" w:rsidRPr="00F25684" w:rsidRDefault="00165B01" w:rsidP="006C17C4">
            <w:pPr>
              <w:spacing w:line="240" w:lineRule="auto"/>
              <w:rPr>
                <w:rFonts w:eastAsia="Times New Roman" w:cs="Calibri"/>
                <w:color w:val="000000"/>
              </w:rPr>
            </w:pPr>
          </w:p>
        </w:tc>
      </w:tr>
      <w:tr w:rsidR="00165B01" w:rsidRPr="006C17C4" w14:paraId="09BA8B17" w14:textId="77777777" w:rsidTr="00AE2DF5">
        <w:trPr>
          <w:trHeight w:val="285"/>
        </w:trPr>
        <w:tc>
          <w:tcPr>
            <w:tcW w:w="6465" w:type="dxa"/>
            <w:tcBorders>
              <w:top w:val="single" w:sz="12" w:space="0" w:color="FFC000" w:themeColor="accent4"/>
            </w:tcBorders>
            <w:noWrap/>
            <w:vAlign w:val="bottom"/>
            <w:hideMark/>
          </w:tcPr>
          <w:p w14:paraId="4E98B109"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Empower Youth Network</w:t>
            </w:r>
          </w:p>
        </w:tc>
        <w:tc>
          <w:tcPr>
            <w:tcW w:w="2160" w:type="dxa"/>
            <w:tcBorders>
              <w:top w:val="single" w:sz="12" w:space="0" w:color="FFC000" w:themeColor="accent4"/>
            </w:tcBorders>
            <w:noWrap/>
            <w:vAlign w:val="bottom"/>
            <w:hideMark/>
          </w:tcPr>
          <w:p w14:paraId="52CC7BE9" w14:textId="047D46E0"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03</w:t>
            </w:r>
            <w:r w:rsidR="001F7B00" w:rsidRPr="00F25684">
              <w:rPr>
                <w:rFonts w:eastAsia="Times New Roman" w:cs="Calibri"/>
                <w:color w:val="000000"/>
              </w:rPr>
              <w:t>, 2021</w:t>
            </w:r>
          </w:p>
        </w:tc>
      </w:tr>
      <w:tr w:rsidR="00165B01" w:rsidRPr="006C17C4" w14:paraId="0B6C7C2B" w14:textId="77777777" w:rsidTr="00AE2DF5">
        <w:trPr>
          <w:trHeight w:val="285"/>
        </w:trPr>
        <w:tc>
          <w:tcPr>
            <w:tcW w:w="6465" w:type="dxa"/>
            <w:noWrap/>
            <w:vAlign w:val="bottom"/>
            <w:hideMark/>
          </w:tcPr>
          <w:p w14:paraId="66A410CA" w14:textId="30921378" w:rsidR="00165B01" w:rsidRPr="00F25684" w:rsidRDefault="000A754A" w:rsidP="006C17C4">
            <w:pPr>
              <w:spacing w:line="240" w:lineRule="auto"/>
              <w:rPr>
                <w:rFonts w:eastAsia="Times New Roman" w:cs="Calibri"/>
                <w:color w:val="000000"/>
              </w:rPr>
            </w:pPr>
            <w:r>
              <w:rPr>
                <w:rFonts w:eastAsia="Times New Roman" w:cs="Calibri"/>
                <w:color w:val="000000"/>
              </w:rPr>
              <w:t>Community Network Council</w:t>
            </w:r>
            <w:r w:rsidR="00165B01" w:rsidRPr="00F25684">
              <w:rPr>
                <w:rFonts w:eastAsia="Times New Roman" w:cs="Calibri"/>
                <w:color w:val="000000"/>
              </w:rPr>
              <w:t xml:space="preserve"> (Kent, Des Moines, Covington)</w:t>
            </w:r>
          </w:p>
        </w:tc>
        <w:tc>
          <w:tcPr>
            <w:tcW w:w="2160" w:type="dxa"/>
            <w:noWrap/>
            <w:vAlign w:val="bottom"/>
            <w:hideMark/>
          </w:tcPr>
          <w:p w14:paraId="3F250CE5" w14:textId="3AE8DA88"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09</w:t>
            </w:r>
            <w:r w:rsidR="001F7B00" w:rsidRPr="00F25684">
              <w:rPr>
                <w:rFonts w:eastAsia="Times New Roman" w:cs="Calibri"/>
                <w:color w:val="000000"/>
              </w:rPr>
              <w:t>, 2021</w:t>
            </w:r>
            <w:r w:rsidRPr="00F25684">
              <w:rPr>
                <w:rFonts w:eastAsia="Times New Roman" w:cs="Calibri"/>
                <w:color w:val="000000"/>
              </w:rPr>
              <w:t xml:space="preserve"> </w:t>
            </w:r>
          </w:p>
        </w:tc>
      </w:tr>
      <w:tr w:rsidR="00165B01" w:rsidRPr="006C17C4" w14:paraId="0228C7BB" w14:textId="77777777" w:rsidTr="00AE2DF5">
        <w:trPr>
          <w:trHeight w:val="285"/>
        </w:trPr>
        <w:tc>
          <w:tcPr>
            <w:tcW w:w="6465" w:type="dxa"/>
            <w:noWrap/>
            <w:vAlign w:val="bottom"/>
            <w:hideMark/>
          </w:tcPr>
          <w:p w14:paraId="5ED18002" w14:textId="3ABE16C8" w:rsidR="00165B01" w:rsidRPr="00F25684" w:rsidRDefault="00AA5D59" w:rsidP="006C17C4">
            <w:pPr>
              <w:spacing w:line="240" w:lineRule="auto"/>
              <w:rPr>
                <w:rFonts w:eastAsia="Times New Roman" w:cs="Calibri"/>
                <w:color w:val="000000"/>
              </w:rPr>
            </w:pPr>
            <w:r>
              <w:rPr>
                <w:rFonts w:eastAsia="Times New Roman" w:cs="Calibri"/>
                <w:color w:val="000000"/>
              </w:rPr>
              <w:t>North Urban Human Services Alliance (NUHSA)</w:t>
            </w:r>
          </w:p>
        </w:tc>
        <w:tc>
          <w:tcPr>
            <w:tcW w:w="2160" w:type="dxa"/>
            <w:noWrap/>
            <w:vAlign w:val="bottom"/>
            <w:hideMark/>
          </w:tcPr>
          <w:p w14:paraId="2628B15B" w14:textId="0647280E"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09</w:t>
            </w:r>
            <w:r w:rsidR="00665B47" w:rsidRPr="00F25684">
              <w:rPr>
                <w:rFonts w:eastAsia="Times New Roman" w:cs="Calibri"/>
                <w:color w:val="000000"/>
              </w:rPr>
              <w:t>, 2021</w:t>
            </w:r>
            <w:r w:rsidRPr="00F25684">
              <w:rPr>
                <w:rFonts w:eastAsia="Times New Roman" w:cs="Calibri"/>
                <w:color w:val="000000"/>
              </w:rPr>
              <w:t xml:space="preserve"> </w:t>
            </w:r>
          </w:p>
        </w:tc>
      </w:tr>
      <w:tr w:rsidR="00165B01" w:rsidRPr="006C17C4" w14:paraId="4FD99FF0" w14:textId="77777777" w:rsidTr="00AE2DF5">
        <w:trPr>
          <w:trHeight w:val="285"/>
        </w:trPr>
        <w:tc>
          <w:tcPr>
            <w:tcW w:w="6465" w:type="dxa"/>
            <w:noWrap/>
            <w:vAlign w:val="bottom"/>
            <w:hideMark/>
          </w:tcPr>
          <w:p w14:paraId="4789E1A2"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The Village</w:t>
            </w:r>
          </w:p>
        </w:tc>
        <w:tc>
          <w:tcPr>
            <w:tcW w:w="2160" w:type="dxa"/>
            <w:noWrap/>
            <w:vAlign w:val="bottom"/>
            <w:hideMark/>
          </w:tcPr>
          <w:p w14:paraId="0FA1DE4B" w14:textId="676F0E0C"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10</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1784451F" w14:textId="77777777" w:rsidTr="00AE2DF5">
        <w:trPr>
          <w:trHeight w:val="285"/>
        </w:trPr>
        <w:tc>
          <w:tcPr>
            <w:tcW w:w="6465" w:type="dxa"/>
            <w:noWrap/>
            <w:vAlign w:val="bottom"/>
            <w:hideMark/>
          </w:tcPr>
          <w:p w14:paraId="38CE59AE"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Maple Valley Community Center</w:t>
            </w:r>
          </w:p>
        </w:tc>
        <w:tc>
          <w:tcPr>
            <w:tcW w:w="2160" w:type="dxa"/>
            <w:noWrap/>
            <w:vAlign w:val="bottom"/>
            <w:hideMark/>
          </w:tcPr>
          <w:p w14:paraId="5F533E27" w14:textId="2A7AD201"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14</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3F020FE8" w14:textId="77777777" w:rsidTr="00AE2DF5">
        <w:trPr>
          <w:trHeight w:val="285"/>
        </w:trPr>
        <w:tc>
          <w:tcPr>
            <w:tcW w:w="6465" w:type="dxa"/>
            <w:noWrap/>
            <w:vAlign w:val="bottom"/>
            <w:hideMark/>
          </w:tcPr>
          <w:p w14:paraId="1F9E6350"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Vashon Youth &amp; Family Services</w:t>
            </w:r>
          </w:p>
        </w:tc>
        <w:tc>
          <w:tcPr>
            <w:tcW w:w="2160" w:type="dxa"/>
            <w:noWrap/>
            <w:vAlign w:val="bottom"/>
            <w:hideMark/>
          </w:tcPr>
          <w:p w14:paraId="1A54B720" w14:textId="103B561A"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14</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25A6C44E" w14:textId="77777777" w:rsidTr="00AE2DF5">
        <w:trPr>
          <w:trHeight w:val="285"/>
        </w:trPr>
        <w:tc>
          <w:tcPr>
            <w:tcW w:w="6465" w:type="dxa"/>
            <w:noWrap/>
            <w:vAlign w:val="bottom"/>
            <w:hideMark/>
          </w:tcPr>
          <w:p w14:paraId="39777B79"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Issaquah Nourishing Network</w:t>
            </w:r>
          </w:p>
        </w:tc>
        <w:tc>
          <w:tcPr>
            <w:tcW w:w="2160" w:type="dxa"/>
            <w:noWrap/>
            <w:vAlign w:val="bottom"/>
            <w:hideMark/>
          </w:tcPr>
          <w:p w14:paraId="37C8991D" w14:textId="4F62EB9A"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15</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03F23606" w14:textId="77777777" w:rsidTr="00AE2DF5">
        <w:trPr>
          <w:trHeight w:val="285"/>
        </w:trPr>
        <w:tc>
          <w:tcPr>
            <w:tcW w:w="6465" w:type="dxa"/>
            <w:noWrap/>
            <w:vAlign w:val="bottom"/>
            <w:hideMark/>
          </w:tcPr>
          <w:p w14:paraId="7E5201BA"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Build the Bridge Coalition/Federal Way</w:t>
            </w:r>
          </w:p>
        </w:tc>
        <w:tc>
          <w:tcPr>
            <w:tcW w:w="2160" w:type="dxa"/>
            <w:noWrap/>
            <w:vAlign w:val="bottom"/>
            <w:hideMark/>
          </w:tcPr>
          <w:p w14:paraId="2B19482A" w14:textId="2F961415"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15</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644A1153" w14:textId="77777777" w:rsidTr="00AE2DF5">
        <w:trPr>
          <w:trHeight w:val="285"/>
        </w:trPr>
        <w:tc>
          <w:tcPr>
            <w:tcW w:w="6465" w:type="dxa"/>
            <w:noWrap/>
            <w:vAlign w:val="bottom"/>
            <w:hideMark/>
          </w:tcPr>
          <w:p w14:paraId="27EE242E" w14:textId="59DD15F0" w:rsidR="00165B01" w:rsidRPr="00F25684" w:rsidRDefault="002D6448" w:rsidP="006C17C4">
            <w:pPr>
              <w:spacing w:line="240" w:lineRule="auto"/>
              <w:rPr>
                <w:rFonts w:eastAsia="Times New Roman" w:cs="Calibri"/>
                <w:color w:val="000000"/>
              </w:rPr>
            </w:pPr>
            <w:r>
              <w:rPr>
                <w:rFonts w:eastAsia="Times New Roman" w:cs="Calibri"/>
                <w:color w:val="000000"/>
              </w:rPr>
              <w:t>Youth Development Executives of King Co</w:t>
            </w:r>
            <w:r w:rsidR="00D70316">
              <w:rPr>
                <w:rFonts w:eastAsia="Times New Roman" w:cs="Calibri"/>
                <w:color w:val="000000"/>
              </w:rPr>
              <w:t xml:space="preserve">unty </w:t>
            </w:r>
            <w:r>
              <w:rPr>
                <w:rFonts w:eastAsia="Times New Roman" w:cs="Calibri"/>
                <w:color w:val="000000"/>
              </w:rPr>
              <w:t>(YDEKC)</w:t>
            </w:r>
          </w:p>
        </w:tc>
        <w:tc>
          <w:tcPr>
            <w:tcW w:w="2160" w:type="dxa"/>
            <w:noWrap/>
            <w:vAlign w:val="bottom"/>
            <w:hideMark/>
          </w:tcPr>
          <w:p w14:paraId="75EEC6B5" w14:textId="2B8D2413"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16</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27CD2253" w14:textId="77777777" w:rsidTr="00AE2DF5">
        <w:trPr>
          <w:trHeight w:val="285"/>
        </w:trPr>
        <w:tc>
          <w:tcPr>
            <w:tcW w:w="6465" w:type="dxa"/>
            <w:noWrap/>
            <w:vAlign w:val="bottom"/>
            <w:hideMark/>
          </w:tcPr>
          <w:p w14:paraId="55730051"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LGBTQ Allyship and Lambert House</w:t>
            </w:r>
          </w:p>
        </w:tc>
        <w:tc>
          <w:tcPr>
            <w:tcW w:w="2160" w:type="dxa"/>
            <w:noWrap/>
            <w:vAlign w:val="bottom"/>
            <w:hideMark/>
          </w:tcPr>
          <w:p w14:paraId="37E00283" w14:textId="60ADBA74"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17</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49E5A869" w14:textId="77777777" w:rsidTr="00AE2DF5">
        <w:trPr>
          <w:trHeight w:val="285"/>
        </w:trPr>
        <w:tc>
          <w:tcPr>
            <w:tcW w:w="6465" w:type="dxa"/>
            <w:noWrap/>
            <w:vAlign w:val="bottom"/>
            <w:hideMark/>
          </w:tcPr>
          <w:p w14:paraId="41543C1F"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Auburn Family Providers</w:t>
            </w:r>
          </w:p>
        </w:tc>
        <w:tc>
          <w:tcPr>
            <w:tcW w:w="2160" w:type="dxa"/>
            <w:noWrap/>
            <w:vAlign w:val="bottom"/>
            <w:hideMark/>
          </w:tcPr>
          <w:p w14:paraId="5793530B" w14:textId="03D6CDE9"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18</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3BE34829" w14:textId="77777777" w:rsidTr="00AE2DF5">
        <w:trPr>
          <w:trHeight w:val="285"/>
        </w:trPr>
        <w:tc>
          <w:tcPr>
            <w:tcW w:w="6465" w:type="dxa"/>
            <w:noWrap/>
            <w:vAlign w:val="bottom"/>
            <w:hideMark/>
          </w:tcPr>
          <w:p w14:paraId="1AC1389B" w14:textId="2573C59C" w:rsidR="00165B01" w:rsidRPr="00F25684" w:rsidRDefault="00165B01" w:rsidP="006C17C4">
            <w:pPr>
              <w:spacing w:line="240" w:lineRule="auto"/>
              <w:rPr>
                <w:rFonts w:eastAsia="Times New Roman" w:cs="Calibri"/>
                <w:color w:val="000000"/>
              </w:rPr>
            </w:pPr>
            <w:r w:rsidRPr="00F25684">
              <w:rPr>
                <w:rFonts w:eastAsia="Times New Roman" w:cs="Calibri"/>
                <w:color w:val="000000"/>
              </w:rPr>
              <w:t>Eastside Pathways, A</w:t>
            </w:r>
            <w:r w:rsidR="001C21E0">
              <w:rPr>
                <w:rFonts w:eastAsia="Times New Roman" w:cs="Calibri"/>
                <w:color w:val="000000"/>
              </w:rPr>
              <w:t xml:space="preserve">lliance of </w:t>
            </w:r>
            <w:r w:rsidRPr="00F25684">
              <w:rPr>
                <w:rFonts w:eastAsia="Times New Roman" w:cs="Calibri"/>
                <w:color w:val="000000"/>
              </w:rPr>
              <w:t>E</w:t>
            </w:r>
            <w:r w:rsidR="001C21E0">
              <w:rPr>
                <w:rFonts w:eastAsia="Times New Roman" w:cs="Calibri"/>
                <w:color w:val="000000"/>
              </w:rPr>
              <w:t>as</w:t>
            </w:r>
            <w:r w:rsidR="00AE2DF5">
              <w:rPr>
                <w:rFonts w:eastAsia="Times New Roman" w:cs="Calibri"/>
                <w:color w:val="000000"/>
              </w:rPr>
              <w:t xml:space="preserve">tside </w:t>
            </w:r>
            <w:r w:rsidRPr="00F25684">
              <w:rPr>
                <w:rFonts w:eastAsia="Times New Roman" w:cs="Calibri"/>
                <w:color w:val="000000"/>
              </w:rPr>
              <w:t>A</w:t>
            </w:r>
            <w:r w:rsidR="00AE2DF5">
              <w:rPr>
                <w:rFonts w:eastAsia="Times New Roman" w:cs="Calibri"/>
                <w:color w:val="000000"/>
              </w:rPr>
              <w:t>gencies</w:t>
            </w:r>
            <w:r w:rsidRPr="00F25684">
              <w:rPr>
                <w:rFonts w:eastAsia="Times New Roman" w:cs="Calibri"/>
                <w:color w:val="000000"/>
              </w:rPr>
              <w:t>, E</w:t>
            </w:r>
            <w:r w:rsidR="006D1885">
              <w:rPr>
                <w:rFonts w:eastAsia="Times New Roman" w:cs="Calibri"/>
                <w:color w:val="000000"/>
              </w:rPr>
              <w:t xml:space="preserve">astside </w:t>
            </w:r>
            <w:r w:rsidRPr="00F25684">
              <w:rPr>
                <w:rFonts w:eastAsia="Times New Roman" w:cs="Calibri"/>
                <w:color w:val="000000"/>
              </w:rPr>
              <w:t>H</w:t>
            </w:r>
            <w:r w:rsidR="006D1885">
              <w:rPr>
                <w:rFonts w:eastAsia="Times New Roman" w:cs="Calibri"/>
                <w:color w:val="000000"/>
              </w:rPr>
              <w:t xml:space="preserve">igh </w:t>
            </w:r>
            <w:r w:rsidRPr="00F25684">
              <w:rPr>
                <w:rFonts w:eastAsia="Times New Roman" w:cs="Calibri"/>
                <w:color w:val="000000"/>
              </w:rPr>
              <w:t>S</w:t>
            </w:r>
            <w:r w:rsidR="006D1885">
              <w:rPr>
                <w:rFonts w:eastAsia="Times New Roman" w:cs="Calibri"/>
                <w:color w:val="000000"/>
              </w:rPr>
              <w:t>chool</w:t>
            </w:r>
          </w:p>
        </w:tc>
        <w:tc>
          <w:tcPr>
            <w:tcW w:w="2160" w:type="dxa"/>
            <w:noWrap/>
            <w:vAlign w:val="bottom"/>
            <w:hideMark/>
          </w:tcPr>
          <w:p w14:paraId="01A5420B" w14:textId="3FAC03DA"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21</w:t>
            </w:r>
            <w:r w:rsidR="001F7B00" w:rsidRPr="00F25684">
              <w:rPr>
                <w:rFonts w:eastAsia="Times New Roman" w:cs="Calibri"/>
                <w:color w:val="000000"/>
              </w:rPr>
              <w:t xml:space="preserve">, 2021 </w:t>
            </w:r>
            <w:r w:rsidRPr="00F25684">
              <w:rPr>
                <w:rFonts w:eastAsia="Times New Roman" w:cs="Calibri"/>
                <w:color w:val="000000"/>
              </w:rPr>
              <w:t xml:space="preserve"> </w:t>
            </w:r>
          </w:p>
        </w:tc>
      </w:tr>
      <w:tr w:rsidR="00165B01" w:rsidRPr="006C17C4" w14:paraId="7E576408" w14:textId="77777777" w:rsidTr="00AE2DF5">
        <w:trPr>
          <w:trHeight w:val="300"/>
        </w:trPr>
        <w:tc>
          <w:tcPr>
            <w:tcW w:w="6465" w:type="dxa"/>
            <w:noWrap/>
            <w:vAlign w:val="bottom"/>
            <w:hideMark/>
          </w:tcPr>
          <w:p w14:paraId="48B001DA" w14:textId="7981DCF5" w:rsidR="00165B01" w:rsidRPr="00F25684" w:rsidRDefault="00D70316" w:rsidP="006C17C4">
            <w:pPr>
              <w:spacing w:line="240" w:lineRule="auto"/>
              <w:rPr>
                <w:rFonts w:eastAsia="Times New Roman" w:cs="Calibri"/>
              </w:rPr>
            </w:pPr>
            <w:r>
              <w:rPr>
                <w:rFonts w:eastAsia="Times New Roman" w:cs="Calibri"/>
              </w:rPr>
              <w:t>Southwest Youth and Family Services</w:t>
            </w:r>
            <w:r w:rsidR="00165B01" w:rsidRPr="00F25684">
              <w:rPr>
                <w:rFonts w:eastAsia="Times New Roman" w:cs="Calibri"/>
              </w:rPr>
              <w:t xml:space="preserve"> and City of Burien</w:t>
            </w:r>
          </w:p>
        </w:tc>
        <w:tc>
          <w:tcPr>
            <w:tcW w:w="2160" w:type="dxa"/>
            <w:noWrap/>
            <w:vAlign w:val="bottom"/>
            <w:hideMark/>
          </w:tcPr>
          <w:p w14:paraId="2343E290" w14:textId="6EFAEFE8"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22</w:t>
            </w:r>
            <w:r w:rsidR="001F7B00" w:rsidRPr="00F25684">
              <w:rPr>
                <w:rFonts w:eastAsia="Times New Roman" w:cs="Calibri"/>
                <w:color w:val="000000"/>
              </w:rPr>
              <w:t>, 2021</w:t>
            </w:r>
            <w:r w:rsidRPr="00F25684">
              <w:rPr>
                <w:rFonts w:eastAsia="Times New Roman" w:cs="Calibri"/>
                <w:color w:val="000000"/>
              </w:rPr>
              <w:t xml:space="preserve"> </w:t>
            </w:r>
          </w:p>
        </w:tc>
      </w:tr>
    </w:tbl>
    <w:p w14:paraId="00215B3A" w14:textId="60F50133" w:rsidR="00DA2362" w:rsidRDefault="00DA2362" w:rsidP="006C17C4"/>
    <w:p w14:paraId="427AA84D" w14:textId="77777777" w:rsidR="002E182A" w:rsidRDefault="002E182A" w:rsidP="47CA3C47">
      <w:pPr>
        <w:pStyle w:val="Heading2"/>
        <w:sectPr w:rsidR="002E182A" w:rsidSect="00CA63D9">
          <w:pgSz w:w="12240" w:h="15840" w:code="1"/>
          <w:pgMar w:top="720" w:right="720" w:bottom="720" w:left="720" w:header="720" w:footer="720" w:gutter="0"/>
          <w:cols w:space="720"/>
          <w:titlePg/>
          <w:docGrid w:linePitch="360"/>
        </w:sectPr>
      </w:pPr>
      <w:bookmarkStart w:id="128" w:name="_Evaluation_Plan_Example"/>
      <w:bookmarkEnd w:id="128"/>
    </w:p>
    <w:p w14:paraId="0B4B4078" w14:textId="2AEB2C6A" w:rsidR="006C17C4" w:rsidRDefault="006216F8" w:rsidP="00025030">
      <w:pPr>
        <w:pStyle w:val="Heading2"/>
        <w:numPr>
          <w:ilvl w:val="0"/>
          <w:numId w:val="56"/>
        </w:numPr>
      </w:pPr>
      <w:bookmarkStart w:id="129" w:name="_Evaluation_Plan_Example_1"/>
      <w:bookmarkStart w:id="130" w:name="_Toc85188567"/>
      <w:bookmarkEnd w:id="129"/>
      <w:r>
        <w:lastRenderedPageBreak/>
        <w:t>Evaluation Plan Example</w:t>
      </w:r>
      <w:bookmarkEnd w:id="130"/>
    </w:p>
    <w:p w14:paraId="0A466F26" w14:textId="77777777" w:rsidR="006C0DBF" w:rsidRPr="006C0DBF" w:rsidRDefault="006C0DBF" w:rsidP="006C0DBF"/>
    <w:p w14:paraId="748A47DE" w14:textId="00BE9BD5" w:rsidR="009E3E45" w:rsidRDefault="000A4F1D" w:rsidP="009E3E45">
      <w:pPr>
        <w:rPr>
          <w:rFonts w:cs="Calibri"/>
        </w:rPr>
      </w:pPr>
      <w:r>
        <w:rPr>
          <w:i/>
          <w:iCs/>
        </w:rPr>
        <w:t xml:space="preserve">Best Starts </w:t>
      </w:r>
      <w:r>
        <w:t xml:space="preserve">evaluation staff work </w:t>
      </w:r>
      <w:r w:rsidR="00FD10EC">
        <w:t xml:space="preserve">in partnership </w:t>
      </w:r>
      <w:r>
        <w:t xml:space="preserve">with every funded partner to develop an </w:t>
      </w:r>
      <w:r w:rsidR="00FD10EC">
        <w:t>individualized</w:t>
      </w:r>
      <w:r>
        <w:t xml:space="preserve"> evaluation plan </w:t>
      </w:r>
      <w:r w:rsidR="00FD10EC">
        <w:t xml:space="preserve">that includes the </w:t>
      </w:r>
      <w:r w:rsidR="00FD10EC" w:rsidRPr="00D03F1F">
        <w:rPr>
          <w:rFonts w:cs="Calibri"/>
        </w:rPr>
        <w:t>program-specific performance measures and data collection methods.</w:t>
      </w:r>
      <w:r w:rsidR="00FD10EC">
        <w:rPr>
          <w:rFonts w:cs="Calibri"/>
        </w:rPr>
        <w:t xml:space="preserve"> </w:t>
      </w:r>
      <w:r w:rsidR="001B415B">
        <w:rPr>
          <w:rFonts w:cs="Calibri"/>
        </w:rPr>
        <w:t>The following is an example of an evaluation plan</w:t>
      </w:r>
      <w:r w:rsidR="00831327">
        <w:rPr>
          <w:rFonts w:cs="Calibri"/>
        </w:rPr>
        <w:t xml:space="preserve"> from </w:t>
      </w:r>
      <w:r w:rsidR="00831327" w:rsidRPr="006F7389">
        <w:rPr>
          <w:rFonts w:cs="Calibri"/>
          <w:i/>
          <w:iCs/>
        </w:rPr>
        <w:t>Best Starts for Kids</w:t>
      </w:r>
      <w:r w:rsidR="00831327" w:rsidRPr="00831327">
        <w:rPr>
          <w:rFonts w:cs="Calibri"/>
        </w:rPr>
        <w:t xml:space="preserve"> 2016-2021</w:t>
      </w:r>
      <w:r w:rsidR="00831327">
        <w:rPr>
          <w:rFonts w:cs="Calibri"/>
        </w:rPr>
        <w:t xml:space="preserve">. </w:t>
      </w:r>
      <w:r w:rsidR="004C22A7">
        <w:rPr>
          <w:rFonts w:cs="Calibri"/>
        </w:rPr>
        <w:t xml:space="preserve">The core building blocks </w:t>
      </w:r>
      <w:r w:rsidR="007C2C87">
        <w:rPr>
          <w:rFonts w:cs="Calibri"/>
        </w:rPr>
        <w:t>that are in every</w:t>
      </w:r>
      <w:r w:rsidR="004C22A7">
        <w:rPr>
          <w:rFonts w:cs="Calibri"/>
        </w:rPr>
        <w:t xml:space="preserve"> evaluation plan includ</w:t>
      </w:r>
      <w:r w:rsidR="007C2C87">
        <w:rPr>
          <w:rFonts w:cs="Calibri"/>
        </w:rPr>
        <w:t>e</w:t>
      </w:r>
      <w:r w:rsidR="004C22A7">
        <w:rPr>
          <w:rFonts w:cs="Calibri"/>
        </w:rPr>
        <w:t xml:space="preserve"> </w:t>
      </w:r>
      <w:r w:rsidR="00576A2C">
        <w:rPr>
          <w:rFonts w:cs="Calibri"/>
        </w:rPr>
        <w:t>program description or logic model,</w:t>
      </w:r>
      <w:r w:rsidR="004C22A7">
        <w:rPr>
          <w:rFonts w:cs="Calibri"/>
        </w:rPr>
        <w:t xml:space="preserve"> performance measures, reporting methods, </w:t>
      </w:r>
      <w:r w:rsidR="00576A2C">
        <w:rPr>
          <w:rFonts w:cs="Calibri"/>
        </w:rPr>
        <w:t xml:space="preserve">and </w:t>
      </w:r>
      <w:r w:rsidR="008474D9">
        <w:rPr>
          <w:rFonts w:cs="Calibri"/>
        </w:rPr>
        <w:t>intended uses of the data</w:t>
      </w:r>
      <w:r w:rsidR="007C2C87">
        <w:rPr>
          <w:rFonts w:cs="Calibri"/>
        </w:rPr>
        <w:t xml:space="preserve">. Formatting, layout, and language vary across </w:t>
      </w:r>
      <w:r w:rsidR="00657C50">
        <w:rPr>
          <w:rFonts w:cs="Calibri"/>
        </w:rPr>
        <w:t xml:space="preserve">evaluation </w:t>
      </w:r>
      <w:r w:rsidR="007C2C87">
        <w:rPr>
          <w:rFonts w:cs="Calibri"/>
        </w:rPr>
        <w:t xml:space="preserve">plans and </w:t>
      </w:r>
      <w:r w:rsidR="00657C50">
        <w:rPr>
          <w:rFonts w:cs="Calibri"/>
          <w:i/>
          <w:iCs/>
        </w:rPr>
        <w:t>Best Starts</w:t>
      </w:r>
      <w:r w:rsidR="00657C50">
        <w:rPr>
          <w:rFonts w:cs="Calibri"/>
        </w:rPr>
        <w:t xml:space="preserve"> intends to update the evaluation plan template for 2022-</w:t>
      </w:r>
      <w:r w:rsidR="002F237F">
        <w:rPr>
          <w:rFonts w:cs="Calibri"/>
        </w:rPr>
        <w:t>2027</w:t>
      </w:r>
      <w:r w:rsidR="00401A67">
        <w:rPr>
          <w:rFonts w:cs="Calibri"/>
        </w:rPr>
        <w:t xml:space="preserve">, while retaining the </w:t>
      </w:r>
      <w:r w:rsidR="001B2514">
        <w:rPr>
          <w:rFonts w:cs="Calibri"/>
        </w:rPr>
        <w:t>core building blocks present in the example below</w:t>
      </w:r>
      <w:r w:rsidR="002F237F">
        <w:rPr>
          <w:rFonts w:cs="Calibri"/>
        </w:rPr>
        <w:t>.</w:t>
      </w:r>
    </w:p>
    <w:p w14:paraId="19FD7E19" w14:textId="77777777" w:rsidR="00F8698E" w:rsidRDefault="00F8698E" w:rsidP="009E3E45">
      <w:pPr>
        <w:rPr>
          <w:rFonts w:cs="Calibri"/>
        </w:rPr>
      </w:pPr>
    </w:p>
    <w:p w14:paraId="6F6E2662" w14:textId="77777777" w:rsidR="004020D7" w:rsidRPr="001A4053" w:rsidRDefault="004020D7" w:rsidP="004020D7">
      <w:pPr>
        <w:spacing w:line="240" w:lineRule="auto"/>
        <w:rPr>
          <w:rFonts w:ascii="Tw Cen MT Condensed" w:eastAsia="Calibri,Calibri,Arial" w:hAnsi="Tw Cen MT Condensed" w:cs="Arial"/>
          <w:b/>
          <w:bCs/>
          <w:sz w:val="40"/>
          <w:szCs w:val="40"/>
        </w:rPr>
      </w:pPr>
      <w:r w:rsidRPr="08EA0ED7">
        <w:rPr>
          <w:rFonts w:ascii="Tw Cen MT Condensed" w:eastAsia="Calibri,Calibri,Arial" w:hAnsi="Tw Cen MT Condensed" w:cs="Arial"/>
          <w:b/>
          <w:bCs/>
          <w:sz w:val="40"/>
          <w:szCs w:val="40"/>
        </w:rPr>
        <w:t>BEST STARTS FOR KIDS EVALUATION PLAN</w:t>
      </w:r>
    </w:p>
    <w:p w14:paraId="6FC3764F" w14:textId="77777777" w:rsidR="004020D7" w:rsidRPr="000C6D8D" w:rsidRDefault="004020D7" w:rsidP="004020D7">
      <w:pPr>
        <w:tabs>
          <w:tab w:val="left" w:pos="5836"/>
        </w:tabs>
        <w:spacing w:line="240" w:lineRule="auto"/>
        <w:rPr>
          <w:rFonts w:ascii="Arial" w:eastAsia="Calibri,Calibri,Arial" w:hAnsi="Arial" w:cs="Arial"/>
          <w:b/>
          <w:bCs/>
        </w:rPr>
      </w:pPr>
      <w:r>
        <w:rPr>
          <w:rFonts w:ascii="Arial" w:eastAsia="Calibri,Calibri,Arial" w:hAnsi="Arial" w:cs="Arial"/>
          <w:b/>
          <w:bCs/>
        </w:rPr>
        <w:tab/>
        <w:t xml:space="preserve"> </w:t>
      </w:r>
    </w:p>
    <w:p w14:paraId="389EA684" w14:textId="77777777" w:rsidR="004020D7" w:rsidRPr="006042F3" w:rsidRDefault="004020D7" w:rsidP="004020D7">
      <w:pPr>
        <w:spacing w:line="240" w:lineRule="auto"/>
        <w:rPr>
          <w:rFonts w:ascii="Euphemia" w:eastAsia="Calibri,Calibri,Arial" w:hAnsi="Euphemia" w:cs="Arial"/>
          <w:sz w:val="20"/>
          <w:szCs w:val="20"/>
        </w:rPr>
      </w:pPr>
      <w:r w:rsidRPr="08EA0ED7">
        <w:rPr>
          <w:rFonts w:ascii="Tw Cen MT Condensed" w:eastAsia="Calibri,Calibri,Arial" w:hAnsi="Tw Cen MT Condensed" w:cs="Arial"/>
          <w:sz w:val="28"/>
          <w:szCs w:val="28"/>
        </w:rPr>
        <w:t>Result area:</w:t>
      </w:r>
      <w:r w:rsidRPr="08EA0ED7">
        <w:rPr>
          <w:rFonts w:ascii="Euphemia" w:eastAsia="Calibri,Calibri,Arial" w:hAnsi="Euphemia" w:cs="Arial"/>
          <w:b/>
          <w:bCs/>
          <w:sz w:val="20"/>
          <w:szCs w:val="20"/>
        </w:rPr>
        <w:t xml:space="preserve"> </w:t>
      </w:r>
      <w:r w:rsidRPr="08EA0ED7">
        <w:rPr>
          <w:rFonts w:ascii="Euphemia" w:eastAsia="Calibri,Calibri,Arial" w:hAnsi="Euphemia" w:cs="Arial"/>
          <w:sz w:val="20"/>
          <w:szCs w:val="20"/>
        </w:rPr>
        <w:t>Prenatal to 5</w:t>
      </w:r>
    </w:p>
    <w:p w14:paraId="3966EC7F" w14:textId="77777777" w:rsidR="004020D7" w:rsidRPr="008C0A1E" w:rsidRDefault="004020D7" w:rsidP="004020D7">
      <w:pPr>
        <w:spacing w:line="240" w:lineRule="auto"/>
        <w:rPr>
          <w:rFonts w:ascii="Euphemia" w:eastAsia="Calibri,Calibri,Arial" w:hAnsi="Euphemia" w:cs="Arial"/>
          <w:sz w:val="20"/>
          <w:szCs w:val="20"/>
        </w:rPr>
      </w:pPr>
      <w:r w:rsidRPr="08EA0ED7">
        <w:rPr>
          <w:rFonts w:ascii="Tw Cen MT Condensed" w:eastAsia="Calibri,Calibri,Arial" w:hAnsi="Tw Cen MT Condensed" w:cs="Arial"/>
          <w:sz w:val="28"/>
          <w:szCs w:val="28"/>
        </w:rPr>
        <w:t>Strategy:</w:t>
      </w:r>
      <w:r w:rsidRPr="08EA0ED7">
        <w:rPr>
          <w:rFonts w:ascii="Euphemia" w:eastAsia="Calibri,Calibri,Arial" w:hAnsi="Euphemia" w:cs="Arial"/>
          <w:b/>
          <w:bCs/>
          <w:sz w:val="20"/>
          <w:szCs w:val="20"/>
        </w:rPr>
        <w:t xml:space="preserve"> </w:t>
      </w:r>
      <w:r w:rsidRPr="00942A0E">
        <w:rPr>
          <w:rFonts w:ascii="Euphemia" w:eastAsia="Calibri,Calibri,Arial" w:hAnsi="Euphemia" w:cs="Arial"/>
          <w:bCs/>
          <w:sz w:val="20"/>
          <w:szCs w:val="20"/>
        </w:rPr>
        <w:t>Basic Needs Resource Brokering, Community Based Parenting</w:t>
      </w:r>
    </w:p>
    <w:p w14:paraId="3C8B961C" w14:textId="77777777" w:rsidR="004020D7" w:rsidRPr="006042F3" w:rsidRDefault="004020D7" w:rsidP="004020D7">
      <w:pPr>
        <w:spacing w:line="240" w:lineRule="auto"/>
        <w:rPr>
          <w:rFonts w:ascii="Euphemia" w:eastAsia="Calibri,Calibri,Arial" w:hAnsi="Euphemia" w:cs="Arial"/>
        </w:rPr>
      </w:pPr>
      <w:r w:rsidRPr="08EA0ED7">
        <w:rPr>
          <w:rFonts w:ascii="Tw Cen MT Condensed" w:eastAsia="Calibri,Calibri,Arial" w:hAnsi="Tw Cen MT Condensed" w:cs="Arial"/>
          <w:sz w:val="28"/>
          <w:szCs w:val="28"/>
        </w:rPr>
        <w:t>Program:</w:t>
      </w:r>
      <w:r>
        <w:rPr>
          <w:rFonts w:ascii="Tw Cen MT Condensed" w:eastAsia="Calibri,Calibri,Arial" w:hAnsi="Tw Cen MT Condensed" w:cs="Arial"/>
          <w:sz w:val="28"/>
          <w:szCs w:val="28"/>
        </w:rPr>
        <w:t xml:space="preserve"> </w:t>
      </w:r>
      <w:r>
        <w:rPr>
          <w:rFonts w:ascii="Euphemia" w:eastAsia="Calibri,Calibri,Arial" w:hAnsi="Euphemia" w:cs="Arial"/>
          <w:bCs/>
          <w:sz w:val="20"/>
          <w:szCs w:val="20"/>
        </w:rPr>
        <w:t>[Provider/Program Name]</w:t>
      </w:r>
    </w:p>
    <w:p w14:paraId="520A7F12" w14:textId="77777777" w:rsidR="004020D7" w:rsidRPr="00942A0E" w:rsidRDefault="004020D7" w:rsidP="004020D7">
      <w:pPr>
        <w:spacing w:line="240" w:lineRule="auto"/>
        <w:rPr>
          <w:rFonts w:ascii="Euphemia" w:eastAsia="Calibri,Calibri,Arial" w:hAnsi="Euphemia" w:cs="Arial"/>
          <w:bCs/>
          <w:sz w:val="20"/>
          <w:szCs w:val="20"/>
        </w:rPr>
      </w:pPr>
      <w:r>
        <w:rPr>
          <w:rFonts w:ascii="Tw Cen MT Condensed" w:eastAsia="Calibri,Calibri,Arial" w:hAnsi="Tw Cen MT Condensed" w:cs="Arial"/>
          <w:sz w:val="28"/>
          <w:szCs w:val="28"/>
        </w:rPr>
        <w:t xml:space="preserve">Attachments(s): </w:t>
      </w:r>
      <w:r w:rsidRPr="00942A0E">
        <w:rPr>
          <w:rFonts w:ascii="Euphemia" w:eastAsia="Calibri,Calibri,Arial" w:hAnsi="Euphemia" w:cs="Arial"/>
          <w:bCs/>
          <w:sz w:val="20"/>
          <w:szCs w:val="20"/>
        </w:rPr>
        <w:t>Theory of Change Diagram and Logic Model</w:t>
      </w:r>
    </w:p>
    <w:p w14:paraId="77B9B9A4" w14:textId="619D07BF" w:rsidR="004020D7" w:rsidRDefault="004020D7" w:rsidP="004020D7">
      <w:pPr>
        <w:spacing w:line="240" w:lineRule="auto"/>
        <w:rPr>
          <w:rFonts w:ascii="Euphemia" w:eastAsia="Calibri,Calibri,Arial" w:hAnsi="Euphemia" w:cs="Arial"/>
          <w:b/>
          <w:bCs/>
          <w:sz w:val="20"/>
          <w:szCs w:val="20"/>
        </w:rPr>
      </w:pPr>
      <w:r w:rsidRPr="08EA0ED7">
        <w:rPr>
          <w:rFonts w:ascii="Tw Cen MT Condensed" w:eastAsia="Calibri,Calibri,Arial" w:hAnsi="Tw Cen MT Condensed" w:cs="Arial"/>
          <w:sz w:val="28"/>
          <w:szCs w:val="28"/>
        </w:rPr>
        <w:t>Last updated:</w:t>
      </w:r>
      <w:r w:rsidRPr="008C0A1E">
        <w:rPr>
          <w:rFonts w:ascii="Euphemia" w:eastAsia="Calibri,Calibri,Arial" w:hAnsi="Euphemia" w:cs="Arial"/>
          <w:sz w:val="20"/>
          <w:szCs w:val="20"/>
        </w:rPr>
        <w:t xml:space="preserve"> </w:t>
      </w:r>
      <w:r w:rsidR="00042379">
        <w:rPr>
          <w:rFonts w:ascii="Euphemia" w:eastAsia="Calibri,Calibri,Arial" w:hAnsi="Euphemia" w:cs="Arial"/>
          <w:sz w:val="20"/>
          <w:szCs w:val="20"/>
        </w:rPr>
        <w:t>July 2, 2021</w:t>
      </w:r>
    </w:p>
    <w:p w14:paraId="2B13BC32" w14:textId="77777777" w:rsidR="004020D7" w:rsidRDefault="004020D7" w:rsidP="004020D7">
      <w:pPr>
        <w:spacing w:line="240" w:lineRule="auto"/>
        <w:rPr>
          <w:rFonts w:ascii="Euphemia" w:eastAsia="Calibri,Calibri,Arial" w:hAnsi="Euphemia" w:cs="Arial"/>
          <w:b/>
          <w:bCs/>
          <w:sz w:val="20"/>
          <w:szCs w:val="20"/>
        </w:rPr>
      </w:pPr>
      <w:r>
        <w:rPr>
          <w:rFonts w:ascii="Euphemia" w:eastAsia="Calibri,Calibri,Arial" w:hAnsi="Euphemia" w:cs="Arial"/>
          <w:b/>
          <w:bCs/>
          <w:sz w:val="20"/>
          <w:szCs w:val="20"/>
        </w:rPr>
        <w:t xml:space="preserve">Project Lead: </w:t>
      </w:r>
      <w:r>
        <w:rPr>
          <w:rFonts w:ascii="Euphemia" w:eastAsia="Calibri,Calibri,Arial" w:hAnsi="Euphemia" w:cs="Arial"/>
          <w:bCs/>
          <w:sz w:val="20"/>
          <w:szCs w:val="20"/>
        </w:rPr>
        <w:t>[BSK Staff]</w:t>
      </w:r>
    </w:p>
    <w:p w14:paraId="2F278822" w14:textId="77777777" w:rsidR="004020D7" w:rsidRDefault="004020D7" w:rsidP="004020D7">
      <w:pPr>
        <w:spacing w:line="240" w:lineRule="auto"/>
        <w:rPr>
          <w:rFonts w:ascii="Euphemia" w:eastAsia="Calibri,Calibri,Arial" w:hAnsi="Euphemia" w:cs="Arial"/>
          <w:bCs/>
          <w:sz w:val="20"/>
          <w:szCs w:val="20"/>
        </w:rPr>
      </w:pPr>
      <w:r>
        <w:rPr>
          <w:rFonts w:ascii="Euphemia" w:eastAsia="Calibri,Calibri,Arial" w:hAnsi="Euphemia" w:cs="Arial"/>
          <w:b/>
          <w:bCs/>
          <w:sz w:val="20"/>
          <w:szCs w:val="20"/>
        </w:rPr>
        <w:t xml:space="preserve">Evaluation Lead: </w:t>
      </w:r>
      <w:r>
        <w:rPr>
          <w:rFonts w:ascii="Euphemia" w:eastAsia="Calibri,Calibri,Arial" w:hAnsi="Euphemia" w:cs="Arial"/>
          <w:bCs/>
          <w:sz w:val="20"/>
          <w:szCs w:val="20"/>
        </w:rPr>
        <w:t>[BSK Staff]</w:t>
      </w:r>
    </w:p>
    <w:p w14:paraId="1A9E3C26" w14:textId="77777777" w:rsidR="004020D7" w:rsidRDefault="004020D7" w:rsidP="004020D7">
      <w:pPr>
        <w:spacing w:line="240" w:lineRule="auto"/>
        <w:rPr>
          <w:rFonts w:ascii="Euphemia" w:eastAsia="Calibri,Calibri,Arial" w:hAnsi="Euphemia" w:cs="Arial"/>
          <w:b/>
          <w:bCs/>
          <w:sz w:val="20"/>
          <w:szCs w:val="20"/>
        </w:rPr>
      </w:pPr>
      <w:r>
        <w:rPr>
          <w:rFonts w:ascii="Euphemia" w:eastAsia="Calibri,Calibri,Arial" w:hAnsi="Euphemia" w:cs="Arial"/>
          <w:b/>
          <w:bCs/>
          <w:sz w:val="20"/>
          <w:szCs w:val="20"/>
        </w:rPr>
        <w:t xml:space="preserve">[Partner] Evaluation contact: </w:t>
      </w:r>
      <w:r>
        <w:rPr>
          <w:rFonts w:ascii="Euphemia" w:eastAsia="Calibri,Calibri,Arial" w:hAnsi="Euphemia" w:cs="Arial"/>
          <w:bCs/>
          <w:sz w:val="20"/>
          <w:szCs w:val="20"/>
        </w:rPr>
        <w:t>[Provider Staff]</w:t>
      </w:r>
    </w:p>
    <w:p w14:paraId="43762F55" w14:textId="77777777" w:rsidR="004020D7" w:rsidRDefault="004020D7" w:rsidP="004020D7">
      <w:pPr>
        <w:spacing w:line="240" w:lineRule="auto"/>
        <w:rPr>
          <w:rFonts w:ascii="Euphemia" w:eastAsia="Calibri,Calibri,Arial" w:hAnsi="Euphemia" w:cs="Arial"/>
          <w:b/>
          <w:bCs/>
          <w:sz w:val="20"/>
          <w:szCs w:val="20"/>
        </w:rPr>
      </w:pPr>
      <w:r>
        <w:rPr>
          <w:rFonts w:ascii="Euphemia" w:eastAsia="Calibri,Calibri,Arial" w:hAnsi="Euphemia" w:cs="Arial"/>
          <w:b/>
          <w:bCs/>
          <w:sz w:val="20"/>
          <w:szCs w:val="20"/>
        </w:rPr>
        <w:t xml:space="preserve">[Partner] Evaluation contact: </w:t>
      </w:r>
      <w:r w:rsidRPr="009C0790">
        <w:rPr>
          <w:rFonts w:ascii="Euphemia" w:eastAsia="Calibri,Calibri,Arial" w:hAnsi="Euphemia" w:cs="Arial"/>
          <w:sz w:val="20"/>
          <w:szCs w:val="20"/>
        </w:rPr>
        <w:t>[Provider Staff]</w:t>
      </w:r>
    </w:p>
    <w:p w14:paraId="2802AC31" w14:textId="77777777" w:rsidR="004020D7" w:rsidRPr="009A4CD0" w:rsidRDefault="004020D7" w:rsidP="004020D7">
      <w:pPr>
        <w:spacing w:line="240" w:lineRule="auto"/>
        <w:rPr>
          <w:rFonts w:ascii="Euphemia" w:eastAsia="Calibri,Calibri,Arial" w:hAnsi="Euphemia" w:cs="Arial"/>
          <w:b/>
          <w:bCs/>
          <w:sz w:val="20"/>
          <w:szCs w:val="20"/>
        </w:rPr>
      </w:pPr>
    </w:p>
    <w:p w14:paraId="098809B0" w14:textId="77777777"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I. DIRECTIONS</w:t>
      </w:r>
    </w:p>
    <w:p w14:paraId="26944CBD" w14:textId="77777777" w:rsidR="004020D7" w:rsidRPr="008C0A1E" w:rsidRDefault="004020D7" w:rsidP="004020D7">
      <w:pPr>
        <w:spacing w:line="240" w:lineRule="auto"/>
        <w:rPr>
          <w:rFonts w:ascii="Euphemia" w:eastAsia="Calibri,Arial" w:hAnsi="Euphemia" w:cs="Arial"/>
          <w:sz w:val="20"/>
          <w:szCs w:val="20"/>
        </w:rPr>
      </w:pPr>
      <w:r>
        <w:rPr>
          <w:rFonts w:ascii="Euphemia" w:eastAsia="Calibri,Arial" w:hAnsi="Euphemia" w:cs="Arial"/>
          <w:sz w:val="20"/>
          <w:szCs w:val="20"/>
        </w:rPr>
        <w:t>Use this living document to guide your evaluation activities, including data collection, summarizing, and reporting.</w:t>
      </w:r>
    </w:p>
    <w:p w14:paraId="2250A2E3" w14:textId="77777777" w:rsidR="004020D7" w:rsidRPr="001A4053" w:rsidRDefault="004020D7" w:rsidP="004020D7">
      <w:pPr>
        <w:spacing w:line="240" w:lineRule="auto"/>
        <w:rPr>
          <w:rFonts w:ascii="Euphemia" w:eastAsia="Calibri,Arial" w:hAnsi="Euphemia" w:cs="Arial"/>
          <w:sz w:val="28"/>
          <w:szCs w:val="28"/>
        </w:rPr>
      </w:pPr>
    </w:p>
    <w:p w14:paraId="1631D5E5" w14:textId="77777777"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 xml:space="preserve">II. Performance Measures </w:t>
      </w:r>
    </w:p>
    <w:p w14:paraId="44B4D443" w14:textId="77777777" w:rsidR="004020D7" w:rsidRPr="008C0A1E" w:rsidRDefault="004020D7" w:rsidP="004020D7">
      <w:pPr>
        <w:rPr>
          <w:rFonts w:ascii="Euphemia" w:eastAsia="Calibri,Arial" w:hAnsi="Euphemia" w:cs="Arial"/>
          <w:sz w:val="20"/>
          <w:szCs w:val="20"/>
        </w:rPr>
      </w:pPr>
      <w:r w:rsidRPr="08EA0ED7">
        <w:rPr>
          <w:rFonts w:ascii="Euphemia" w:eastAsia="Calibri,Arial" w:hAnsi="Euphemia" w:cs="Arial"/>
          <w:sz w:val="20"/>
          <w:szCs w:val="20"/>
        </w:rPr>
        <w:t>Adapt as needed. Include at least one of each type of measure and align with strategy measures.</w:t>
      </w:r>
    </w:p>
    <w:p w14:paraId="683FE04F" w14:textId="77777777" w:rsidR="004020D7" w:rsidRPr="000C6D8D" w:rsidRDefault="004020D7" w:rsidP="004020D7">
      <w:pPr>
        <w:rPr>
          <w:rFonts w:ascii="Euphemia" w:eastAsia="Calibri,Arial" w:hAnsi="Euphemia" w:cs="Arial"/>
          <w:bCs/>
          <w:sz w:val="20"/>
          <w:szCs w:val="20"/>
        </w:rPr>
      </w:pPr>
    </w:p>
    <w:tbl>
      <w:tblPr>
        <w:tblStyle w:val="TableGrid"/>
        <w:tblW w:w="0" w:type="auto"/>
        <w:tblLook w:val="04A0" w:firstRow="1" w:lastRow="0" w:firstColumn="1" w:lastColumn="0" w:noHBand="0" w:noVBand="1"/>
      </w:tblPr>
      <w:tblGrid>
        <w:gridCol w:w="2240"/>
        <w:gridCol w:w="3557"/>
        <w:gridCol w:w="2006"/>
        <w:gridCol w:w="1547"/>
      </w:tblGrid>
      <w:tr w:rsidR="004020D7" w:rsidRPr="008C0A1E" w:rsidDel="00AC06E4" w14:paraId="27B30883" w14:textId="77777777" w:rsidTr="00283D3E">
        <w:trPr>
          <w:trHeight w:val="422"/>
        </w:trPr>
        <w:tc>
          <w:tcPr>
            <w:tcW w:w="3694" w:type="dxa"/>
            <w:shd w:val="clear" w:color="auto" w:fill="auto"/>
            <w:vAlign w:val="bottom"/>
          </w:tcPr>
          <w:p w14:paraId="758D2BF6"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Type</w:t>
            </w:r>
          </w:p>
        </w:tc>
        <w:tc>
          <w:tcPr>
            <w:tcW w:w="5051" w:type="dxa"/>
            <w:shd w:val="clear" w:color="auto" w:fill="auto"/>
            <w:vAlign w:val="bottom"/>
          </w:tcPr>
          <w:p w14:paraId="43DC6079" w14:textId="77777777" w:rsidR="004020D7" w:rsidRPr="008C0A1E" w:rsidRDefault="004020D7" w:rsidP="00283D3E">
            <w:pPr>
              <w:contextualSpacing/>
              <w:jc w:val="center"/>
              <w:rPr>
                <w:rFonts w:ascii="Tw Cen MT Condensed" w:hAnsi="Tw Cen MT Condensed" w:cs="Arial"/>
                <w:sz w:val="32"/>
                <w:szCs w:val="32"/>
              </w:rPr>
            </w:pPr>
            <w:r w:rsidRPr="08EA0ED7">
              <w:rPr>
                <w:rFonts w:ascii="Tw Cen MT Condensed" w:hAnsi="Tw Cen MT Condensed" w:cs="Arial"/>
                <w:sz w:val="32"/>
                <w:szCs w:val="32"/>
              </w:rPr>
              <w:t>Measures</w:t>
            </w:r>
          </w:p>
        </w:tc>
        <w:tc>
          <w:tcPr>
            <w:tcW w:w="4493" w:type="dxa"/>
            <w:gridSpan w:val="2"/>
          </w:tcPr>
          <w:p w14:paraId="786DCF34" w14:textId="77777777" w:rsidR="004020D7" w:rsidRPr="08EA0ED7" w:rsidRDefault="004020D7" w:rsidP="00283D3E">
            <w:pPr>
              <w:contextualSpacing/>
              <w:jc w:val="center"/>
              <w:rPr>
                <w:rFonts w:ascii="Tw Cen MT Condensed" w:hAnsi="Tw Cen MT Condensed" w:cs="Arial"/>
                <w:sz w:val="32"/>
                <w:szCs w:val="32"/>
              </w:rPr>
            </w:pPr>
            <w:r>
              <w:rPr>
                <w:rFonts w:ascii="Tw Cen MT Condensed" w:hAnsi="Tw Cen MT Condensed" w:cs="Arial"/>
                <w:sz w:val="32"/>
                <w:szCs w:val="32"/>
              </w:rPr>
              <w:t>Definitions/Method of data collection</w:t>
            </w:r>
          </w:p>
        </w:tc>
      </w:tr>
      <w:tr w:rsidR="004020D7" w:rsidRPr="008C0A1E" w:rsidDel="00AC06E4" w14:paraId="268C8FBB" w14:textId="77777777" w:rsidTr="00283D3E">
        <w:tc>
          <w:tcPr>
            <w:tcW w:w="3694" w:type="dxa"/>
          </w:tcPr>
          <w:p w14:paraId="1A5A3E91" w14:textId="77777777" w:rsidR="004020D7" w:rsidRPr="00DB360B" w:rsidRDefault="004020D7" w:rsidP="00283D3E">
            <w:pPr>
              <w:rPr>
                <w:rFonts w:ascii="Euphemia" w:eastAsia="Calibri" w:hAnsi="Euphemia" w:cs="Arial"/>
                <w:b/>
                <w:bCs/>
                <w:sz w:val="20"/>
                <w:szCs w:val="20"/>
              </w:rPr>
            </w:pPr>
            <w:r w:rsidRPr="00DB360B">
              <w:rPr>
                <w:rFonts w:ascii="Euphemia" w:eastAsia="Calibri" w:hAnsi="Euphemia" w:cs="Arial"/>
                <w:b/>
                <w:bCs/>
                <w:sz w:val="20"/>
                <w:szCs w:val="20"/>
              </w:rPr>
              <w:t>How much did we do?</w:t>
            </w:r>
          </w:p>
          <w:p w14:paraId="131F0444" w14:textId="77777777" w:rsidR="004020D7" w:rsidRPr="00DB360B" w:rsidRDefault="004020D7" w:rsidP="00283D3E">
            <w:pPr>
              <w:rPr>
                <w:rFonts w:ascii="Euphemia" w:eastAsia="Calibri" w:hAnsi="Euphemia" w:cs="Arial"/>
                <w:sz w:val="12"/>
                <w:szCs w:val="12"/>
              </w:rPr>
            </w:pPr>
          </w:p>
          <w:p w14:paraId="27F35209" w14:textId="77777777" w:rsidR="004020D7" w:rsidRPr="00DB360B" w:rsidDel="00AC06E4" w:rsidRDefault="004020D7" w:rsidP="00283D3E">
            <w:pPr>
              <w:rPr>
                <w:rFonts w:ascii="Euphemia" w:hAnsi="Euphemia" w:cs="Arial"/>
                <w:sz w:val="20"/>
                <w:szCs w:val="20"/>
              </w:rPr>
            </w:pPr>
            <w:r w:rsidRPr="00DB360B">
              <w:rPr>
                <w:rFonts w:ascii="Euphemia" w:eastAsia="Calibri" w:hAnsi="Euphemia" w:cs="Arial"/>
                <w:sz w:val="20"/>
                <w:szCs w:val="20"/>
              </w:rPr>
              <w:t xml:space="preserve">Quantity of service provided. For example </w:t>
            </w:r>
            <w:r w:rsidRPr="00DB360B">
              <w:rPr>
                <w:rFonts w:ascii="Euphemia" w:hAnsi="Euphemia" w:cs="Arial"/>
                <w:sz w:val="20"/>
                <w:szCs w:val="20"/>
              </w:rPr>
              <w:t># of clients served, # of activities by activity type.</w:t>
            </w:r>
          </w:p>
        </w:tc>
        <w:tc>
          <w:tcPr>
            <w:tcW w:w="5051" w:type="dxa"/>
          </w:tcPr>
          <w:p w14:paraId="3C9EF8FD" w14:textId="77777777" w:rsidR="004020D7" w:rsidRPr="005706FE" w:rsidRDefault="004020D7" w:rsidP="00025030">
            <w:pPr>
              <w:pStyle w:val="ListParagraph"/>
              <w:numPr>
                <w:ilvl w:val="0"/>
                <w:numId w:val="70"/>
              </w:numPr>
              <w:spacing w:line="240" w:lineRule="auto"/>
              <w:rPr>
                <w:sz w:val="18"/>
                <w:szCs w:val="18"/>
              </w:rPr>
            </w:pPr>
            <w:r>
              <w:rPr>
                <w:sz w:val="18"/>
                <w:szCs w:val="18"/>
              </w:rPr>
              <w:t xml:space="preserve"># of children, </w:t>
            </w:r>
            <w:r w:rsidRPr="005706FE">
              <w:rPr>
                <w:sz w:val="18"/>
                <w:szCs w:val="18"/>
              </w:rPr>
              <w:t>families</w:t>
            </w:r>
            <w:r>
              <w:rPr>
                <w:sz w:val="18"/>
                <w:szCs w:val="18"/>
              </w:rPr>
              <w:t xml:space="preserve">, partner agencies, programs, and sites </w:t>
            </w:r>
            <w:r w:rsidRPr="005706FE">
              <w:rPr>
                <w:sz w:val="18"/>
                <w:szCs w:val="18"/>
              </w:rPr>
              <w:t xml:space="preserve">served </w:t>
            </w:r>
          </w:p>
          <w:p w14:paraId="39C2D3F5" w14:textId="77777777" w:rsidR="004020D7" w:rsidRDefault="004020D7" w:rsidP="00025030">
            <w:pPr>
              <w:pStyle w:val="ListParagraph"/>
              <w:numPr>
                <w:ilvl w:val="0"/>
                <w:numId w:val="70"/>
              </w:numPr>
              <w:spacing w:line="240" w:lineRule="auto"/>
              <w:rPr>
                <w:sz w:val="18"/>
                <w:szCs w:val="18"/>
              </w:rPr>
            </w:pPr>
            <w:r w:rsidRPr="005706FE">
              <w:rPr>
                <w:sz w:val="18"/>
                <w:szCs w:val="18"/>
              </w:rPr>
              <w:t xml:space="preserve"># of requests for each </w:t>
            </w:r>
            <w:r>
              <w:rPr>
                <w:sz w:val="18"/>
                <w:szCs w:val="18"/>
              </w:rPr>
              <w:t>category</w:t>
            </w:r>
            <w:r w:rsidRPr="005706FE">
              <w:rPr>
                <w:sz w:val="18"/>
                <w:szCs w:val="18"/>
              </w:rPr>
              <w:t xml:space="preserve"> of item</w:t>
            </w:r>
          </w:p>
          <w:p w14:paraId="024A33E0" w14:textId="77777777" w:rsidR="004020D7" w:rsidRDefault="004020D7" w:rsidP="00025030">
            <w:pPr>
              <w:pStyle w:val="ListParagraph"/>
              <w:numPr>
                <w:ilvl w:val="0"/>
                <w:numId w:val="70"/>
              </w:numPr>
              <w:spacing w:line="240" w:lineRule="auto"/>
              <w:rPr>
                <w:sz w:val="18"/>
                <w:szCs w:val="18"/>
              </w:rPr>
            </w:pPr>
            <w:r>
              <w:rPr>
                <w:sz w:val="18"/>
                <w:szCs w:val="18"/>
              </w:rPr>
              <w:t># and types of items distributed</w:t>
            </w:r>
          </w:p>
          <w:p w14:paraId="73B4D1FE" w14:textId="77777777" w:rsidR="004020D7" w:rsidRPr="00DB360B" w:rsidRDefault="004020D7" w:rsidP="00283D3E">
            <w:pPr>
              <w:pStyle w:val="ListParagraph"/>
              <w:ind w:left="360"/>
              <w:rPr>
                <w:rFonts w:eastAsia="Calibri" w:cs="Calibri"/>
              </w:rPr>
            </w:pPr>
          </w:p>
          <w:p w14:paraId="7AE8F143" w14:textId="77777777" w:rsidR="004020D7" w:rsidRPr="00DB360B" w:rsidRDefault="004020D7" w:rsidP="00283D3E">
            <w:pPr>
              <w:pStyle w:val="ListParagraph"/>
              <w:ind w:left="360"/>
              <w:rPr>
                <w:rFonts w:ascii="Euphemia" w:hAnsi="Euphemia" w:cs="Arial"/>
                <w:sz w:val="20"/>
                <w:szCs w:val="20"/>
                <w:u w:val="single"/>
              </w:rPr>
            </w:pPr>
          </w:p>
        </w:tc>
        <w:tc>
          <w:tcPr>
            <w:tcW w:w="4493" w:type="dxa"/>
            <w:gridSpan w:val="2"/>
          </w:tcPr>
          <w:p w14:paraId="557C8F26" w14:textId="77777777" w:rsidR="004020D7" w:rsidRPr="00DB360B" w:rsidRDefault="004020D7" w:rsidP="00025030">
            <w:pPr>
              <w:pStyle w:val="ListParagraph"/>
              <w:numPr>
                <w:ilvl w:val="0"/>
                <w:numId w:val="71"/>
              </w:numPr>
              <w:spacing w:line="240" w:lineRule="auto"/>
              <w:rPr>
                <w:rFonts w:eastAsia="Calibri" w:cs="Calibri"/>
                <w:iCs/>
              </w:rPr>
            </w:pPr>
            <w:r>
              <w:rPr>
                <w:rFonts w:eastAsia="Calibri" w:cs="Calibri"/>
                <w:iCs/>
              </w:rPr>
              <w:t>Salesforce database</w:t>
            </w:r>
          </w:p>
        </w:tc>
      </w:tr>
      <w:tr w:rsidR="004020D7" w:rsidRPr="008C0A1E" w:rsidDel="00AC06E4" w14:paraId="7EA67E5F" w14:textId="77777777" w:rsidTr="00283D3E">
        <w:tc>
          <w:tcPr>
            <w:tcW w:w="3694" w:type="dxa"/>
          </w:tcPr>
          <w:p w14:paraId="7972B420" w14:textId="77777777" w:rsidR="004020D7" w:rsidRPr="00DB360B" w:rsidRDefault="004020D7" w:rsidP="00283D3E">
            <w:pPr>
              <w:contextualSpacing/>
              <w:rPr>
                <w:rFonts w:ascii="Euphemia" w:eastAsia="Calibri" w:hAnsi="Euphemia" w:cs="Arial"/>
                <w:b/>
                <w:bCs/>
                <w:sz w:val="20"/>
                <w:szCs w:val="20"/>
                <w:u w:val="single"/>
              </w:rPr>
            </w:pPr>
            <w:r w:rsidRPr="00DB360B">
              <w:rPr>
                <w:rFonts w:ascii="Euphemia" w:eastAsia="Calibri" w:hAnsi="Euphemia" w:cs="Arial"/>
                <w:b/>
                <w:bCs/>
                <w:sz w:val="20"/>
                <w:szCs w:val="20"/>
              </w:rPr>
              <w:t>How well did we do it?</w:t>
            </w:r>
            <w:r w:rsidRPr="00DB360B">
              <w:rPr>
                <w:rFonts w:ascii="Euphemia" w:eastAsia="Calibri" w:hAnsi="Euphemia" w:cs="Arial"/>
                <w:b/>
                <w:bCs/>
                <w:sz w:val="20"/>
                <w:szCs w:val="20"/>
                <w:u w:val="single"/>
              </w:rPr>
              <w:t xml:space="preserve"> </w:t>
            </w:r>
          </w:p>
          <w:p w14:paraId="40751C7F" w14:textId="77777777" w:rsidR="004020D7" w:rsidRPr="00DB360B" w:rsidRDefault="004020D7" w:rsidP="00283D3E">
            <w:pPr>
              <w:contextualSpacing/>
              <w:rPr>
                <w:rFonts w:ascii="Euphemia" w:eastAsia="Calibri" w:hAnsi="Euphemia" w:cs="Arial"/>
                <w:sz w:val="12"/>
                <w:szCs w:val="12"/>
              </w:rPr>
            </w:pPr>
          </w:p>
          <w:p w14:paraId="67D30B20" w14:textId="77777777" w:rsidR="004020D7" w:rsidRPr="00DB360B" w:rsidRDefault="004020D7" w:rsidP="00283D3E">
            <w:pPr>
              <w:contextualSpacing/>
              <w:rPr>
                <w:rFonts w:ascii="Euphemia" w:eastAsia="Calibri" w:hAnsi="Euphemia" w:cs="Arial"/>
                <w:sz w:val="20"/>
                <w:szCs w:val="20"/>
              </w:rPr>
            </w:pPr>
            <w:r w:rsidRPr="00DB360B">
              <w:rPr>
                <w:rFonts w:ascii="Euphemia" w:eastAsia="Calibri" w:hAnsi="Euphemia" w:cs="Arial"/>
                <w:sz w:val="20"/>
                <w:szCs w:val="20"/>
              </w:rPr>
              <w:t>Quality of service provided. For example % of services started within x days, % of participants satisfied with services, fidelity measures for evidence-based models.</w:t>
            </w:r>
          </w:p>
          <w:p w14:paraId="265EC669" w14:textId="77777777" w:rsidR="004020D7" w:rsidRPr="00DB360B" w:rsidDel="00AC06E4" w:rsidRDefault="004020D7" w:rsidP="00283D3E">
            <w:pPr>
              <w:contextualSpacing/>
              <w:rPr>
                <w:rFonts w:ascii="Euphemia" w:eastAsia="Calibri" w:hAnsi="Euphemia" w:cs="Arial"/>
                <w:sz w:val="20"/>
                <w:szCs w:val="20"/>
              </w:rPr>
            </w:pPr>
          </w:p>
        </w:tc>
        <w:tc>
          <w:tcPr>
            <w:tcW w:w="5051" w:type="dxa"/>
          </w:tcPr>
          <w:p w14:paraId="1CEE6052"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lastRenderedPageBreak/>
              <w:t xml:space="preserve">% of </w:t>
            </w:r>
            <w:r>
              <w:rPr>
                <w:sz w:val="18"/>
                <w:szCs w:val="18"/>
              </w:rPr>
              <w:t>items that reach focus communities</w:t>
            </w:r>
          </w:p>
          <w:p w14:paraId="7FF1E9C6" w14:textId="77777777" w:rsidR="004020D7" w:rsidRDefault="004020D7" w:rsidP="00025030">
            <w:pPr>
              <w:pStyle w:val="ListParagraph"/>
              <w:numPr>
                <w:ilvl w:val="0"/>
                <w:numId w:val="70"/>
              </w:numPr>
              <w:spacing w:line="240" w:lineRule="auto"/>
              <w:rPr>
                <w:sz w:val="18"/>
                <w:szCs w:val="18"/>
              </w:rPr>
            </w:pPr>
            <w:r w:rsidRPr="005706FE">
              <w:rPr>
                <w:sz w:val="18"/>
                <w:szCs w:val="18"/>
              </w:rPr>
              <w:lastRenderedPageBreak/>
              <w:t xml:space="preserve">% of </w:t>
            </w:r>
            <w:r>
              <w:rPr>
                <w:sz w:val="18"/>
                <w:szCs w:val="18"/>
              </w:rPr>
              <w:t>partner agencies</w:t>
            </w:r>
            <w:r w:rsidRPr="005706FE">
              <w:rPr>
                <w:sz w:val="18"/>
                <w:szCs w:val="18"/>
              </w:rPr>
              <w:t xml:space="preserve"> with sustained partnership with resource broker</w:t>
            </w:r>
          </w:p>
          <w:p w14:paraId="7EA255C6" w14:textId="77777777" w:rsidR="004020D7" w:rsidRPr="005706FE" w:rsidRDefault="004020D7" w:rsidP="00025030">
            <w:pPr>
              <w:pStyle w:val="ListParagraph"/>
              <w:numPr>
                <w:ilvl w:val="0"/>
                <w:numId w:val="70"/>
              </w:numPr>
              <w:spacing w:line="240" w:lineRule="auto"/>
              <w:rPr>
                <w:sz w:val="18"/>
                <w:szCs w:val="18"/>
              </w:rPr>
            </w:pPr>
            <w:r>
              <w:rPr>
                <w:sz w:val="18"/>
                <w:szCs w:val="18"/>
              </w:rPr>
              <w:t>% of orders filled</w:t>
            </w:r>
          </w:p>
          <w:p w14:paraId="34C18F15" w14:textId="77777777" w:rsidR="004020D7" w:rsidRPr="00DB360B" w:rsidRDefault="004020D7" w:rsidP="00283D3E">
            <w:pPr>
              <w:pStyle w:val="ListParagraph"/>
              <w:ind w:left="360"/>
              <w:rPr>
                <w:rFonts w:eastAsia="Calibri" w:cs="Calibri"/>
              </w:rPr>
            </w:pPr>
          </w:p>
          <w:p w14:paraId="009ADFBD" w14:textId="77777777" w:rsidR="004020D7" w:rsidRPr="00DB360B" w:rsidRDefault="004020D7" w:rsidP="00283D3E">
            <w:pPr>
              <w:pStyle w:val="Default"/>
              <w:ind w:left="360"/>
            </w:pPr>
          </w:p>
          <w:p w14:paraId="50861799" w14:textId="77777777" w:rsidR="004020D7" w:rsidRPr="00DB360B" w:rsidRDefault="004020D7" w:rsidP="00283D3E">
            <w:pPr>
              <w:rPr>
                <w:rFonts w:ascii="Euphemia" w:eastAsia="Calibri" w:hAnsi="Euphemia" w:cs="Arial"/>
                <w:sz w:val="20"/>
                <w:szCs w:val="20"/>
                <w:u w:val="single"/>
              </w:rPr>
            </w:pPr>
          </w:p>
        </w:tc>
        <w:tc>
          <w:tcPr>
            <w:tcW w:w="2860" w:type="dxa"/>
          </w:tcPr>
          <w:p w14:paraId="43441C6E" w14:textId="77777777" w:rsidR="004020D7" w:rsidRPr="002259AD" w:rsidRDefault="004020D7" w:rsidP="00025030">
            <w:pPr>
              <w:pStyle w:val="ListParagraph"/>
              <w:numPr>
                <w:ilvl w:val="0"/>
                <w:numId w:val="71"/>
              </w:numPr>
              <w:spacing w:line="240" w:lineRule="auto"/>
              <w:rPr>
                <w:rFonts w:eastAsia="Calibri" w:cs="Calibri"/>
              </w:rPr>
            </w:pPr>
            <w:r w:rsidRPr="002259AD">
              <w:rPr>
                <w:sz w:val="18"/>
                <w:szCs w:val="18"/>
              </w:rPr>
              <w:lastRenderedPageBreak/>
              <w:t xml:space="preserve"># of items distributed to </w:t>
            </w:r>
            <w:r w:rsidRPr="002259AD">
              <w:rPr>
                <w:sz w:val="18"/>
                <w:szCs w:val="18"/>
              </w:rPr>
              <w:lastRenderedPageBreak/>
              <w:t>families (or agencies?) with a south king county zip code</w:t>
            </w:r>
            <w:r>
              <w:rPr>
                <w:sz w:val="18"/>
                <w:szCs w:val="18"/>
              </w:rPr>
              <w:t xml:space="preserve"> / </w:t>
            </w:r>
            <w:r w:rsidRPr="002259AD">
              <w:rPr>
                <w:sz w:val="18"/>
                <w:szCs w:val="18"/>
              </w:rPr>
              <w:t>Total # of items distributed</w:t>
            </w:r>
          </w:p>
          <w:p w14:paraId="270370B8" w14:textId="77777777" w:rsidR="004020D7" w:rsidRPr="002259AD" w:rsidRDefault="004020D7" w:rsidP="00025030">
            <w:pPr>
              <w:pStyle w:val="ListParagraph"/>
              <w:numPr>
                <w:ilvl w:val="0"/>
                <w:numId w:val="71"/>
              </w:numPr>
              <w:spacing w:line="240" w:lineRule="auto"/>
              <w:rPr>
                <w:sz w:val="18"/>
                <w:szCs w:val="18"/>
              </w:rPr>
            </w:pPr>
            <w:r w:rsidRPr="002259AD">
              <w:rPr>
                <w:sz w:val="18"/>
                <w:szCs w:val="18"/>
              </w:rPr>
              <w:t># of agencies who have been partners for over 1 year/ Total # of partner agencies</w:t>
            </w:r>
          </w:p>
          <w:p w14:paraId="4A0804A1" w14:textId="77777777" w:rsidR="004020D7" w:rsidRPr="002259AD" w:rsidRDefault="004020D7" w:rsidP="00025030">
            <w:pPr>
              <w:pStyle w:val="ListParagraph"/>
              <w:numPr>
                <w:ilvl w:val="0"/>
                <w:numId w:val="71"/>
              </w:numPr>
              <w:spacing w:line="240" w:lineRule="auto"/>
              <w:rPr>
                <w:rFonts w:eastAsia="Calibri" w:cs="Calibri"/>
              </w:rPr>
            </w:pPr>
            <w:r w:rsidRPr="002259AD">
              <w:rPr>
                <w:sz w:val="18"/>
                <w:szCs w:val="18"/>
              </w:rPr>
              <w:t># of items distributed/ # of items requested</w:t>
            </w:r>
          </w:p>
        </w:tc>
        <w:tc>
          <w:tcPr>
            <w:tcW w:w="1633" w:type="dxa"/>
          </w:tcPr>
          <w:p w14:paraId="30A680C3" w14:textId="77777777" w:rsidR="004020D7" w:rsidRPr="002259AD" w:rsidRDefault="004020D7" w:rsidP="00025030">
            <w:pPr>
              <w:pStyle w:val="ListParagraph"/>
              <w:numPr>
                <w:ilvl w:val="0"/>
                <w:numId w:val="71"/>
              </w:numPr>
              <w:spacing w:line="240" w:lineRule="auto"/>
              <w:rPr>
                <w:rFonts w:eastAsia="Calibri" w:cs="Calibri"/>
              </w:rPr>
            </w:pPr>
            <w:r>
              <w:rPr>
                <w:rFonts w:eastAsia="Calibri" w:cs="Calibri"/>
                <w:iCs/>
              </w:rPr>
              <w:lastRenderedPageBreak/>
              <w:t>Salesforce database</w:t>
            </w:r>
          </w:p>
        </w:tc>
      </w:tr>
      <w:tr w:rsidR="004020D7" w:rsidRPr="008C0A1E" w:rsidDel="00AC06E4" w14:paraId="444BD822" w14:textId="77777777" w:rsidTr="00283D3E">
        <w:trPr>
          <w:trHeight w:val="2429"/>
        </w:trPr>
        <w:tc>
          <w:tcPr>
            <w:tcW w:w="3694" w:type="dxa"/>
          </w:tcPr>
          <w:p w14:paraId="544AF1EE" w14:textId="77777777" w:rsidR="004020D7" w:rsidRPr="008C0A1E" w:rsidRDefault="004020D7" w:rsidP="00283D3E">
            <w:pPr>
              <w:contextualSpacing/>
              <w:rPr>
                <w:rFonts w:ascii="Euphemia" w:eastAsia="Calibri" w:hAnsi="Euphemia" w:cs="Arial"/>
                <w:b/>
                <w:bCs/>
                <w:sz w:val="20"/>
                <w:szCs w:val="20"/>
              </w:rPr>
            </w:pPr>
            <w:r w:rsidRPr="08EA0ED7">
              <w:rPr>
                <w:rFonts w:ascii="Euphemia" w:eastAsia="Calibri" w:hAnsi="Euphemia" w:cs="Arial"/>
                <w:b/>
                <w:bCs/>
                <w:sz w:val="20"/>
                <w:szCs w:val="20"/>
              </w:rPr>
              <w:t>Is anyone better off?</w:t>
            </w:r>
          </w:p>
          <w:p w14:paraId="5A301532" w14:textId="77777777" w:rsidR="004020D7" w:rsidRPr="000827A0" w:rsidRDefault="004020D7" w:rsidP="00283D3E">
            <w:pPr>
              <w:contextualSpacing/>
              <w:rPr>
                <w:rFonts w:ascii="Euphemia" w:hAnsi="Euphemia" w:cs="Arial"/>
                <w:sz w:val="12"/>
                <w:szCs w:val="12"/>
              </w:rPr>
            </w:pPr>
          </w:p>
          <w:p w14:paraId="01AA01EC" w14:textId="77777777" w:rsidR="004020D7" w:rsidRPr="008C0A1E" w:rsidDel="00AC06E4" w:rsidRDefault="004020D7" w:rsidP="00283D3E">
            <w:pPr>
              <w:contextualSpacing/>
              <w:rPr>
                <w:rFonts w:ascii="Euphemia" w:eastAsia="Calibri" w:hAnsi="Euphemia" w:cs="Arial"/>
                <w:i/>
                <w:iCs/>
                <w:sz w:val="20"/>
                <w:szCs w:val="20"/>
              </w:rPr>
            </w:pPr>
            <w:r w:rsidRPr="08EA0ED7">
              <w:rPr>
                <w:rFonts w:ascii="Euphemia" w:eastAsia="Calibri" w:hAnsi="Euphemia" w:cs="Arial"/>
                <w:sz w:val="20"/>
                <w:szCs w:val="20"/>
              </w:rPr>
              <w:t>Quantity of clients that are better off. F</w:t>
            </w:r>
            <w:r w:rsidRPr="08EA0ED7">
              <w:rPr>
                <w:rFonts w:ascii="Euphemia" w:hAnsi="Euphemia" w:cs="Arial"/>
                <w:sz w:val="20"/>
                <w:szCs w:val="20"/>
              </w:rPr>
              <w:t xml:space="preserve">or example </w:t>
            </w:r>
            <w:r w:rsidRPr="08EA0ED7">
              <w:rPr>
                <w:rFonts w:ascii="Euphemia" w:eastAsia="Calibri" w:hAnsi="Euphemia" w:cs="Arial"/>
                <w:sz w:val="20"/>
                <w:szCs w:val="20"/>
              </w:rPr>
              <w:t>% of clients with improved health, well-being, knowledge, skills, or behaviors. For PSE projects this could be a narrative report of observed changes.</w:t>
            </w:r>
          </w:p>
        </w:tc>
        <w:tc>
          <w:tcPr>
            <w:tcW w:w="5051" w:type="dxa"/>
          </w:tcPr>
          <w:p w14:paraId="72187DA5" w14:textId="77777777" w:rsidR="004020D7" w:rsidRDefault="004020D7" w:rsidP="00025030">
            <w:pPr>
              <w:pStyle w:val="ListParagraph"/>
              <w:numPr>
                <w:ilvl w:val="0"/>
                <w:numId w:val="70"/>
              </w:numPr>
              <w:spacing w:line="240" w:lineRule="auto"/>
              <w:rPr>
                <w:sz w:val="18"/>
                <w:szCs w:val="18"/>
              </w:rPr>
            </w:pPr>
            <w:r>
              <w:rPr>
                <w:sz w:val="18"/>
                <w:szCs w:val="18"/>
              </w:rPr>
              <w:t>%</w:t>
            </w:r>
            <w:r w:rsidRPr="00590E29">
              <w:rPr>
                <w:sz w:val="18"/>
                <w:szCs w:val="18"/>
              </w:rPr>
              <w:t xml:space="preserve"> of provider partners who </w:t>
            </w:r>
            <w:r>
              <w:rPr>
                <w:sz w:val="18"/>
                <w:szCs w:val="18"/>
              </w:rPr>
              <w:t>agree/strongly agree</w:t>
            </w:r>
            <w:r w:rsidRPr="00590E29">
              <w:rPr>
                <w:sz w:val="18"/>
                <w:szCs w:val="18"/>
              </w:rPr>
              <w:t xml:space="preserve"> that </w:t>
            </w:r>
            <w:r>
              <w:rPr>
                <w:sz w:val="18"/>
                <w:szCs w:val="18"/>
              </w:rPr>
              <w:t xml:space="preserve">the impact of providing goods to their clients: </w:t>
            </w:r>
          </w:p>
          <w:p w14:paraId="309904A6"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positively influenced organization and program budgets; </w:t>
            </w:r>
          </w:p>
          <w:p w14:paraId="79543449"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increased communication by clients between scheduled visits; </w:t>
            </w:r>
          </w:p>
          <w:p w14:paraId="2E66C883"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has kept clients in their program longer; </w:t>
            </w:r>
          </w:p>
          <w:p w14:paraId="382703F6" w14:textId="77777777" w:rsidR="004020D7" w:rsidRDefault="004020D7" w:rsidP="00025030">
            <w:pPr>
              <w:pStyle w:val="ListParagraph"/>
              <w:numPr>
                <w:ilvl w:val="1"/>
                <w:numId w:val="70"/>
              </w:numPr>
              <w:spacing w:line="240" w:lineRule="auto"/>
              <w:ind w:left="432" w:hanging="180"/>
              <w:rPr>
                <w:sz w:val="18"/>
                <w:szCs w:val="18"/>
              </w:rPr>
            </w:pPr>
            <w:r>
              <w:rPr>
                <w:sz w:val="18"/>
                <w:szCs w:val="18"/>
              </w:rPr>
              <w:t>helps to reduce the number of missed client visits</w:t>
            </w:r>
          </w:p>
          <w:p w14:paraId="4BCFBAF3" w14:textId="77777777" w:rsidR="004020D7" w:rsidRPr="005706FE" w:rsidRDefault="004020D7" w:rsidP="00283D3E">
            <w:pPr>
              <w:rPr>
                <w:i/>
                <w:sz w:val="20"/>
                <w:szCs w:val="20"/>
                <w:u w:val="single"/>
              </w:rPr>
            </w:pPr>
          </w:p>
          <w:p w14:paraId="7B43DA29" w14:textId="77777777" w:rsidR="004020D7" w:rsidRDefault="004020D7" w:rsidP="00283D3E">
            <w:pPr>
              <w:rPr>
                <w:rFonts w:eastAsia="Calibri" w:cs="Calibri"/>
                <w:i/>
                <w:iCs/>
                <w:sz w:val="20"/>
                <w:szCs w:val="20"/>
                <w:u w:val="single"/>
              </w:rPr>
            </w:pPr>
            <w:r w:rsidRPr="79CAECB6">
              <w:rPr>
                <w:rFonts w:eastAsia="Calibri" w:cs="Calibri"/>
                <w:i/>
                <w:iCs/>
                <w:sz w:val="20"/>
                <w:szCs w:val="20"/>
                <w:u w:val="single"/>
              </w:rPr>
              <w:t>Policy/Systems/Environment:</w:t>
            </w:r>
          </w:p>
          <w:p w14:paraId="75154795" w14:textId="77777777" w:rsidR="004020D7" w:rsidRDefault="004020D7" w:rsidP="00283D3E">
            <w:pPr>
              <w:rPr>
                <w:i/>
                <w:sz w:val="20"/>
                <w:szCs w:val="20"/>
                <w:u w:val="single"/>
              </w:rPr>
            </w:pPr>
          </w:p>
          <w:p w14:paraId="4C682686" w14:textId="77777777" w:rsidR="004020D7" w:rsidRPr="009274AE" w:rsidRDefault="004020D7" w:rsidP="00025030">
            <w:pPr>
              <w:pStyle w:val="ListParagraph"/>
              <w:numPr>
                <w:ilvl w:val="0"/>
                <w:numId w:val="69"/>
              </w:numPr>
              <w:spacing w:line="240" w:lineRule="auto"/>
              <w:rPr>
                <w:sz w:val="18"/>
                <w:szCs w:val="18"/>
              </w:rPr>
            </w:pPr>
            <w:r>
              <w:rPr>
                <w:sz w:val="18"/>
                <w:szCs w:val="20"/>
              </w:rPr>
              <w:t>% increase # of goods (or items) distributed</w:t>
            </w:r>
          </w:p>
          <w:p w14:paraId="529AC536" w14:textId="77777777" w:rsidR="004020D7" w:rsidRPr="006B5FF0" w:rsidRDefault="004020D7" w:rsidP="00025030">
            <w:pPr>
              <w:pStyle w:val="ListParagraph"/>
              <w:numPr>
                <w:ilvl w:val="0"/>
                <w:numId w:val="69"/>
              </w:numPr>
              <w:spacing w:line="240" w:lineRule="auto"/>
              <w:rPr>
                <w:sz w:val="18"/>
                <w:szCs w:val="18"/>
              </w:rPr>
            </w:pPr>
            <w:r>
              <w:rPr>
                <w:sz w:val="18"/>
                <w:szCs w:val="20"/>
              </w:rPr>
              <w:t>Increase ability to secure or distribute goods</w:t>
            </w:r>
          </w:p>
          <w:p w14:paraId="168C7CFD" w14:textId="77777777" w:rsidR="004020D7" w:rsidRPr="006B5FF0" w:rsidRDefault="004020D7" w:rsidP="00025030">
            <w:pPr>
              <w:pStyle w:val="ListParagraph"/>
              <w:numPr>
                <w:ilvl w:val="0"/>
                <w:numId w:val="69"/>
              </w:numPr>
              <w:spacing w:line="240" w:lineRule="auto"/>
              <w:rPr>
                <w:sz w:val="18"/>
                <w:szCs w:val="18"/>
              </w:rPr>
            </w:pPr>
            <w:r w:rsidRPr="006B5FF0">
              <w:rPr>
                <w:sz w:val="18"/>
                <w:szCs w:val="20"/>
              </w:rPr>
              <w:t>Increase awareness as demonstrated by increased volunteering and donating</w:t>
            </w:r>
          </w:p>
        </w:tc>
        <w:tc>
          <w:tcPr>
            <w:tcW w:w="4493" w:type="dxa"/>
            <w:gridSpan w:val="2"/>
          </w:tcPr>
          <w:p w14:paraId="26A3BD9E" w14:textId="77777777" w:rsidR="004020D7" w:rsidRDefault="004020D7" w:rsidP="00025030">
            <w:pPr>
              <w:pStyle w:val="Default"/>
              <w:numPr>
                <w:ilvl w:val="0"/>
                <w:numId w:val="72"/>
              </w:numPr>
            </w:pPr>
            <w:r>
              <w:t>Provider survey</w:t>
            </w:r>
          </w:p>
          <w:p w14:paraId="72AE29B7" w14:textId="77777777" w:rsidR="004020D7" w:rsidRDefault="004020D7" w:rsidP="00283D3E">
            <w:pPr>
              <w:pStyle w:val="Default"/>
            </w:pPr>
          </w:p>
          <w:p w14:paraId="1E835116" w14:textId="77777777" w:rsidR="004020D7" w:rsidRDefault="004020D7" w:rsidP="00283D3E">
            <w:pPr>
              <w:pStyle w:val="Default"/>
            </w:pPr>
            <w:r>
              <w:t>Survey tools: Survey Monkey or PollEverywhere</w:t>
            </w:r>
          </w:p>
          <w:p w14:paraId="2ECA795B" w14:textId="77777777" w:rsidR="004020D7" w:rsidRDefault="004020D7" w:rsidP="00283D3E">
            <w:pPr>
              <w:pStyle w:val="Default"/>
            </w:pPr>
          </w:p>
          <w:p w14:paraId="289E7306" w14:textId="77777777" w:rsidR="004020D7" w:rsidRDefault="004020D7" w:rsidP="00283D3E">
            <w:pPr>
              <w:pStyle w:val="Default"/>
            </w:pPr>
          </w:p>
          <w:p w14:paraId="61AF7449" w14:textId="77777777" w:rsidR="004020D7" w:rsidRDefault="004020D7" w:rsidP="00283D3E">
            <w:pPr>
              <w:pStyle w:val="Default"/>
            </w:pPr>
          </w:p>
          <w:p w14:paraId="230CFCD2" w14:textId="77777777" w:rsidR="004020D7" w:rsidRPr="00DB360B" w:rsidRDefault="004020D7" w:rsidP="00283D3E">
            <w:pPr>
              <w:pStyle w:val="Default"/>
            </w:pPr>
            <w:r>
              <w:t>Narrative report</w:t>
            </w:r>
          </w:p>
        </w:tc>
      </w:tr>
    </w:tbl>
    <w:p w14:paraId="15F2CEF8" w14:textId="77777777" w:rsidR="00B06B5C" w:rsidRDefault="00B06B5C" w:rsidP="00B06B5C">
      <w:pPr>
        <w:rPr>
          <w:rFonts w:ascii="Tw Cen MT Condensed" w:eastAsia="Calibri,Calibri,Arial" w:hAnsi="Tw Cen MT Condensed" w:cs="Arial"/>
          <w:b/>
          <w:bCs/>
          <w:sz w:val="40"/>
          <w:szCs w:val="40"/>
        </w:rPr>
      </w:pPr>
    </w:p>
    <w:p w14:paraId="31A9CF50" w14:textId="77777777" w:rsidR="00AF56BD" w:rsidRDefault="00AF56BD" w:rsidP="00B06B5C">
      <w:pPr>
        <w:rPr>
          <w:rFonts w:ascii="Tw Cen MT Condensed" w:eastAsia="Calibri,Calibri,Arial" w:hAnsi="Tw Cen MT Condensed" w:cs="Arial"/>
          <w:b/>
          <w:bCs/>
          <w:sz w:val="40"/>
          <w:szCs w:val="40"/>
        </w:rPr>
      </w:pPr>
    </w:p>
    <w:p w14:paraId="6F311F52" w14:textId="77777777" w:rsidR="00AF56BD" w:rsidRDefault="00AF56BD" w:rsidP="00B06B5C">
      <w:pPr>
        <w:rPr>
          <w:rFonts w:ascii="Tw Cen MT Condensed" w:eastAsia="Calibri,Calibri,Arial" w:hAnsi="Tw Cen MT Condensed" w:cs="Arial"/>
          <w:b/>
          <w:bCs/>
          <w:sz w:val="40"/>
          <w:szCs w:val="40"/>
        </w:rPr>
      </w:pPr>
    </w:p>
    <w:p w14:paraId="661FE46E" w14:textId="77777777" w:rsidR="00AF56BD" w:rsidRDefault="00AF56BD" w:rsidP="00B06B5C">
      <w:pPr>
        <w:rPr>
          <w:rFonts w:ascii="Tw Cen MT Condensed" w:eastAsia="Calibri,Calibri,Arial" w:hAnsi="Tw Cen MT Condensed" w:cs="Arial"/>
          <w:b/>
          <w:bCs/>
          <w:sz w:val="40"/>
          <w:szCs w:val="40"/>
        </w:rPr>
      </w:pPr>
    </w:p>
    <w:p w14:paraId="2CAF7402" w14:textId="4A8B8952"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III. EVALUATION AND LEARNING ACTIVITIES</w:t>
      </w:r>
    </w:p>
    <w:p w14:paraId="0A8C4A07" w14:textId="77777777" w:rsidR="004020D7" w:rsidRPr="008C0A1E" w:rsidRDefault="004020D7" w:rsidP="004020D7">
      <w:pPr>
        <w:rPr>
          <w:rFonts w:ascii="Euphemia" w:hAnsi="Euphemia" w:cs="Arial"/>
          <w:b/>
          <w:bCs/>
          <w:sz w:val="20"/>
          <w:szCs w:val="20"/>
        </w:rPr>
      </w:pPr>
      <w:r w:rsidRPr="08EA0ED7">
        <w:rPr>
          <w:rFonts w:ascii="Euphemia" w:eastAsia="Times New Roman" w:hAnsi="Euphemia" w:cs="Arial"/>
          <w:sz w:val="20"/>
          <w:szCs w:val="20"/>
        </w:rPr>
        <w:t>Table includes general requirements. Keep relevant information and add rows, as needed.</w:t>
      </w:r>
    </w:p>
    <w:p w14:paraId="4300A11F" w14:textId="77777777" w:rsidR="004020D7" w:rsidRPr="008C0A1E" w:rsidRDefault="004020D7" w:rsidP="004020D7">
      <w:pPr>
        <w:rPr>
          <w:rFonts w:ascii="Euphemia" w:eastAsia="Times New Roman" w:hAnsi="Euphemia" w:cs="Arial"/>
          <w:b/>
          <w:sz w:val="20"/>
          <w:szCs w:val="20"/>
        </w:rPr>
      </w:pPr>
    </w:p>
    <w:tbl>
      <w:tblPr>
        <w:tblStyle w:val="TableGrid"/>
        <w:tblW w:w="4961" w:type="pct"/>
        <w:tblLook w:val="04A0" w:firstRow="1" w:lastRow="0" w:firstColumn="1" w:lastColumn="0" w:noHBand="0" w:noVBand="1"/>
      </w:tblPr>
      <w:tblGrid>
        <w:gridCol w:w="1804"/>
        <w:gridCol w:w="2794"/>
        <w:gridCol w:w="4679"/>
      </w:tblGrid>
      <w:tr w:rsidR="004020D7" w:rsidRPr="008C0A1E" w14:paraId="009E7F5B" w14:textId="77777777" w:rsidTr="00283D3E">
        <w:trPr>
          <w:trHeight w:val="476"/>
        </w:trPr>
        <w:tc>
          <w:tcPr>
            <w:tcW w:w="972" w:type="pct"/>
            <w:shd w:val="clear" w:color="auto" w:fill="auto"/>
            <w:vAlign w:val="bottom"/>
          </w:tcPr>
          <w:p w14:paraId="0A31ED0B"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Activity</w:t>
            </w:r>
          </w:p>
        </w:tc>
        <w:tc>
          <w:tcPr>
            <w:tcW w:w="1506" w:type="pct"/>
            <w:shd w:val="clear" w:color="auto" w:fill="auto"/>
            <w:vAlign w:val="bottom"/>
          </w:tcPr>
          <w:p w14:paraId="385F7D1D"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Timeframe</w:t>
            </w:r>
          </w:p>
        </w:tc>
        <w:tc>
          <w:tcPr>
            <w:tcW w:w="2522" w:type="pct"/>
            <w:shd w:val="clear" w:color="auto" w:fill="auto"/>
            <w:vAlign w:val="bottom"/>
          </w:tcPr>
          <w:p w14:paraId="424F8B44"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Description</w:t>
            </w:r>
          </w:p>
        </w:tc>
      </w:tr>
      <w:tr w:rsidR="004020D7" w:rsidRPr="008C0A1E" w14:paraId="2AD7B640" w14:textId="77777777" w:rsidTr="00283D3E">
        <w:tc>
          <w:tcPr>
            <w:tcW w:w="972" w:type="pct"/>
          </w:tcPr>
          <w:p w14:paraId="5B887CC1" w14:textId="77777777" w:rsidR="004020D7" w:rsidRPr="00C73134" w:rsidRDefault="004020D7" w:rsidP="00283D3E">
            <w:pPr>
              <w:rPr>
                <w:rFonts w:ascii="Euphemia" w:hAnsi="Euphemia" w:cs="Arial"/>
                <w:sz w:val="20"/>
                <w:szCs w:val="20"/>
              </w:rPr>
            </w:pPr>
            <w:r w:rsidRPr="00C73134">
              <w:rPr>
                <w:rFonts w:ascii="Euphemia" w:hAnsi="Euphemia" w:cs="Arial"/>
                <w:sz w:val="20"/>
                <w:szCs w:val="20"/>
              </w:rPr>
              <w:t>Aggregate Data Report</w:t>
            </w:r>
          </w:p>
          <w:p w14:paraId="1E26E8E2" w14:textId="77777777" w:rsidR="004020D7" w:rsidRPr="00C73134" w:rsidRDefault="004020D7" w:rsidP="00283D3E">
            <w:pPr>
              <w:rPr>
                <w:rFonts w:ascii="Euphemia" w:hAnsi="Euphemia" w:cs="Arial"/>
                <w:i/>
                <w:iCs/>
                <w:sz w:val="20"/>
                <w:szCs w:val="20"/>
              </w:rPr>
            </w:pPr>
            <w:r w:rsidRPr="00C73134">
              <w:rPr>
                <w:rFonts w:ascii="Euphemia" w:hAnsi="Euphemia" w:cs="Arial"/>
                <w:i/>
                <w:iCs/>
                <w:sz w:val="20"/>
                <w:szCs w:val="20"/>
              </w:rPr>
              <w:t>(direct services)</w:t>
            </w:r>
          </w:p>
        </w:tc>
        <w:tc>
          <w:tcPr>
            <w:tcW w:w="1506" w:type="pct"/>
          </w:tcPr>
          <w:p w14:paraId="55C0F334" w14:textId="77777777" w:rsidR="004020D7" w:rsidRPr="00C73134" w:rsidRDefault="004020D7" w:rsidP="00283D3E">
            <w:pPr>
              <w:rPr>
                <w:rFonts w:ascii="Euphemia" w:eastAsia="Arial" w:hAnsi="Euphemia" w:cs="Arial"/>
                <w:sz w:val="20"/>
                <w:szCs w:val="20"/>
              </w:rPr>
            </w:pPr>
            <w:r w:rsidRPr="00C73134">
              <w:rPr>
                <w:rFonts w:ascii="Euphemia" w:hAnsi="Euphemia" w:cs="Arial"/>
                <w:sz w:val="20"/>
                <w:szCs w:val="20"/>
              </w:rPr>
              <w:t>Semi-Annually</w:t>
            </w:r>
          </w:p>
          <w:p w14:paraId="663EE835" w14:textId="77777777" w:rsidR="004020D7" w:rsidRPr="00C73134" w:rsidRDefault="004020D7" w:rsidP="00283D3E">
            <w:pPr>
              <w:rPr>
                <w:rFonts w:ascii="Euphemia" w:eastAsia="Arial" w:hAnsi="Euphemia" w:cs="Arial"/>
                <w:sz w:val="16"/>
                <w:szCs w:val="16"/>
              </w:rPr>
            </w:pPr>
          </w:p>
          <w:p w14:paraId="165F1CB0" w14:textId="77777777" w:rsidR="004020D7" w:rsidRPr="00C73134" w:rsidRDefault="004020D7" w:rsidP="00025030">
            <w:pPr>
              <w:pStyle w:val="ListParagraph"/>
              <w:numPr>
                <w:ilvl w:val="0"/>
                <w:numId w:val="71"/>
              </w:numPr>
              <w:spacing w:line="240" w:lineRule="auto"/>
              <w:rPr>
                <w:rFonts w:ascii="Euphemia" w:hAnsi="Euphemia" w:cs="Arial"/>
                <w:sz w:val="20"/>
                <w:szCs w:val="20"/>
              </w:rPr>
            </w:pPr>
            <w:r w:rsidRPr="00C73134">
              <w:rPr>
                <w:rFonts w:ascii="Euphemia" w:eastAsia="Arial" w:hAnsi="Euphemia" w:cs="Arial"/>
                <w:sz w:val="20"/>
                <w:szCs w:val="20"/>
              </w:rPr>
              <w:t>Jan 31 (July-Dec)</w:t>
            </w:r>
          </w:p>
          <w:p w14:paraId="59DC40D6" w14:textId="77777777" w:rsidR="004020D7" w:rsidRPr="00C73134" w:rsidRDefault="004020D7" w:rsidP="00025030">
            <w:pPr>
              <w:pStyle w:val="ListParagraph"/>
              <w:numPr>
                <w:ilvl w:val="0"/>
                <w:numId w:val="71"/>
              </w:numPr>
              <w:spacing w:line="240" w:lineRule="auto"/>
              <w:rPr>
                <w:rFonts w:ascii="Euphemia" w:hAnsi="Euphemia" w:cs="Arial"/>
                <w:sz w:val="20"/>
                <w:szCs w:val="20"/>
              </w:rPr>
            </w:pPr>
            <w:r w:rsidRPr="00C73134">
              <w:rPr>
                <w:rFonts w:ascii="Euphemia" w:eastAsia="Arial" w:hAnsi="Euphemia" w:cs="Arial"/>
                <w:sz w:val="20"/>
                <w:szCs w:val="20"/>
              </w:rPr>
              <w:lastRenderedPageBreak/>
              <w:t>July 31 (Jan-June)</w:t>
            </w:r>
          </w:p>
          <w:p w14:paraId="71B034B8" w14:textId="77777777" w:rsidR="004020D7" w:rsidRPr="00C73134" w:rsidRDefault="004020D7" w:rsidP="00283D3E">
            <w:pPr>
              <w:rPr>
                <w:rFonts w:ascii="Euphemia" w:hAnsi="Euphemia" w:cs="Arial"/>
                <w:sz w:val="20"/>
                <w:szCs w:val="20"/>
              </w:rPr>
            </w:pPr>
          </w:p>
        </w:tc>
        <w:tc>
          <w:tcPr>
            <w:tcW w:w="2522" w:type="pct"/>
          </w:tcPr>
          <w:p w14:paraId="0FE37507" w14:textId="7E0CA12E" w:rsidR="004020D7" w:rsidRPr="008C0A1E" w:rsidRDefault="004020D7" w:rsidP="00283D3E">
            <w:pPr>
              <w:rPr>
                <w:rFonts w:ascii="Euphemia" w:hAnsi="Euphemia" w:cs="Arial"/>
                <w:sz w:val="20"/>
                <w:szCs w:val="20"/>
              </w:rPr>
            </w:pPr>
            <w:r w:rsidRPr="08EA0ED7">
              <w:rPr>
                <w:rFonts w:ascii="Euphemia" w:eastAsia="Arial" w:hAnsi="Euphemia" w:cs="Arial"/>
                <w:sz w:val="20"/>
                <w:szCs w:val="20"/>
              </w:rPr>
              <w:lastRenderedPageBreak/>
              <w:t xml:space="preserve">The </w:t>
            </w:r>
            <w:r>
              <w:rPr>
                <w:rFonts w:ascii="Euphemia" w:eastAsia="Arial" w:hAnsi="Euphemia" w:cs="Arial"/>
                <w:sz w:val="20"/>
                <w:szCs w:val="20"/>
              </w:rPr>
              <w:t>Grantee</w:t>
            </w:r>
            <w:r w:rsidRPr="08EA0ED7">
              <w:rPr>
                <w:rFonts w:ascii="Euphemia" w:eastAsia="Arial" w:hAnsi="Euphemia" w:cs="Arial"/>
                <w:sz w:val="20"/>
                <w:szCs w:val="20"/>
              </w:rPr>
              <w:t xml:space="preserve"> will submit </w:t>
            </w:r>
            <w:r>
              <w:rPr>
                <w:rFonts w:ascii="Euphemia" w:eastAsia="Arial" w:hAnsi="Euphemia" w:cs="Arial"/>
                <w:sz w:val="20"/>
                <w:szCs w:val="20"/>
              </w:rPr>
              <w:t>semi</w:t>
            </w:r>
            <w:r w:rsidR="00526E96">
              <w:rPr>
                <w:rFonts w:ascii="Euphemia" w:eastAsia="Arial" w:hAnsi="Euphemia" w:cs="Arial"/>
                <w:sz w:val="20"/>
                <w:szCs w:val="20"/>
              </w:rPr>
              <w:t>-</w:t>
            </w:r>
            <w:r>
              <w:rPr>
                <w:rFonts w:ascii="Euphemia" w:eastAsia="Arial" w:hAnsi="Euphemia" w:cs="Arial"/>
                <w:sz w:val="20"/>
                <w:szCs w:val="20"/>
              </w:rPr>
              <w:t>annual disaggregated</w:t>
            </w:r>
            <w:r w:rsidRPr="08EA0ED7">
              <w:rPr>
                <w:rFonts w:ascii="Euphemia" w:eastAsia="Arial" w:hAnsi="Euphemia" w:cs="Arial"/>
                <w:sz w:val="20"/>
                <w:szCs w:val="20"/>
              </w:rPr>
              <w:t xml:space="preserve"> Data Reports to King County. The format for this report will be provided by </w:t>
            </w:r>
            <w:r w:rsidRPr="08EA0ED7">
              <w:rPr>
                <w:rFonts w:ascii="Euphemia" w:eastAsia="Arial" w:hAnsi="Euphemia" w:cs="Arial"/>
                <w:sz w:val="20"/>
                <w:szCs w:val="20"/>
              </w:rPr>
              <w:lastRenderedPageBreak/>
              <w:t>King County and will include the demographics of participants and other data needed to measure performance.</w:t>
            </w:r>
          </w:p>
          <w:p w14:paraId="240D3C86" w14:textId="77777777" w:rsidR="004020D7" w:rsidRPr="008C0A1E" w:rsidRDefault="004020D7" w:rsidP="00283D3E">
            <w:pPr>
              <w:rPr>
                <w:rFonts w:ascii="Euphemia" w:hAnsi="Euphemia" w:cs="Arial"/>
                <w:bCs/>
                <w:sz w:val="20"/>
                <w:szCs w:val="20"/>
              </w:rPr>
            </w:pPr>
          </w:p>
        </w:tc>
      </w:tr>
      <w:tr w:rsidR="004020D7" w:rsidRPr="008C0A1E" w14:paraId="3AC99EAA" w14:textId="77777777" w:rsidTr="00283D3E">
        <w:tc>
          <w:tcPr>
            <w:tcW w:w="972" w:type="pct"/>
          </w:tcPr>
          <w:p w14:paraId="3077795C" w14:textId="77777777" w:rsidR="004020D7" w:rsidRPr="008C0A1E" w:rsidRDefault="004020D7" w:rsidP="00283D3E">
            <w:pPr>
              <w:rPr>
                <w:rFonts w:ascii="Euphemia" w:hAnsi="Euphemia" w:cs="Arial"/>
                <w:sz w:val="20"/>
                <w:szCs w:val="20"/>
              </w:rPr>
            </w:pPr>
            <w:r w:rsidRPr="08EA0ED7">
              <w:rPr>
                <w:rFonts w:ascii="Euphemia" w:eastAsia="Arial" w:hAnsi="Euphemia" w:cs="Arial"/>
                <w:sz w:val="20"/>
                <w:szCs w:val="20"/>
              </w:rPr>
              <w:lastRenderedPageBreak/>
              <w:t>Semi-Annual Narrative Report</w:t>
            </w:r>
          </w:p>
        </w:tc>
        <w:tc>
          <w:tcPr>
            <w:tcW w:w="1506" w:type="pct"/>
          </w:tcPr>
          <w:p w14:paraId="72779C87" w14:textId="77777777" w:rsidR="004020D7" w:rsidRPr="008C0A1E" w:rsidRDefault="004020D7" w:rsidP="00283D3E">
            <w:pPr>
              <w:rPr>
                <w:rFonts w:ascii="Euphemia" w:eastAsia="Arial" w:hAnsi="Euphemia" w:cs="Arial"/>
                <w:sz w:val="20"/>
                <w:szCs w:val="20"/>
              </w:rPr>
            </w:pPr>
            <w:r w:rsidRPr="08EA0ED7">
              <w:rPr>
                <w:rFonts w:ascii="Euphemia" w:hAnsi="Euphemia" w:cs="Arial"/>
                <w:sz w:val="20"/>
                <w:szCs w:val="20"/>
              </w:rPr>
              <w:t>Semi-Annually</w:t>
            </w:r>
          </w:p>
          <w:p w14:paraId="71BCECA3" w14:textId="77777777" w:rsidR="004020D7" w:rsidRPr="0006760C" w:rsidRDefault="004020D7" w:rsidP="00283D3E">
            <w:pPr>
              <w:rPr>
                <w:rFonts w:ascii="Euphemia" w:eastAsia="Arial" w:hAnsi="Euphemia" w:cs="Arial"/>
                <w:sz w:val="16"/>
                <w:szCs w:val="16"/>
              </w:rPr>
            </w:pPr>
          </w:p>
          <w:p w14:paraId="77CF2452" w14:textId="77777777" w:rsidR="004020D7" w:rsidRDefault="004020D7" w:rsidP="00025030">
            <w:pPr>
              <w:pStyle w:val="ListParagraph"/>
              <w:numPr>
                <w:ilvl w:val="0"/>
                <w:numId w:val="71"/>
              </w:numPr>
              <w:spacing w:line="240" w:lineRule="auto"/>
              <w:rPr>
                <w:rFonts w:ascii="Euphemia" w:eastAsia="Arial" w:hAnsi="Euphemia" w:cs="Arial"/>
                <w:sz w:val="20"/>
                <w:szCs w:val="20"/>
              </w:rPr>
            </w:pPr>
            <w:r w:rsidRPr="08EA0ED7">
              <w:rPr>
                <w:rFonts w:ascii="Euphemia" w:eastAsia="Arial" w:hAnsi="Euphemia" w:cs="Arial"/>
                <w:sz w:val="20"/>
                <w:szCs w:val="20"/>
              </w:rPr>
              <w:t xml:space="preserve">Jan </w:t>
            </w:r>
            <w:r>
              <w:rPr>
                <w:rFonts w:ascii="Euphemia" w:eastAsia="Arial" w:hAnsi="Euphemia" w:cs="Arial"/>
                <w:sz w:val="20"/>
                <w:szCs w:val="20"/>
              </w:rPr>
              <w:t>31</w:t>
            </w:r>
            <w:r w:rsidRPr="08EA0ED7">
              <w:rPr>
                <w:rFonts w:ascii="Euphemia" w:eastAsia="Arial" w:hAnsi="Euphemia" w:cs="Arial"/>
                <w:sz w:val="20"/>
                <w:szCs w:val="20"/>
              </w:rPr>
              <w:t xml:space="preserve"> (July-Dec) </w:t>
            </w:r>
          </w:p>
          <w:p w14:paraId="60B14869" w14:textId="77777777" w:rsidR="004020D7" w:rsidRPr="00015C9D" w:rsidRDefault="004020D7" w:rsidP="00025030">
            <w:pPr>
              <w:pStyle w:val="ListParagraph"/>
              <w:numPr>
                <w:ilvl w:val="0"/>
                <w:numId w:val="71"/>
              </w:numPr>
              <w:spacing w:line="240" w:lineRule="auto"/>
              <w:rPr>
                <w:rFonts w:ascii="Euphemia" w:eastAsia="Arial" w:hAnsi="Euphemia" w:cs="Arial"/>
                <w:sz w:val="20"/>
                <w:szCs w:val="20"/>
              </w:rPr>
            </w:pPr>
            <w:r w:rsidRPr="08EA0ED7">
              <w:rPr>
                <w:rFonts w:ascii="Euphemia" w:eastAsia="Arial" w:hAnsi="Euphemia" w:cs="Arial"/>
                <w:sz w:val="20"/>
                <w:szCs w:val="20"/>
              </w:rPr>
              <w:t xml:space="preserve">July </w:t>
            </w:r>
            <w:r>
              <w:rPr>
                <w:rFonts w:ascii="Euphemia" w:eastAsia="Arial" w:hAnsi="Euphemia" w:cs="Arial"/>
                <w:sz w:val="20"/>
                <w:szCs w:val="20"/>
              </w:rPr>
              <w:t>31</w:t>
            </w:r>
            <w:r w:rsidRPr="08EA0ED7">
              <w:rPr>
                <w:rFonts w:ascii="Euphemia" w:eastAsia="Arial" w:hAnsi="Euphemia" w:cs="Arial"/>
                <w:sz w:val="20"/>
                <w:szCs w:val="20"/>
              </w:rPr>
              <w:t xml:space="preserve"> (Jan-June) </w:t>
            </w:r>
          </w:p>
        </w:tc>
        <w:tc>
          <w:tcPr>
            <w:tcW w:w="2522" w:type="pct"/>
          </w:tcPr>
          <w:p w14:paraId="0C33D045" w14:textId="77777777" w:rsidR="004020D7" w:rsidRPr="008C0A1E" w:rsidRDefault="004020D7" w:rsidP="00283D3E">
            <w:pPr>
              <w:contextualSpacing/>
              <w:rPr>
                <w:rFonts w:ascii="Euphemia" w:hAnsi="Euphemia" w:cs="Arial"/>
                <w:sz w:val="20"/>
                <w:szCs w:val="20"/>
              </w:rPr>
            </w:pPr>
            <w:r w:rsidRPr="08EA0ED7">
              <w:rPr>
                <w:rFonts w:ascii="Euphemia" w:eastAsia="Arial" w:hAnsi="Euphemia" w:cs="Arial"/>
                <w:sz w:val="20"/>
                <w:szCs w:val="20"/>
              </w:rPr>
              <w:t xml:space="preserve">The </w:t>
            </w:r>
            <w:r>
              <w:rPr>
                <w:rFonts w:ascii="Euphemia" w:eastAsia="Arial" w:hAnsi="Euphemia" w:cs="Arial"/>
                <w:sz w:val="20"/>
                <w:szCs w:val="20"/>
              </w:rPr>
              <w:t>Grantee</w:t>
            </w:r>
            <w:r w:rsidRPr="08EA0ED7">
              <w:rPr>
                <w:rFonts w:ascii="Euphemia" w:eastAsia="Arial" w:hAnsi="Euphemia" w:cs="Arial"/>
                <w:sz w:val="20"/>
                <w:szCs w:val="20"/>
              </w:rPr>
              <w:t xml:space="preserve"> will submit Semi-Annual Narrative Reports to King County. These reports will cover the activities of the previous six months. The format and questions for the Semi-Annual Narrative Report will be provided by King County. </w:t>
            </w:r>
          </w:p>
        </w:tc>
      </w:tr>
      <w:tr w:rsidR="004020D7" w:rsidRPr="008C0A1E" w14:paraId="3AF07B8B" w14:textId="77777777" w:rsidTr="00283D3E">
        <w:tc>
          <w:tcPr>
            <w:tcW w:w="972" w:type="pct"/>
          </w:tcPr>
          <w:p w14:paraId="63D8B10E" w14:textId="77777777" w:rsidR="004020D7" w:rsidRPr="00BD1925" w:rsidRDefault="004020D7" w:rsidP="00283D3E">
            <w:pPr>
              <w:rPr>
                <w:rFonts w:ascii="Euphemia" w:eastAsia="Arial" w:hAnsi="Euphemia" w:cs="Arial"/>
                <w:sz w:val="20"/>
                <w:szCs w:val="20"/>
              </w:rPr>
            </w:pPr>
            <w:r w:rsidRPr="00BD1925">
              <w:rPr>
                <w:rFonts w:ascii="Euphemia" w:eastAsia="Times New Roman" w:hAnsi="Euphemia" w:cs="Arial"/>
                <w:sz w:val="20"/>
                <w:szCs w:val="20"/>
              </w:rPr>
              <w:t>Participation in Learning Circles</w:t>
            </w:r>
          </w:p>
          <w:p w14:paraId="0B0D4300" w14:textId="77777777" w:rsidR="004020D7" w:rsidRPr="00BD1925" w:rsidRDefault="004020D7" w:rsidP="00283D3E">
            <w:pPr>
              <w:rPr>
                <w:rFonts w:ascii="Euphemia" w:eastAsia="Arial" w:hAnsi="Euphemia" w:cs="Arial"/>
                <w:sz w:val="20"/>
                <w:szCs w:val="20"/>
              </w:rPr>
            </w:pPr>
          </w:p>
        </w:tc>
        <w:tc>
          <w:tcPr>
            <w:tcW w:w="1506" w:type="pct"/>
          </w:tcPr>
          <w:p w14:paraId="16D01378" w14:textId="77777777" w:rsidR="004020D7" w:rsidRPr="00462BFD" w:rsidRDefault="004020D7" w:rsidP="00283D3E">
            <w:pPr>
              <w:contextualSpacing/>
              <w:rPr>
                <w:rFonts w:ascii="Euphemia" w:eastAsia="Arial" w:hAnsi="Euphemia" w:cs="Arial"/>
                <w:sz w:val="20"/>
                <w:szCs w:val="20"/>
              </w:rPr>
            </w:pPr>
            <w:r>
              <w:rPr>
                <w:rFonts w:ascii="Euphemia" w:eastAsia="Arial" w:hAnsi="Euphemia" w:cs="Arial"/>
                <w:sz w:val="20"/>
                <w:szCs w:val="20"/>
              </w:rPr>
              <w:t>TBD</w:t>
            </w:r>
          </w:p>
        </w:tc>
        <w:tc>
          <w:tcPr>
            <w:tcW w:w="2522" w:type="pct"/>
          </w:tcPr>
          <w:p w14:paraId="4787AC79" w14:textId="77777777" w:rsidR="004020D7" w:rsidRPr="0006760C" w:rsidRDefault="004020D7" w:rsidP="00283D3E">
            <w:pPr>
              <w:contextualSpacing/>
              <w:rPr>
                <w:rFonts w:ascii="Euphemia" w:eastAsia="Arial" w:hAnsi="Euphemia" w:cs="Arial"/>
                <w:i/>
                <w:color w:val="808080" w:themeColor="background1" w:themeShade="80"/>
                <w:sz w:val="20"/>
                <w:szCs w:val="20"/>
              </w:rPr>
            </w:pPr>
            <w:r w:rsidRPr="0006760C">
              <w:rPr>
                <w:rFonts w:ascii="Euphemia" w:eastAsia="Arial" w:hAnsi="Euphemia" w:cs="Arial"/>
                <w:i/>
                <w:color w:val="808080" w:themeColor="background1" w:themeShade="80"/>
                <w:sz w:val="20"/>
                <w:szCs w:val="20"/>
              </w:rPr>
              <w:t xml:space="preserve">The </w:t>
            </w:r>
            <w:r>
              <w:rPr>
                <w:rFonts w:ascii="Euphemia" w:eastAsia="Arial" w:hAnsi="Euphemia" w:cs="Arial"/>
                <w:i/>
                <w:color w:val="808080" w:themeColor="background1" w:themeShade="80"/>
                <w:sz w:val="20"/>
                <w:szCs w:val="20"/>
              </w:rPr>
              <w:t>Grantee</w:t>
            </w:r>
            <w:r w:rsidRPr="0006760C">
              <w:rPr>
                <w:rFonts w:ascii="Euphemia" w:eastAsia="Arial" w:hAnsi="Euphemia" w:cs="Arial"/>
                <w:i/>
                <w:color w:val="808080" w:themeColor="background1" w:themeShade="80"/>
                <w:sz w:val="20"/>
                <w:szCs w:val="20"/>
              </w:rPr>
              <w:t xml:space="preserve"> may be required to participate in learning circles to foster mutual learning and data driven decision making. Frequency will depend on the </w:t>
            </w:r>
            <w:r>
              <w:rPr>
                <w:rFonts w:ascii="Euphemia" w:eastAsia="Arial" w:hAnsi="Euphemia" w:cs="Arial"/>
                <w:i/>
                <w:color w:val="808080" w:themeColor="background1" w:themeShade="80"/>
                <w:sz w:val="20"/>
                <w:szCs w:val="20"/>
              </w:rPr>
              <w:t xml:space="preserve">program and </w:t>
            </w:r>
            <w:r w:rsidRPr="0006760C">
              <w:rPr>
                <w:rFonts w:ascii="Euphemia" w:eastAsia="Arial" w:hAnsi="Euphemia" w:cs="Arial"/>
                <w:i/>
                <w:color w:val="808080" w:themeColor="background1" w:themeShade="80"/>
                <w:sz w:val="20"/>
                <w:szCs w:val="20"/>
              </w:rPr>
              <w:t>strategy area.</w:t>
            </w:r>
          </w:p>
        </w:tc>
      </w:tr>
      <w:tr w:rsidR="004020D7" w:rsidRPr="008C0A1E" w14:paraId="6295BE2F" w14:textId="77777777" w:rsidTr="00283D3E">
        <w:tc>
          <w:tcPr>
            <w:tcW w:w="972" w:type="pct"/>
          </w:tcPr>
          <w:p w14:paraId="36C05851" w14:textId="77777777" w:rsidR="004020D7" w:rsidRPr="00BD1925" w:rsidRDefault="004020D7" w:rsidP="00283D3E">
            <w:pPr>
              <w:rPr>
                <w:rFonts w:ascii="Euphemia" w:eastAsia="Times New Roman" w:hAnsi="Euphemia" w:cs="Arial"/>
                <w:sz w:val="20"/>
                <w:szCs w:val="20"/>
              </w:rPr>
            </w:pPr>
            <w:r w:rsidRPr="00BD1925">
              <w:rPr>
                <w:rFonts w:ascii="Euphemia" w:eastAsia="Times New Roman" w:hAnsi="Euphemia" w:cs="Arial"/>
                <w:sz w:val="20"/>
                <w:szCs w:val="20"/>
              </w:rPr>
              <w:t>Other Evaluation Activities</w:t>
            </w:r>
          </w:p>
          <w:p w14:paraId="0C08E695" w14:textId="77777777" w:rsidR="004020D7" w:rsidRPr="00BD1925" w:rsidRDefault="004020D7" w:rsidP="00283D3E">
            <w:pPr>
              <w:rPr>
                <w:rFonts w:ascii="Euphemia" w:eastAsia="Times New Roman" w:hAnsi="Euphemia" w:cs="Arial"/>
                <w:sz w:val="20"/>
                <w:szCs w:val="20"/>
              </w:rPr>
            </w:pPr>
          </w:p>
        </w:tc>
        <w:tc>
          <w:tcPr>
            <w:tcW w:w="1506" w:type="pct"/>
          </w:tcPr>
          <w:p w14:paraId="4C829CB9" w14:textId="77777777" w:rsidR="004020D7" w:rsidRPr="008C0A1E" w:rsidRDefault="004020D7" w:rsidP="00283D3E">
            <w:pPr>
              <w:contextualSpacing/>
              <w:rPr>
                <w:rFonts w:ascii="Euphemia" w:eastAsia="Arial" w:hAnsi="Euphemia" w:cs="Arial"/>
                <w:sz w:val="20"/>
                <w:szCs w:val="20"/>
              </w:rPr>
            </w:pPr>
            <w:r>
              <w:rPr>
                <w:rFonts w:ascii="Euphemia" w:eastAsia="Arial" w:hAnsi="Euphemia" w:cs="Arial"/>
                <w:sz w:val="20"/>
                <w:szCs w:val="20"/>
              </w:rPr>
              <w:t>Group is interested in holding focus groups or a survey with a sample of organizations who receive resources.  See Appendix A for focus group resources.</w:t>
            </w:r>
          </w:p>
        </w:tc>
        <w:tc>
          <w:tcPr>
            <w:tcW w:w="2522" w:type="pct"/>
          </w:tcPr>
          <w:p w14:paraId="49C340B2" w14:textId="77777777" w:rsidR="004020D7" w:rsidRPr="0006760C" w:rsidRDefault="004020D7" w:rsidP="00283D3E">
            <w:pPr>
              <w:rPr>
                <w:rFonts w:ascii="Euphemia" w:eastAsia="Arial" w:hAnsi="Euphemia" w:cs="Arial"/>
                <w:i/>
                <w:color w:val="808080" w:themeColor="background1" w:themeShade="80"/>
                <w:sz w:val="20"/>
                <w:szCs w:val="20"/>
              </w:rPr>
            </w:pPr>
            <w:r>
              <w:rPr>
                <w:i/>
                <w:color w:val="808080" w:themeColor="background1" w:themeShade="80"/>
              </w:rPr>
              <w:t xml:space="preserve">The Grantee may be required to participate in other Evaluation Activities. </w:t>
            </w:r>
            <w:r w:rsidRPr="0006760C">
              <w:rPr>
                <w:i/>
                <w:color w:val="808080" w:themeColor="background1" w:themeShade="80"/>
              </w:rPr>
              <w:t>These activities will vary by Contractor, but may include training on data c</w:t>
            </w:r>
            <w:r>
              <w:rPr>
                <w:i/>
                <w:color w:val="808080" w:themeColor="background1" w:themeShade="80"/>
              </w:rPr>
              <w:t>ollection, quality assurance, community engagement, or other activities to build the Contractor’s evaluation capacity or support evaluation of the program or strategy area.</w:t>
            </w:r>
          </w:p>
        </w:tc>
      </w:tr>
      <w:tr w:rsidR="004020D7" w:rsidRPr="008C0A1E" w14:paraId="0CC1F534" w14:textId="77777777" w:rsidTr="00283D3E">
        <w:tc>
          <w:tcPr>
            <w:tcW w:w="972" w:type="pct"/>
          </w:tcPr>
          <w:p w14:paraId="25AE02E4" w14:textId="77777777" w:rsidR="004020D7" w:rsidRPr="00C73134" w:rsidRDefault="004020D7" w:rsidP="00283D3E">
            <w:pPr>
              <w:rPr>
                <w:rFonts w:ascii="Euphemia" w:eastAsia="Times New Roman" w:hAnsi="Euphemia" w:cs="Arial"/>
                <w:sz w:val="20"/>
                <w:szCs w:val="20"/>
              </w:rPr>
            </w:pPr>
            <w:r w:rsidRPr="00C73134">
              <w:rPr>
                <w:rFonts w:ascii="Euphemia" w:eastAsia="Times New Roman" w:hAnsi="Euphemia" w:cs="Arial"/>
                <w:sz w:val="20"/>
                <w:szCs w:val="20"/>
              </w:rPr>
              <w:t>Final Report</w:t>
            </w:r>
          </w:p>
          <w:p w14:paraId="1FB1BB4C" w14:textId="77777777" w:rsidR="004020D7" w:rsidRPr="003E22B3" w:rsidRDefault="004020D7" w:rsidP="00283D3E">
            <w:pPr>
              <w:rPr>
                <w:rFonts w:ascii="Euphemia" w:eastAsia="Times New Roman" w:hAnsi="Euphemia" w:cs="Arial"/>
                <w:sz w:val="20"/>
                <w:szCs w:val="20"/>
                <w:highlight w:val="green"/>
              </w:rPr>
            </w:pPr>
          </w:p>
        </w:tc>
        <w:tc>
          <w:tcPr>
            <w:tcW w:w="1506" w:type="pct"/>
          </w:tcPr>
          <w:p w14:paraId="006B1D9E" w14:textId="77777777" w:rsidR="004020D7" w:rsidRDefault="004020D7" w:rsidP="00025030">
            <w:pPr>
              <w:pStyle w:val="ListParagraph"/>
              <w:numPr>
                <w:ilvl w:val="0"/>
                <w:numId w:val="71"/>
              </w:numPr>
              <w:spacing w:line="240" w:lineRule="auto"/>
              <w:rPr>
                <w:rFonts w:ascii="Euphemia" w:eastAsia="Arial" w:hAnsi="Euphemia" w:cs="Arial"/>
                <w:sz w:val="20"/>
                <w:szCs w:val="20"/>
              </w:rPr>
            </w:pPr>
            <w:r w:rsidRPr="08EA0ED7">
              <w:rPr>
                <w:rFonts w:ascii="Euphemia" w:eastAsia="Arial" w:hAnsi="Euphemia" w:cs="Arial"/>
                <w:sz w:val="20"/>
                <w:szCs w:val="20"/>
              </w:rPr>
              <w:t xml:space="preserve">Jan </w:t>
            </w:r>
            <w:r>
              <w:rPr>
                <w:rFonts w:ascii="Euphemia" w:eastAsia="Arial" w:hAnsi="Euphemia" w:cs="Arial"/>
                <w:sz w:val="20"/>
                <w:szCs w:val="20"/>
              </w:rPr>
              <w:t>31, 2020</w:t>
            </w:r>
            <w:r w:rsidRPr="08EA0ED7">
              <w:rPr>
                <w:rFonts w:ascii="Euphemia" w:eastAsia="Arial" w:hAnsi="Euphemia" w:cs="Arial"/>
                <w:sz w:val="20"/>
                <w:szCs w:val="20"/>
              </w:rPr>
              <w:t xml:space="preserve"> (</w:t>
            </w:r>
            <w:r>
              <w:rPr>
                <w:rFonts w:ascii="Euphemia" w:eastAsia="Arial" w:hAnsi="Euphemia" w:cs="Arial"/>
                <w:sz w:val="20"/>
                <w:szCs w:val="20"/>
              </w:rPr>
              <w:t>cumulative total</w:t>
            </w:r>
            <w:r w:rsidRPr="08EA0ED7">
              <w:rPr>
                <w:rFonts w:ascii="Euphemia" w:eastAsia="Arial" w:hAnsi="Euphemia" w:cs="Arial"/>
                <w:sz w:val="20"/>
                <w:szCs w:val="20"/>
              </w:rPr>
              <w:t xml:space="preserve">) </w:t>
            </w:r>
          </w:p>
          <w:p w14:paraId="285BE30F" w14:textId="77777777" w:rsidR="004020D7" w:rsidRPr="008C0A1E" w:rsidRDefault="004020D7" w:rsidP="00283D3E">
            <w:pPr>
              <w:contextualSpacing/>
              <w:rPr>
                <w:rFonts w:ascii="Euphemia" w:eastAsia="Arial" w:hAnsi="Euphemia" w:cs="Arial"/>
                <w:sz w:val="20"/>
                <w:szCs w:val="20"/>
              </w:rPr>
            </w:pPr>
          </w:p>
        </w:tc>
        <w:tc>
          <w:tcPr>
            <w:tcW w:w="2522" w:type="pct"/>
          </w:tcPr>
          <w:p w14:paraId="682273D1" w14:textId="421FC7E3" w:rsidR="004020D7" w:rsidRPr="0006760C" w:rsidRDefault="004020D7" w:rsidP="00283D3E">
            <w:pPr>
              <w:contextualSpacing/>
              <w:rPr>
                <w:rFonts w:ascii="Euphemia" w:eastAsia="Arial" w:hAnsi="Euphemia" w:cs="Arial"/>
                <w:i/>
                <w:color w:val="808080" w:themeColor="background1" w:themeShade="80"/>
                <w:sz w:val="20"/>
                <w:szCs w:val="20"/>
              </w:rPr>
            </w:pPr>
            <w:r w:rsidRPr="004E2347">
              <w:rPr>
                <w:rFonts w:ascii="Euphemia" w:eastAsia="Arial" w:hAnsi="Euphemia" w:cs="Arial"/>
                <w:sz w:val="20"/>
                <w:szCs w:val="20"/>
              </w:rPr>
              <w:t xml:space="preserve">The Grantee will submit a final report to King County summarizing project.  </w:t>
            </w:r>
            <w:r w:rsidRPr="08EA0ED7">
              <w:rPr>
                <w:rFonts w:ascii="Euphemia" w:eastAsia="Arial" w:hAnsi="Euphemia" w:cs="Arial"/>
                <w:sz w:val="20"/>
                <w:szCs w:val="20"/>
              </w:rPr>
              <w:t xml:space="preserve">The format and questions for the </w:t>
            </w:r>
            <w:r>
              <w:rPr>
                <w:rFonts w:ascii="Euphemia" w:eastAsia="Arial" w:hAnsi="Euphemia" w:cs="Arial"/>
                <w:sz w:val="20"/>
                <w:szCs w:val="20"/>
              </w:rPr>
              <w:t>Final</w:t>
            </w:r>
            <w:r w:rsidRPr="08EA0ED7">
              <w:rPr>
                <w:rFonts w:ascii="Euphemia" w:eastAsia="Arial" w:hAnsi="Euphemia" w:cs="Arial"/>
                <w:sz w:val="20"/>
                <w:szCs w:val="20"/>
              </w:rPr>
              <w:t xml:space="preserve"> Report wi</w:t>
            </w:r>
            <w:r>
              <w:rPr>
                <w:rFonts w:ascii="Euphemia" w:eastAsia="Arial" w:hAnsi="Euphemia" w:cs="Arial"/>
                <w:sz w:val="20"/>
                <w:szCs w:val="20"/>
              </w:rPr>
              <w:t>ll be provided by King County and will be similar to the quarterly reports and semi-annual narrative report but will cover the grant period.</w:t>
            </w:r>
          </w:p>
        </w:tc>
      </w:tr>
    </w:tbl>
    <w:p w14:paraId="07E886A3" w14:textId="77777777" w:rsidR="004020D7" w:rsidRDefault="004020D7" w:rsidP="004020D7">
      <w:pPr>
        <w:rPr>
          <w:rFonts w:ascii="Euphemia" w:hAnsi="Euphemia" w:cs="Arial"/>
          <w:bCs/>
          <w:sz w:val="20"/>
          <w:szCs w:val="20"/>
        </w:rPr>
      </w:pPr>
    </w:p>
    <w:p w14:paraId="7E81DE46" w14:textId="77777777" w:rsidR="004020D7" w:rsidRDefault="004020D7" w:rsidP="004020D7">
      <w:pPr>
        <w:rPr>
          <w:rFonts w:ascii="Euphemia" w:hAnsi="Euphemia" w:cs="Arial"/>
          <w:bCs/>
          <w:sz w:val="20"/>
          <w:szCs w:val="20"/>
        </w:rPr>
      </w:pPr>
    </w:p>
    <w:p w14:paraId="57391312" w14:textId="77777777" w:rsidR="004020D7" w:rsidRDefault="004020D7" w:rsidP="004020D7">
      <w:pPr>
        <w:rPr>
          <w:rFonts w:ascii="Euphemia" w:hAnsi="Euphemia" w:cs="Arial"/>
          <w:bCs/>
          <w:sz w:val="20"/>
          <w:szCs w:val="20"/>
        </w:rPr>
      </w:pPr>
    </w:p>
    <w:p w14:paraId="7A82D664" w14:textId="77777777"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IV.</w:t>
      </w:r>
      <w:r w:rsidRPr="006F7389">
        <w:rPr>
          <w:rFonts w:ascii="Tw Cen MT Condensed" w:eastAsia="Calibri,Calibri,Arial" w:hAnsi="Tw Cen MT Condensed" w:cs="Arial"/>
          <w:b/>
          <w:sz w:val="40"/>
          <w:szCs w:val="40"/>
        </w:rPr>
        <w:tab/>
        <w:t xml:space="preserve">LOGIC MODEL </w:t>
      </w:r>
    </w:p>
    <w:p w14:paraId="0867C6BF" w14:textId="77777777" w:rsidR="004020D7" w:rsidRDefault="004020D7" w:rsidP="004020D7">
      <w:pPr>
        <w:rPr>
          <w:rFonts w:eastAsia="Calibri,Arial" w:cs="Calibri,Arial"/>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464"/>
        <w:gridCol w:w="1300"/>
        <w:gridCol w:w="1775"/>
        <w:gridCol w:w="2409"/>
        <w:gridCol w:w="1098"/>
        <w:gridCol w:w="1304"/>
      </w:tblGrid>
      <w:tr w:rsidR="004020D7" w:rsidRPr="0029107B" w14:paraId="0E4F9594" w14:textId="77777777" w:rsidTr="00283D3E">
        <w:trPr>
          <w:trHeight w:val="467"/>
        </w:trPr>
        <w:tc>
          <w:tcPr>
            <w:tcW w:w="5000" w:type="pct"/>
            <w:gridSpan w:val="6"/>
            <w:tcBorders>
              <w:bottom w:val="single" w:sz="4" w:space="0" w:color="auto"/>
            </w:tcBorders>
            <w:shd w:val="clear" w:color="auto" w:fill="FFFFFF" w:themeFill="background1"/>
          </w:tcPr>
          <w:p w14:paraId="10405027" w14:textId="77777777" w:rsidR="004020D7" w:rsidRPr="0029107B" w:rsidRDefault="004020D7" w:rsidP="00283D3E">
            <w:pPr>
              <w:rPr>
                <w:rFonts w:eastAsia="Calibri" w:cs="Calibri"/>
                <w:b/>
                <w:bCs/>
              </w:rPr>
            </w:pPr>
            <w:r w:rsidRPr="79CAECB6">
              <w:rPr>
                <w:rFonts w:eastAsia="Calibri" w:cs="Calibri"/>
                <w:b/>
                <w:bCs/>
              </w:rPr>
              <w:t>Program Name:</w:t>
            </w:r>
            <w:r>
              <w:rPr>
                <w:rFonts w:eastAsia="Calibri" w:cs="Calibri"/>
                <w:b/>
                <w:bCs/>
              </w:rPr>
              <w:t xml:space="preserve"> Basic Needs Resource Brokering</w:t>
            </w:r>
          </w:p>
        </w:tc>
      </w:tr>
      <w:tr w:rsidR="004020D7" w:rsidRPr="0029107B" w14:paraId="492DCD66" w14:textId="77777777" w:rsidTr="00283D3E">
        <w:tc>
          <w:tcPr>
            <w:tcW w:w="5000" w:type="pct"/>
            <w:gridSpan w:val="6"/>
          </w:tcPr>
          <w:p w14:paraId="1E2A0517" w14:textId="77777777" w:rsidR="004020D7" w:rsidRDefault="004020D7" w:rsidP="00283D3E">
            <w:pPr>
              <w:spacing w:line="240" w:lineRule="auto"/>
              <w:rPr>
                <w:rFonts w:eastAsia="Calibri,Arial" w:cs="Calibri,Arial"/>
                <w:bCs/>
                <w:color w:val="000000" w:themeColor="text1"/>
              </w:rPr>
            </w:pPr>
            <w:r w:rsidRPr="00216E44">
              <w:rPr>
                <w:rFonts w:eastAsia="Calibri" w:cs="Calibri"/>
                <w:b/>
                <w:bCs/>
                <w:color w:val="000000" w:themeColor="text1"/>
              </w:rPr>
              <w:t>Result/</w:t>
            </w:r>
            <w:r w:rsidRPr="00216E44">
              <w:rPr>
                <w:rFonts w:eastAsia="Calibri,Arial" w:cs="Calibri,Arial"/>
                <w:bCs/>
                <w:color w:val="000000" w:themeColor="text1"/>
              </w:rPr>
              <w:t xml:space="preserve"> </w:t>
            </w:r>
            <w:r w:rsidRPr="00216E44">
              <w:rPr>
                <w:rFonts w:eastAsia="Calibri,Arial" w:cs="Calibri,Arial"/>
                <w:b/>
                <w:bCs/>
                <w:color w:val="000000" w:themeColor="text1"/>
              </w:rPr>
              <w:t>primary goals</w:t>
            </w:r>
            <w:r w:rsidRPr="00216E44">
              <w:rPr>
                <w:rFonts w:eastAsia="Calibri" w:cs="Calibri"/>
                <w:b/>
                <w:bCs/>
                <w:color w:val="000000" w:themeColor="text1"/>
              </w:rPr>
              <w:t>:</w:t>
            </w:r>
            <w:r w:rsidRPr="00216E44">
              <w:rPr>
                <w:rFonts w:eastAsia="Calibri" w:cs="Calibri"/>
                <w:color w:val="000000" w:themeColor="text1"/>
              </w:rPr>
              <w:t xml:space="preserve"> </w:t>
            </w:r>
            <w:r w:rsidRPr="00216E44">
              <w:rPr>
                <w:rFonts w:eastAsia="Calibri,Arial" w:cs="Calibri,Arial"/>
                <w:bCs/>
                <w:color w:val="000000" w:themeColor="text1"/>
              </w:rPr>
              <w:t>Increase organizational capacity to provide concrete support in times of need</w:t>
            </w:r>
          </w:p>
          <w:p w14:paraId="4D121148" w14:textId="77777777" w:rsidR="004020D7" w:rsidRPr="00300C89" w:rsidRDefault="004020D7" w:rsidP="00283D3E">
            <w:pPr>
              <w:spacing w:line="240" w:lineRule="auto"/>
              <w:rPr>
                <w:rFonts w:eastAsia="Calibri,Arial" w:cs="Calibri,Arial"/>
                <w:bCs/>
                <w:color w:val="000000" w:themeColor="text1"/>
              </w:rPr>
            </w:pPr>
          </w:p>
        </w:tc>
      </w:tr>
      <w:tr w:rsidR="004020D7" w:rsidRPr="0029107B" w14:paraId="48616E62" w14:textId="77777777" w:rsidTr="00283D3E">
        <w:trPr>
          <w:trHeight w:val="1016"/>
        </w:trPr>
        <w:tc>
          <w:tcPr>
            <w:tcW w:w="544" w:type="pct"/>
            <w:tcBorders>
              <w:bottom w:val="single" w:sz="4" w:space="0" w:color="auto"/>
            </w:tcBorders>
            <w:shd w:val="clear" w:color="auto" w:fill="auto"/>
            <w:vAlign w:val="bottom"/>
          </w:tcPr>
          <w:p w14:paraId="7D2D9E83" w14:textId="77777777" w:rsidR="004020D7" w:rsidRPr="0029107B" w:rsidRDefault="004020D7" w:rsidP="00283D3E">
            <w:pPr>
              <w:jc w:val="center"/>
              <w:rPr>
                <w:rFonts w:eastAsia="Calibri" w:cs="Calibri"/>
                <w:sz w:val="18"/>
                <w:szCs w:val="18"/>
              </w:rPr>
            </w:pPr>
            <w:r w:rsidRPr="79CAECB6">
              <w:rPr>
                <w:rFonts w:eastAsia="Calibri" w:cs="Calibri"/>
                <w:i/>
                <w:iCs/>
                <w:sz w:val="18"/>
                <w:szCs w:val="18"/>
              </w:rPr>
              <w:t>Because we have these resources…</w:t>
            </w:r>
          </w:p>
        </w:tc>
        <w:tc>
          <w:tcPr>
            <w:tcW w:w="751" w:type="pct"/>
            <w:tcBorders>
              <w:bottom w:val="single" w:sz="4" w:space="0" w:color="auto"/>
            </w:tcBorders>
            <w:shd w:val="clear" w:color="auto" w:fill="auto"/>
            <w:vAlign w:val="bottom"/>
          </w:tcPr>
          <w:p w14:paraId="5A270D56" w14:textId="77777777" w:rsidR="004020D7" w:rsidRPr="0029107B" w:rsidRDefault="004020D7" w:rsidP="00283D3E">
            <w:pPr>
              <w:jc w:val="center"/>
              <w:rPr>
                <w:rFonts w:eastAsia="Calibri" w:cs="Calibri"/>
                <w:i/>
                <w:iCs/>
                <w:sz w:val="18"/>
                <w:szCs w:val="18"/>
              </w:rPr>
            </w:pPr>
            <w:r w:rsidRPr="79CAECB6">
              <w:rPr>
                <w:rFonts w:eastAsia="Calibri" w:cs="Calibri"/>
                <w:i/>
                <w:iCs/>
                <w:sz w:val="18"/>
                <w:szCs w:val="18"/>
              </w:rPr>
              <w:t>…we are able to do these activities…</w:t>
            </w:r>
          </w:p>
        </w:tc>
        <w:tc>
          <w:tcPr>
            <w:tcW w:w="935" w:type="pct"/>
            <w:tcBorders>
              <w:bottom w:val="single" w:sz="4" w:space="0" w:color="auto"/>
              <w:right w:val="dashed" w:sz="12" w:space="0" w:color="auto"/>
            </w:tcBorders>
            <w:shd w:val="clear" w:color="auto" w:fill="auto"/>
            <w:vAlign w:val="bottom"/>
          </w:tcPr>
          <w:p w14:paraId="27377EED" w14:textId="77777777" w:rsidR="004020D7" w:rsidRPr="0029107B" w:rsidRDefault="004020D7" w:rsidP="00283D3E">
            <w:pPr>
              <w:jc w:val="center"/>
              <w:rPr>
                <w:rFonts w:eastAsia="Calibri" w:cs="Calibri"/>
                <w:sz w:val="18"/>
                <w:szCs w:val="18"/>
              </w:rPr>
            </w:pPr>
            <w:r w:rsidRPr="79CAECB6">
              <w:rPr>
                <w:rFonts w:eastAsia="Calibri" w:cs="Calibri"/>
                <w:i/>
                <w:iCs/>
                <w:sz w:val="18"/>
                <w:szCs w:val="18"/>
              </w:rPr>
              <w:t xml:space="preserve">…producing these short-term program-level results or these changes in knowledge, </w:t>
            </w:r>
            <w:r w:rsidRPr="79CAECB6">
              <w:rPr>
                <w:rFonts w:eastAsia="Calibri" w:cs="Calibri"/>
                <w:i/>
                <w:iCs/>
                <w:sz w:val="18"/>
                <w:szCs w:val="18"/>
              </w:rPr>
              <w:lastRenderedPageBreak/>
              <w:t>skills, attitudes, awareness, capacity…</w:t>
            </w:r>
          </w:p>
        </w:tc>
        <w:tc>
          <w:tcPr>
            <w:tcW w:w="1018" w:type="pct"/>
            <w:tcBorders>
              <w:left w:val="dashed" w:sz="12" w:space="0" w:color="auto"/>
              <w:bottom w:val="single" w:sz="4" w:space="0" w:color="auto"/>
              <w:right w:val="single" w:sz="18" w:space="0" w:color="auto"/>
            </w:tcBorders>
            <w:shd w:val="clear" w:color="auto" w:fill="auto"/>
            <w:vAlign w:val="bottom"/>
          </w:tcPr>
          <w:p w14:paraId="170D060B" w14:textId="77777777" w:rsidR="004020D7" w:rsidRPr="0029107B" w:rsidRDefault="004020D7" w:rsidP="00283D3E">
            <w:pPr>
              <w:jc w:val="center"/>
              <w:rPr>
                <w:rFonts w:eastAsia="Calibri" w:cs="Calibri"/>
                <w:i/>
                <w:iCs/>
                <w:sz w:val="18"/>
                <w:szCs w:val="18"/>
              </w:rPr>
            </w:pPr>
            <w:r w:rsidRPr="79CAECB6">
              <w:rPr>
                <w:rFonts w:eastAsia="Calibri" w:cs="Calibri"/>
                <w:i/>
                <w:iCs/>
                <w:sz w:val="18"/>
                <w:szCs w:val="18"/>
              </w:rPr>
              <w:lastRenderedPageBreak/>
              <w:t>…and these interim-term changes across contracted agencies…</w:t>
            </w:r>
          </w:p>
        </w:tc>
        <w:tc>
          <w:tcPr>
            <w:tcW w:w="1753" w:type="pct"/>
            <w:gridSpan w:val="2"/>
            <w:tcBorders>
              <w:left w:val="single" w:sz="18" w:space="0" w:color="auto"/>
              <w:bottom w:val="single" w:sz="4" w:space="0" w:color="auto"/>
            </w:tcBorders>
            <w:vAlign w:val="bottom"/>
          </w:tcPr>
          <w:p w14:paraId="69AD9375" w14:textId="77777777" w:rsidR="004020D7" w:rsidRPr="0029107B" w:rsidRDefault="004020D7" w:rsidP="00283D3E">
            <w:pPr>
              <w:jc w:val="center"/>
              <w:rPr>
                <w:rFonts w:eastAsia="Calibri" w:cs="Calibri"/>
                <w:i/>
                <w:iCs/>
                <w:sz w:val="18"/>
                <w:szCs w:val="18"/>
              </w:rPr>
            </w:pPr>
          </w:p>
          <w:p w14:paraId="42FEE9F0" w14:textId="77777777" w:rsidR="004020D7" w:rsidRPr="0029107B" w:rsidRDefault="004020D7" w:rsidP="00283D3E">
            <w:pPr>
              <w:jc w:val="center"/>
              <w:rPr>
                <w:rFonts w:eastAsia="Calibri" w:cs="Calibri"/>
                <w:i/>
                <w:iCs/>
                <w:sz w:val="18"/>
                <w:szCs w:val="18"/>
              </w:rPr>
            </w:pPr>
            <w:r w:rsidRPr="79CAECB6">
              <w:rPr>
                <w:rFonts w:eastAsia="Calibri" w:cs="Calibri"/>
                <w:i/>
                <w:iCs/>
                <w:sz w:val="18"/>
                <w:szCs w:val="18"/>
              </w:rPr>
              <w:t>…contributing to these longer-term population-level results…</w:t>
            </w:r>
          </w:p>
        </w:tc>
      </w:tr>
      <w:tr w:rsidR="004020D7" w:rsidRPr="0029107B" w14:paraId="179C1ED4" w14:textId="77777777" w:rsidTr="00283D3E">
        <w:trPr>
          <w:trHeight w:val="512"/>
        </w:trPr>
        <w:tc>
          <w:tcPr>
            <w:tcW w:w="544" w:type="pct"/>
            <w:shd w:val="clear" w:color="auto" w:fill="auto"/>
            <w:vAlign w:val="bottom"/>
          </w:tcPr>
          <w:p w14:paraId="5CD48968"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Resources/ Inputs</w:t>
            </w:r>
          </w:p>
        </w:tc>
        <w:tc>
          <w:tcPr>
            <w:tcW w:w="751" w:type="pct"/>
            <w:shd w:val="clear" w:color="auto" w:fill="auto"/>
            <w:vAlign w:val="bottom"/>
          </w:tcPr>
          <w:p w14:paraId="60A83285"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Activities</w:t>
            </w:r>
          </w:p>
        </w:tc>
        <w:tc>
          <w:tcPr>
            <w:tcW w:w="935" w:type="pct"/>
            <w:tcBorders>
              <w:right w:val="dashed" w:sz="12" w:space="0" w:color="auto"/>
            </w:tcBorders>
            <w:shd w:val="clear" w:color="auto" w:fill="auto"/>
            <w:vAlign w:val="bottom"/>
          </w:tcPr>
          <w:p w14:paraId="2FA70D0E"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Performance measures</w:t>
            </w:r>
          </w:p>
        </w:tc>
        <w:tc>
          <w:tcPr>
            <w:tcW w:w="1018" w:type="pct"/>
            <w:tcBorders>
              <w:left w:val="dashed" w:sz="12" w:space="0" w:color="auto"/>
              <w:right w:val="single" w:sz="18" w:space="0" w:color="auto"/>
            </w:tcBorders>
            <w:shd w:val="clear" w:color="auto" w:fill="auto"/>
            <w:vAlign w:val="bottom"/>
          </w:tcPr>
          <w:p w14:paraId="36ACABC7"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Aggregate performance measures or other intermediate indicators</w:t>
            </w:r>
          </w:p>
        </w:tc>
        <w:tc>
          <w:tcPr>
            <w:tcW w:w="875" w:type="pct"/>
            <w:tcBorders>
              <w:left w:val="single" w:sz="18" w:space="0" w:color="auto"/>
            </w:tcBorders>
            <w:vAlign w:val="bottom"/>
          </w:tcPr>
          <w:p w14:paraId="1946B508"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 xml:space="preserve">Secondary indicators or change expected in 3 years </w:t>
            </w:r>
          </w:p>
        </w:tc>
        <w:tc>
          <w:tcPr>
            <w:tcW w:w="877" w:type="pct"/>
            <w:shd w:val="clear" w:color="auto" w:fill="auto"/>
            <w:vAlign w:val="bottom"/>
          </w:tcPr>
          <w:p w14:paraId="489BAF2D"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Headline indicators or other long term indicators</w:t>
            </w:r>
          </w:p>
        </w:tc>
      </w:tr>
      <w:tr w:rsidR="004020D7" w:rsidRPr="0029107B" w14:paraId="7946EF4D" w14:textId="77777777" w:rsidTr="00283D3E">
        <w:trPr>
          <w:trHeight w:val="350"/>
        </w:trPr>
        <w:tc>
          <w:tcPr>
            <w:tcW w:w="544" w:type="pct"/>
            <w:shd w:val="clear" w:color="auto" w:fill="auto"/>
          </w:tcPr>
          <w:p w14:paraId="5B575772" w14:textId="77777777" w:rsidR="004020D7" w:rsidRDefault="004020D7" w:rsidP="00025030">
            <w:pPr>
              <w:pStyle w:val="ListParagraph"/>
              <w:numPr>
                <w:ilvl w:val="0"/>
                <w:numId w:val="70"/>
              </w:numPr>
              <w:rPr>
                <w:sz w:val="20"/>
                <w:szCs w:val="20"/>
              </w:rPr>
            </w:pPr>
            <w:r>
              <w:rPr>
                <w:sz w:val="20"/>
                <w:szCs w:val="20"/>
              </w:rPr>
              <w:t>Staff</w:t>
            </w:r>
          </w:p>
          <w:p w14:paraId="40C2A59A" w14:textId="77777777" w:rsidR="004020D7" w:rsidRDefault="004020D7" w:rsidP="00025030">
            <w:pPr>
              <w:pStyle w:val="ListParagraph"/>
              <w:numPr>
                <w:ilvl w:val="0"/>
                <w:numId w:val="70"/>
              </w:numPr>
              <w:rPr>
                <w:sz w:val="20"/>
                <w:szCs w:val="20"/>
              </w:rPr>
            </w:pPr>
            <w:r>
              <w:rPr>
                <w:sz w:val="20"/>
                <w:szCs w:val="20"/>
              </w:rPr>
              <w:t>Local and National partnerships</w:t>
            </w:r>
          </w:p>
          <w:p w14:paraId="0657E216" w14:textId="77777777" w:rsidR="004020D7" w:rsidRDefault="004020D7" w:rsidP="00025030">
            <w:pPr>
              <w:pStyle w:val="ListParagraph"/>
              <w:numPr>
                <w:ilvl w:val="0"/>
                <w:numId w:val="70"/>
              </w:numPr>
              <w:rPr>
                <w:sz w:val="20"/>
                <w:szCs w:val="20"/>
              </w:rPr>
            </w:pPr>
            <w:r>
              <w:rPr>
                <w:sz w:val="20"/>
                <w:szCs w:val="20"/>
              </w:rPr>
              <w:t>Volunteers</w:t>
            </w:r>
          </w:p>
          <w:p w14:paraId="74891100" w14:textId="77777777" w:rsidR="004020D7" w:rsidRDefault="004020D7" w:rsidP="00025030">
            <w:pPr>
              <w:pStyle w:val="ListParagraph"/>
              <w:numPr>
                <w:ilvl w:val="0"/>
                <w:numId w:val="70"/>
              </w:numPr>
              <w:rPr>
                <w:sz w:val="20"/>
                <w:szCs w:val="20"/>
              </w:rPr>
            </w:pPr>
            <w:r>
              <w:rPr>
                <w:sz w:val="20"/>
                <w:szCs w:val="20"/>
              </w:rPr>
              <w:t>Infrastructure (facilities, data systems, trucks)</w:t>
            </w:r>
          </w:p>
          <w:p w14:paraId="495E10E1" w14:textId="77777777" w:rsidR="004020D7" w:rsidRDefault="004020D7" w:rsidP="00025030">
            <w:pPr>
              <w:pStyle w:val="ListParagraph"/>
              <w:numPr>
                <w:ilvl w:val="0"/>
                <w:numId w:val="70"/>
              </w:numPr>
              <w:rPr>
                <w:sz w:val="20"/>
                <w:szCs w:val="20"/>
              </w:rPr>
            </w:pPr>
            <w:r>
              <w:rPr>
                <w:sz w:val="20"/>
                <w:szCs w:val="20"/>
              </w:rPr>
              <w:t>Funding (BSK and other)</w:t>
            </w:r>
          </w:p>
          <w:p w14:paraId="38BA6686" w14:textId="77777777" w:rsidR="004020D7" w:rsidRPr="00CD7369" w:rsidRDefault="004020D7" w:rsidP="00025030">
            <w:pPr>
              <w:pStyle w:val="ListParagraph"/>
              <w:numPr>
                <w:ilvl w:val="0"/>
                <w:numId w:val="70"/>
              </w:numPr>
              <w:rPr>
                <w:sz w:val="20"/>
                <w:szCs w:val="20"/>
              </w:rPr>
            </w:pPr>
            <w:r>
              <w:rPr>
                <w:sz w:val="20"/>
                <w:szCs w:val="20"/>
              </w:rPr>
              <w:t>Community Goods Support</w:t>
            </w:r>
          </w:p>
          <w:p w14:paraId="61FBF3E6" w14:textId="77777777" w:rsidR="004020D7" w:rsidRPr="00015C9D" w:rsidRDefault="004020D7" w:rsidP="00283D3E">
            <w:pPr>
              <w:ind w:left="144"/>
              <w:rPr>
                <w:sz w:val="20"/>
                <w:szCs w:val="20"/>
              </w:rPr>
            </w:pPr>
          </w:p>
          <w:p w14:paraId="19C8BADD" w14:textId="77777777" w:rsidR="004020D7" w:rsidRPr="0029107B" w:rsidRDefault="004020D7" w:rsidP="00283D3E">
            <w:pPr>
              <w:ind w:left="432"/>
              <w:rPr>
                <w:sz w:val="20"/>
                <w:szCs w:val="20"/>
              </w:rPr>
            </w:pPr>
          </w:p>
          <w:p w14:paraId="44B570E0" w14:textId="77777777" w:rsidR="004020D7" w:rsidRPr="0029107B" w:rsidRDefault="004020D7" w:rsidP="00283D3E">
            <w:pPr>
              <w:rPr>
                <w:sz w:val="20"/>
                <w:szCs w:val="20"/>
              </w:rPr>
            </w:pPr>
          </w:p>
          <w:p w14:paraId="7FB80AE0" w14:textId="77777777" w:rsidR="004020D7" w:rsidRPr="0029107B" w:rsidRDefault="004020D7" w:rsidP="00283D3E">
            <w:pPr>
              <w:ind w:left="432"/>
              <w:rPr>
                <w:sz w:val="20"/>
                <w:szCs w:val="20"/>
              </w:rPr>
            </w:pPr>
          </w:p>
          <w:p w14:paraId="52863AD8" w14:textId="77777777" w:rsidR="004020D7" w:rsidRPr="0029107B" w:rsidRDefault="004020D7" w:rsidP="00283D3E">
            <w:pPr>
              <w:ind w:left="432"/>
              <w:rPr>
                <w:sz w:val="20"/>
                <w:szCs w:val="20"/>
              </w:rPr>
            </w:pPr>
          </w:p>
          <w:p w14:paraId="028C59E6" w14:textId="77777777" w:rsidR="004020D7" w:rsidRPr="0029107B" w:rsidRDefault="004020D7" w:rsidP="00283D3E">
            <w:pPr>
              <w:ind w:left="432"/>
              <w:rPr>
                <w:sz w:val="20"/>
                <w:szCs w:val="20"/>
              </w:rPr>
            </w:pPr>
          </w:p>
          <w:p w14:paraId="5D616F78" w14:textId="77777777" w:rsidR="004020D7" w:rsidRPr="0029107B" w:rsidRDefault="004020D7" w:rsidP="00283D3E">
            <w:pPr>
              <w:ind w:left="432"/>
              <w:rPr>
                <w:sz w:val="20"/>
                <w:szCs w:val="20"/>
              </w:rPr>
            </w:pPr>
          </w:p>
          <w:p w14:paraId="7DFE4128" w14:textId="77777777" w:rsidR="004020D7" w:rsidRPr="0029107B" w:rsidRDefault="004020D7" w:rsidP="00283D3E">
            <w:pPr>
              <w:ind w:left="432"/>
              <w:rPr>
                <w:sz w:val="20"/>
                <w:szCs w:val="20"/>
              </w:rPr>
            </w:pPr>
          </w:p>
        </w:tc>
        <w:tc>
          <w:tcPr>
            <w:tcW w:w="751" w:type="pct"/>
            <w:shd w:val="clear" w:color="auto" w:fill="auto"/>
          </w:tcPr>
          <w:p w14:paraId="1E16A853" w14:textId="77777777" w:rsidR="004020D7" w:rsidRPr="00EA01A9" w:rsidRDefault="004020D7" w:rsidP="00025030">
            <w:pPr>
              <w:pStyle w:val="ListParagraph"/>
              <w:numPr>
                <w:ilvl w:val="0"/>
                <w:numId w:val="70"/>
              </w:numPr>
              <w:rPr>
                <w:sz w:val="20"/>
                <w:szCs w:val="20"/>
              </w:rPr>
            </w:pPr>
            <w:r w:rsidRPr="00EA01A9">
              <w:rPr>
                <w:sz w:val="20"/>
                <w:szCs w:val="20"/>
              </w:rPr>
              <w:t>Sourcing and purchasing</w:t>
            </w:r>
          </w:p>
          <w:p w14:paraId="66443751" w14:textId="77777777" w:rsidR="004020D7" w:rsidRPr="00EA01A9" w:rsidRDefault="004020D7" w:rsidP="00025030">
            <w:pPr>
              <w:pStyle w:val="ListParagraph"/>
              <w:numPr>
                <w:ilvl w:val="0"/>
                <w:numId w:val="70"/>
              </w:numPr>
              <w:rPr>
                <w:sz w:val="20"/>
                <w:szCs w:val="20"/>
              </w:rPr>
            </w:pPr>
            <w:r w:rsidRPr="00EA01A9">
              <w:rPr>
                <w:sz w:val="20"/>
                <w:szCs w:val="20"/>
              </w:rPr>
              <w:t>Distribution of goods</w:t>
            </w:r>
          </w:p>
          <w:p w14:paraId="620AFCFC" w14:textId="77777777" w:rsidR="004020D7" w:rsidRPr="00EA01A9" w:rsidRDefault="004020D7" w:rsidP="00025030">
            <w:pPr>
              <w:pStyle w:val="ListParagraph"/>
              <w:numPr>
                <w:ilvl w:val="0"/>
                <w:numId w:val="70"/>
              </w:numPr>
              <w:spacing w:line="240" w:lineRule="auto"/>
              <w:rPr>
                <w:sz w:val="20"/>
                <w:szCs w:val="20"/>
              </w:rPr>
            </w:pPr>
            <w:r w:rsidRPr="00EA01A9">
              <w:rPr>
                <w:sz w:val="20"/>
                <w:szCs w:val="20"/>
              </w:rPr>
              <w:t>Events and drives</w:t>
            </w:r>
          </w:p>
          <w:p w14:paraId="5A98323A" w14:textId="77777777" w:rsidR="004020D7" w:rsidRPr="00EA01A9" w:rsidRDefault="004020D7" w:rsidP="00025030">
            <w:pPr>
              <w:pStyle w:val="ListParagraph"/>
              <w:numPr>
                <w:ilvl w:val="0"/>
                <w:numId w:val="70"/>
              </w:numPr>
              <w:spacing w:line="240" w:lineRule="auto"/>
              <w:rPr>
                <w:sz w:val="20"/>
                <w:szCs w:val="20"/>
              </w:rPr>
            </w:pPr>
            <w:r w:rsidRPr="00EA01A9">
              <w:rPr>
                <w:sz w:val="20"/>
                <w:szCs w:val="20"/>
              </w:rPr>
              <w:t xml:space="preserve">Donor </w:t>
            </w:r>
            <w:r>
              <w:rPr>
                <w:sz w:val="20"/>
                <w:szCs w:val="20"/>
              </w:rPr>
              <w:t>relations</w:t>
            </w:r>
          </w:p>
          <w:p w14:paraId="1BCBBD61" w14:textId="77777777" w:rsidR="004020D7" w:rsidRPr="00EA01A9" w:rsidRDefault="004020D7" w:rsidP="00025030">
            <w:pPr>
              <w:pStyle w:val="ListParagraph"/>
              <w:numPr>
                <w:ilvl w:val="0"/>
                <w:numId w:val="70"/>
              </w:numPr>
              <w:spacing w:line="240" w:lineRule="auto"/>
              <w:rPr>
                <w:sz w:val="20"/>
                <w:szCs w:val="20"/>
              </w:rPr>
            </w:pPr>
            <w:r w:rsidRPr="00EA01A9">
              <w:rPr>
                <w:sz w:val="20"/>
                <w:szCs w:val="20"/>
              </w:rPr>
              <w:t>Awareness building</w:t>
            </w:r>
          </w:p>
          <w:p w14:paraId="722CF1B3" w14:textId="77777777" w:rsidR="004020D7" w:rsidRPr="00755AF4" w:rsidRDefault="004020D7" w:rsidP="00025030">
            <w:pPr>
              <w:pStyle w:val="ListParagraph"/>
              <w:numPr>
                <w:ilvl w:val="0"/>
                <w:numId w:val="70"/>
              </w:numPr>
              <w:spacing w:line="240" w:lineRule="auto"/>
              <w:rPr>
                <w:sz w:val="18"/>
                <w:szCs w:val="18"/>
              </w:rPr>
            </w:pPr>
            <w:r>
              <w:rPr>
                <w:sz w:val="20"/>
                <w:szCs w:val="20"/>
              </w:rPr>
              <w:t>Resources procured in response to partners identifying needs of families</w:t>
            </w:r>
          </w:p>
          <w:p w14:paraId="41415A76" w14:textId="77777777" w:rsidR="004020D7" w:rsidRPr="00CD7369" w:rsidRDefault="004020D7" w:rsidP="00025030">
            <w:pPr>
              <w:pStyle w:val="ListParagraph"/>
              <w:numPr>
                <w:ilvl w:val="0"/>
                <w:numId w:val="70"/>
              </w:numPr>
              <w:spacing w:line="240" w:lineRule="auto"/>
              <w:rPr>
                <w:sz w:val="18"/>
                <w:szCs w:val="18"/>
              </w:rPr>
            </w:pPr>
            <w:r>
              <w:rPr>
                <w:sz w:val="20"/>
                <w:szCs w:val="20"/>
              </w:rPr>
              <w:t>Actively collaborate with agency partners</w:t>
            </w:r>
          </w:p>
        </w:tc>
        <w:tc>
          <w:tcPr>
            <w:tcW w:w="935" w:type="pct"/>
            <w:tcBorders>
              <w:right w:val="dashed" w:sz="12" w:space="0" w:color="auto"/>
            </w:tcBorders>
            <w:shd w:val="clear" w:color="auto" w:fill="auto"/>
          </w:tcPr>
          <w:p w14:paraId="03383338" w14:textId="77777777" w:rsidR="004020D7" w:rsidRDefault="004020D7" w:rsidP="00025030">
            <w:pPr>
              <w:pStyle w:val="ListParagraph"/>
              <w:numPr>
                <w:ilvl w:val="0"/>
                <w:numId w:val="70"/>
              </w:numPr>
              <w:spacing w:line="240" w:lineRule="auto"/>
              <w:rPr>
                <w:i/>
                <w:sz w:val="20"/>
                <w:szCs w:val="20"/>
              </w:rPr>
            </w:pPr>
            <w:r>
              <w:rPr>
                <w:i/>
                <w:sz w:val="20"/>
                <w:szCs w:val="20"/>
              </w:rPr>
              <w:t>How much did we do?</w:t>
            </w:r>
          </w:p>
          <w:p w14:paraId="1E11905C"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t># of children/families</w:t>
            </w:r>
            <w:r>
              <w:rPr>
                <w:sz w:val="18"/>
                <w:szCs w:val="18"/>
              </w:rPr>
              <w:t xml:space="preserve"> </w:t>
            </w:r>
            <w:r w:rsidRPr="005706FE">
              <w:rPr>
                <w:sz w:val="18"/>
                <w:szCs w:val="18"/>
              </w:rPr>
              <w:t xml:space="preserve">served </w:t>
            </w:r>
          </w:p>
          <w:p w14:paraId="22DBE8ED"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t xml:space="preserve"># of </w:t>
            </w:r>
            <w:r>
              <w:rPr>
                <w:sz w:val="18"/>
                <w:szCs w:val="18"/>
              </w:rPr>
              <w:t>partner agencies, programs, and sites</w:t>
            </w:r>
            <w:r w:rsidRPr="005706FE">
              <w:rPr>
                <w:sz w:val="18"/>
                <w:szCs w:val="18"/>
              </w:rPr>
              <w:t xml:space="preserve"> </w:t>
            </w:r>
            <w:r>
              <w:rPr>
                <w:sz w:val="18"/>
                <w:szCs w:val="18"/>
              </w:rPr>
              <w:t>served</w:t>
            </w:r>
          </w:p>
          <w:p w14:paraId="69838BDC" w14:textId="77777777" w:rsidR="004020D7" w:rsidRDefault="004020D7" w:rsidP="00025030">
            <w:pPr>
              <w:pStyle w:val="ListParagraph"/>
              <w:numPr>
                <w:ilvl w:val="0"/>
                <w:numId w:val="70"/>
              </w:numPr>
              <w:spacing w:line="240" w:lineRule="auto"/>
              <w:rPr>
                <w:sz w:val="18"/>
                <w:szCs w:val="18"/>
              </w:rPr>
            </w:pPr>
            <w:r w:rsidRPr="005706FE">
              <w:rPr>
                <w:sz w:val="18"/>
                <w:szCs w:val="18"/>
              </w:rPr>
              <w:t># of requests for each type of item</w:t>
            </w:r>
          </w:p>
          <w:p w14:paraId="769966DD" w14:textId="77777777" w:rsidR="004020D7" w:rsidRDefault="004020D7" w:rsidP="00025030">
            <w:pPr>
              <w:pStyle w:val="ListParagraph"/>
              <w:numPr>
                <w:ilvl w:val="0"/>
                <w:numId w:val="70"/>
              </w:numPr>
              <w:spacing w:line="240" w:lineRule="auto"/>
              <w:rPr>
                <w:sz w:val="18"/>
                <w:szCs w:val="18"/>
              </w:rPr>
            </w:pPr>
            <w:r>
              <w:rPr>
                <w:sz w:val="18"/>
                <w:szCs w:val="18"/>
              </w:rPr>
              <w:t># and types of items distributed</w:t>
            </w:r>
          </w:p>
          <w:p w14:paraId="760C145C" w14:textId="77777777" w:rsidR="004020D7" w:rsidRDefault="004020D7" w:rsidP="00025030">
            <w:pPr>
              <w:pStyle w:val="ListParagraph"/>
              <w:numPr>
                <w:ilvl w:val="0"/>
                <w:numId w:val="70"/>
              </w:numPr>
              <w:spacing w:line="240" w:lineRule="auto"/>
              <w:rPr>
                <w:sz w:val="18"/>
                <w:szCs w:val="18"/>
              </w:rPr>
            </w:pPr>
            <w:r>
              <w:rPr>
                <w:sz w:val="18"/>
                <w:szCs w:val="18"/>
              </w:rPr>
              <w:t># of donation/collection sites, including events/drives</w:t>
            </w:r>
          </w:p>
          <w:p w14:paraId="4875F2CD" w14:textId="77777777" w:rsidR="004020D7" w:rsidRPr="00AE4D8A" w:rsidRDefault="004020D7" w:rsidP="00025030">
            <w:pPr>
              <w:pStyle w:val="ListParagraph"/>
              <w:numPr>
                <w:ilvl w:val="0"/>
                <w:numId w:val="70"/>
              </w:numPr>
              <w:spacing w:line="240" w:lineRule="auto"/>
              <w:rPr>
                <w:sz w:val="18"/>
                <w:szCs w:val="18"/>
              </w:rPr>
            </w:pPr>
            <w:r w:rsidRPr="00AE4D8A">
              <w:rPr>
                <w:sz w:val="18"/>
                <w:szCs w:val="18"/>
              </w:rPr>
              <w:t xml:space="preserve"># </w:t>
            </w:r>
            <w:r>
              <w:rPr>
                <w:sz w:val="18"/>
                <w:szCs w:val="18"/>
              </w:rPr>
              <w:t>of volunteers and donors (if applicable)</w:t>
            </w:r>
          </w:p>
          <w:p w14:paraId="6FF0732B" w14:textId="77777777" w:rsidR="004020D7" w:rsidRDefault="004020D7" w:rsidP="00283D3E">
            <w:pPr>
              <w:pStyle w:val="ListParagraph"/>
              <w:spacing w:line="240" w:lineRule="auto"/>
              <w:ind w:left="288"/>
              <w:rPr>
                <w:sz w:val="18"/>
                <w:szCs w:val="18"/>
              </w:rPr>
            </w:pPr>
          </w:p>
          <w:p w14:paraId="767F2A82" w14:textId="77777777" w:rsidR="004020D7" w:rsidRDefault="004020D7" w:rsidP="00025030">
            <w:pPr>
              <w:pStyle w:val="ListParagraph"/>
              <w:numPr>
                <w:ilvl w:val="0"/>
                <w:numId w:val="70"/>
              </w:numPr>
              <w:spacing w:line="240" w:lineRule="auto"/>
              <w:rPr>
                <w:i/>
                <w:sz w:val="20"/>
                <w:szCs w:val="20"/>
              </w:rPr>
            </w:pPr>
            <w:r>
              <w:rPr>
                <w:i/>
                <w:sz w:val="20"/>
                <w:szCs w:val="20"/>
              </w:rPr>
              <w:t>How well did we do it?</w:t>
            </w:r>
          </w:p>
          <w:p w14:paraId="078EC107"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t xml:space="preserve">% of focus </w:t>
            </w:r>
            <w:r>
              <w:rPr>
                <w:sz w:val="18"/>
                <w:szCs w:val="18"/>
              </w:rPr>
              <w:t>communities</w:t>
            </w:r>
            <w:r w:rsidRPr="005706FE">
              <w:rPr>
                <w:sz w:val="18"/>
                <w:szCs w:val="18"/>
              </w:rPr>
              <w:t xml:space="preserve"> reached</w:t>
            </w:r>
          </w:p>
          <w:p w14:paraId="0A8FF081" w14:textId="77777777" w:rsidR="004020D7" w:rsidRDefault="004020D7" w:rsidP="00025030">
            <w:pPr>
              <w:pStyle w:val="ListParagraph"/>
              <w:numPr>
                <w:ilvl w:val="0"/>
                <w:numId w:val="70"/>
              </w:numPr>
              <w:spacing w:line="240" w:lineRule="auto"/>
              <w:rPr>
                <w:sz w:val="18"/>
                <w:szCs w:val="18"/>
              </w:rPr>
            </w:pPr>
            <w:r w:rsidRPr="005706FE">
              <w:rPr>
                <w:sz w:val="18"/>
                <w:szCs w:val="18"/>
              </w:rPr>
              <w:t xml:space="preserve">% of </w:t>
            </w:r>
            <w:r>
              <w:rPr>
                <w:sz w:val="18"/>
                <w:szCs w:val="18"/>
              </w:rPr>
              <w:t>partner agencies</w:t>
            </w:r>
            <w:r w:rsidRPr="005706FE">
              <w:rPr>
                <w:sz w:val="18"/>
                <w:szCs w:val="18"/>
              </w:rPr>
              <w:t xml:space="preserve"> with sustained partnership with resource broker</w:t>
            </w:r>
          </w:p>
          <w:p w14:paraId="4F0A38DD" w14:textId="77777777" w:rsidR="004020D7" w:rsidRPr="005706FE" w:rsidRDefault="004020D7" w:rsidP="00025030">
            <w:pPr>
              <w:pStyle w:val="ListParagraph"/>
              <w:numPr>
                <w:ilvl w:val="0"/>
                <w:numId w:val="70"/>
              </w:numPr>
              <w:spacing w:line="240" w:lineRule="auto"/>
              <w:rPr>
                <w:sz w:val="18"/>
                <w:szCs w:val="18"/>
              </w:rPr>
            </w:pPr>
            <w:r>
              <w:rPr>
                <w:sz w:val="18"/>
                <w:szCs w:val="18"/>
              </w:rPr>
              <w:t>% of orders filled</w:t>
            </w:r>
          </w:p>
          <w:p w14:paraId="5634525F" w14:textId="77777777" w:rsidR="004020D7" w:rsidRPr="00112F69" w:rsidRDefault="004020D7" w:rsidP="00283D3E">
            <w:pPr>
              <w:pStyle w:val="Default"/>
              <w:ind w:left="288"/>
              <w:rPr>
                <w:rFonts w:cstheme="minorBidi"/>
                <w:color w:val="auto"/>
                <w:sz w:val="18"/>
                <w:szCs w:val="18"/>
              </w:rPr>
            </w:pPr>
          </w:p>
        </w:tc>
        <w:tc>
          <w:tcPr>
            <w:tcW w:w="1018" w:type="pct"/>
            <w:tcBorders>
              <w:left w:val="dashed" w:sz="12" w:space="0" w:color="auto"/>
              <w:right w:val="single" w:sz="18" w:space="0" w:color="auto"/>
            </w:tcBorders>
            <w:shd w:val="clear" w:color="auto" w:fill="auto"/>
          </w:tcPr>
          <w:p w14:paraId="3048E96B" w14:textId="77777777" w:rsidR="004020D7" w:rsidRPr="00D6366A" w:rsidRDefault="004020D7" w:rsidP="00283D3E">
            <w:pPr>
              <w:pStyle w:val="ListParagraph"/>
              <w:spacing w:line="240" w:lineRule="auto"/>
              <w:ind w:left="288"/>
              <w:rPr>
                <w:i/>
                <w:sz w:val="20"/>
                <w:szCs w:val="20"/>
              </w:rPr>
            </w:pPr>
            <w:r w:rsidRPr="00D6366A">
              <w:rPr>
                <w:i/>
                <w:sz w:val="20"/>
                <w:szCs w:val="20"/>
              </w:rPr>
              <w:t>Is anyone better off?</w:t>
            </w:r>
          </w:p>
          <w:p w14:paraId="782F7EB7" w14:textId="77777777" w:rsidR="004020D7" w:rsidRDefault="004020D7" w:rsidP="00025030">
            <w:pPr>
              <w:pStyle w:val="ListParagraph"/>
              <w:numPr>
                <w:ilvl w:val="0"/>
                <w:numId w:val="70"/>
              </w:numPr>
              <w:spacing w:line="240" w:lineRule="auto"/>
              <w:rPr>
                <w:sz w:val="18"/>
                <w:szCs w:val="18"/>
              </w:rPr>
            </w:pPr>
            <w:r>
              <w:rPr>
                <w:sz w:val="18"/>
                <w:szCs w:val="18"/>
              </w:rPr>
              <w:t>%</w:t>
            </w:r>
            <w:r w:rsidRPr="00590E29">
              <w:rPr>
                <w:sz w:val="18"/>
                <w:szCs w:val="18"/>
              </w:rPr>
              <w:t xml:space="preserve"> of provider partners who report that having basic items improved their ability to work with families</w:t>
            </w:r>
            <w:r>
              <w:rPr>
                <w:sz w:val="18"/>
                <w:szCs w:val="18"/>
              </w:rPr>
              <w:t xml:space="preserve"> by: </w:t>
            </w:r>
          </w:p>
          <w:p w14:paraId="511D324F"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positively impacting organization and program budgets; </w:t>
            </w:r>
          </w:p>
          <w:p w14:paraId="681FD60A"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enhancing communication with clients; </w:t>
            </w:r>
          </w:p>
          <w:p w14:paraId="28633991" w14:textId="77777777" w:rsidR="004020D7" w:rsidRDefault="004020D7" w:rsidP="00025030">
            <w:pPr>
              <w:pStyle w:val="ListParagraph"/>
              <w:numPr>
                <w:ilvl w:val="1"/>
                <w:numId w:val="70"/>
              </w:numPr>
              <w:spacing w:line="240" w:lineRule="auto"/>
              <w:ind w:left="432" w:hanging="180"/>
              <w:rPr>
                <w:sz w:val="18"/>
                <w:szCs w:val="18"/>
              </w:rPr>
            </w:pPr>
            <w:r>
              <w:rPr>
                <w:sz w:val="18"/>
                <w:szCs w:val="18"/>
              </w:rPr>
              <w:t>improving program retention</w:t>
            </w:r>
          </w:p>
          <w:p w14:paraId="01A433CA" w14:textId="77777777" w:rsidR="004020D7" w:rsidRPr="006F03C0" w:rsidRDefault="004020D7" w:rsidP="00025030">
            <w:pPr>
              <w:pStyle w:val="ListParagraph"/>
              <w:numPr>
                <w:ilvl w:val="1"/>
                <w:numId w:val="70"/>
              </w:numPr>
              <w:spacing w:after="160"/>
              <w:ind w:left="432" w:hanging="180"/>
              <w:rPr>
                <w:sz w:val="18"/>
                <w:szCs w:val="18"/>
              </w:rPr>
            </w:pPr>
            <w:r>
              <w:rPr>
                <w:sz w:val="18"/>
                <w:szCs w:val="18"/>
              </w:rPr>
              <w:t>reduces missed client visits</w:t>
            </w:r>
            <w:r w:rsidRPr="006F03C0">
              <w:rPr>
                <w:sz w:val="18"/>
                <w:szCs w:val="18"/>
              </w:rPr>
              <w:t xml:space="preserve"> </w:t>
            </w:r>
          </w:p>
          <w:p w14:paraId="13638422" w14:textId="77777777" w:rsidR="004020D7" w:rsidRPr="005706FE" w:rsidRDefault="004020D7" w:rsidP="00283D3E">
            <w:pPr>
              <w:rPr>
                <w:i/>
                <w:sz w:val="20"/>
                <w:szCs w:val="20"/>
                <w:u w:val="single"/>
              </w:rPr>
            </w:pPr>
          </w:p>
          <w:p w14:paraId="6BD0C539" w14:textId="77777777" w:rsidR="004020D7" w:rsidRDefault="004020D7" w:rsidP="00283D3E">
            <w:pPr>
              <w:rPr>
                <w:rFonts w:eastAsia="Calibri" w:cs="Calibri"/>
                <w:i/>
                <w:iCs/>
                <w:sz w:val="20"/>
                <w:szCs w:val="20"/>
                <w:u w:val="single"/>
              </w:rPr>
            </w:pPr>
            <w:r w:rsidRPr="79CAECB6">
              <w:rPr>
                <w:rFonts w:eastAsia="Calibri" w:cs="Calibri"/>
                <w:i/>
                <w:iCs/>
                <w:sz w:val="20"/>
                <w:szCs w:val="20"/>
                <w:u w:val="single"/>
              </w:rPr>
              <w:t>Policy/Systems/Environment:</w:t>
            </w:r>
          </w:p>
          <w:p w14:paraId="432AFBE1" w14:textId="77777777" w:rsidR="004020D7" w:rsidRDefault="004020D7" w:rsidP="00283D3E">
            <w:pPr>
              <w:rPr>
                <w:i/>
                <w:sz w:val="20"/>
                <w:szCs w:val="20"/>
                <w:u w:val="single"/>
              </w:rPr>
            </w:pPr>
          </w:p>
          <w:p w14:paraId="630DB2A4" w14:textId="77777777" w:rsidR="004020D7" w:rsidRPr="009274AE" w:rsidRDefault="004020D7" w:rsidP="00025030">
            <w:pPr>
              <w:pStyle w:val="ListParagraph"/>
              <w:numPr>
                <w:ilvl w:val="0"/>
                <w:numId w:val="69"/>
              </w:numPr>
              <w:spacing w:line="240" w:lineRule="auto"/>
              <w:rPr>
                <w:sz w:val="18"/>
                <w:szCs w:val="18"/>
              </w:rPr>
            </w:pPr>
            <w:r>
              <w:rPr>
                <w:sz w:val="18"/>
                <w:szCs w:val="20"/>
              </w:rPr>
              <w:t>% increase # of goods (or items) distributed</w:t>
            </w:r>
          </w:p>
          <w:p w14:paraId="1F8B177F" w14:textId="77777777" w:rsidR="004020D7" w:rsidRPr="009274AE" w:rsidRDefault="004020D7" w:rsidP="00025030">
            <w:pPr>
              <w:pStyle w:val="ListParagraph"/>
              <w:numPr>
                <w:ilvl w:val="0"/>
                <w:numId w:val="69"/>
              </w:numPr>
              <w:spacing w:line="240" w:lineRule="auto"/>
              <w:rPr>
                <w:sz w:val="18"/>
                <w:szCs w:val="18"/>
              </w:rPr>
            </w:pPr>
            <w:r>
              <w:rPr>
                <w:sz w:val="18"/>
                <w:szCs w:val="20"/>
              </w:rPr>
              <w:t>Increase ability to secure or distribute goods</w:t>
            </w:r>
          </w:p>
          <w:p w14:paraId="3611156A" w14:textId="77777777" w:rsidR="004020D7" w:rsidRPr="00112F69" w:rsidRDefault="004020D7" w:rsidP="00025030">
            <w:pPr>
              <w:pStyle w:val="ListParagraph"/>
              <w:numPr>
                <w:ilvl w:val="0"/>
                <w:numId w:val="69"/>
              </w:numPr>
              <w:spacing w:line="240" w:lineRule="auto"/>
              <w:rPr>
                <w:sz w:val="18"/>
                <w:szCs w:val="18"/>
              </w:rPr>
            </w:pPr>
            <w:r>
              <w:rPr>
                <w:sz w:val="18"/>
                <w:szCs w:val="20"/>
              </w:rPr>
              <w:t>Increase awareness as demonstrated by increased volunteer hours and/or # of volunteers.</w:t>
            </w:r>
          </w:p>
        </w:tc>
        <w:tc>
          <w:tcPr>
            <w:tcW w:w="875" w:type="pct"/>
            <w:tcBorders>
              <w:left w:val="single" w:sz="18" w:space="0" w:color="auto"/>
            </w:tcBorders>
          </w:tcPr>
          <w:p w14:paraId="486F58C7" w14:textId="77777777" w:rsidR="004020D7" w:rsidRDefault="004020D7" w:rsidP="00283D3E">
            <w:pPr>
              <w:ind w:left="144"/>
              <w:rPr>
                <w:sz w:val="18"/>
                <w:szCs w:val="18"/>
              </w:rPr>
            </w:pPr>
            <w:r w:rsidRPr="00112F69">
              <w:rPr>
                <w:sz w:val="18"/>
                <w:szCs w:val="18"/>
              </w:rPr>
              <w:t>↑ Healthy children</w:t>
            </w:r>
          </w:p>
          <w:p w14:paraId="72AD98E4" w14:textId="77777777" w:rsidR="004020D7" w:rsidRDefault="004020D7" w:rsidP="00283D3E">
            <w:pPr>
              <w:ind w:left="144"/>
              <w:rPr>
                <w:sz w:val="18"/>
                <w:szCs w:val="18"/>
              </w:rPr>
            </w:pPr>
            <w:r w:rsidRPr="00112F69">
              <w:rPr>
                <w:sz w:val="18"/>
                <w:szCs w:val="18"/>
              </w:rPr>
              <w:t>↑ Parent/child attachment</w:t>
            </w:r>
          </w:p>
          <w:p w14:paraId="08CF516D" w14:textId="77777777" w:rsidR="004020D7" w:rsidRPr="00112F69" w:rsidRDefault="004020D7" w:rsidP="00283D3E">
            <w:pPr>
              <w:ind w:left="144"/>
              <w:rPr>
                <w:sz w:val="18"/>
                <w:szCs w:val="18"/>
              </w:rPr>
            </w:pPr>
            <w:r w:rsidRPr="00112F69">
              <w:rPr>
                <w:sz w:val="18"/>
                <w:szCs w:val="18"/>
              </w:rPr>
              <w:t xml:space="preserve">↑ </w:t>
            </w:r>
            <w:r>
              <w:rPr>
                <w:sz w:val="18"/>
                <w:szCs w:val="18"/>
              </w:rPr>
              <w:t>Families are supported and connected</w:t>
            </w:r>
          </w:p>
          <w:p w14:paraId="147379F9" w14:textId="77777777" w:rsidR="004020D7" w:rsidRPr="00112F69" w:rsidRDefault="004020D7" w:rsidP="00283D3E">
            <w:pPr>
              <w:ind w:left="144"/>
              <w:rPr>
                <w:sz w:val="18"/>
                <w:szCs w:val="18"/>
              </w:rPr>
            </w:pPr>
          </w:p>
          <w:p w14:paraId="2D1B01DA" w14:textId="77777777" w:rsidR="004020D7" w:rsidRPr="00112F69" w:rsidRDefault="004020D7" w:rsidP="00283D3E">
            <w:pPr>
              <w:pStyle w:val="ListParagraph"/>
              <w:spacing w:line="240" w:lineRule="auto"/>
              <w:ind w:left="288"/>
              <w:rPr>
                <w:sz w:val="18"/>
                <w:szCs w:val="18"/>
              </w:rPr>
            </w:pPr>
          </w:p>
          <w:p w14:paraId="0022CB1C" w14:textId="77777777" w:rsidR="004020D7" w:rsidRPr="00112F69" w:rsidRDefault="004020D7" w:rsidP="00283D3E">
            <w:pPr>
              <w:ind w:left="144"/>
              <w:rPr>
                <w:i/>
                <w:sz w:val="20"/>
                <w:szCs w:val="20"/>
              </w:rPr>
            </w:pPr>
          </w:p>
        </w:tc>
        <w:tc>
          <w:tcPr>
            <w:tcW w:w="877" w:type="pct"/>
            <w:shd w:val="clear" w:color="auto" w:fill="auto"/>
          </w:tcPr>
          <w:p w14:paraId="51D6AC84" w14:textId="77777777" w:rsidR="004020D7" w:rsidRPr="00112F69" w:rsidRDefault="004020D7" w:rsidP="00283D3E">
            <w:pPr>
              <w:pStyle w:val="ListParagraph"/>
              <w:ind w:left="288"/>
              <w:rPr>
                <w:i/>
                <w:sz w:val="20"/>
                <w:szCs w:val="20"/>
              </w:rPr>
            </w:pPr>
            <w:r w:rsidRPr="00112F69">
              <w:rPr>
                <w:i/>
                <w:sz w:val="20"/>
                <w:szCs w:val="20"/>
              </w:rPr>
              <w:t>↑  Flourishing/ resilient children</w:t>
            </w:r>
          </w:p>
          <w:p w14:paraId="33A51866" w14:textId="77777777" w:rsidR="004020D7" w:rsidRPr="00112F69" w:rsidRDefault="004020D7" w:rsidP="00283D3E">
            <w:pPr>
              <w:pStyle w:val="ListParagraph"/>
              <w:ind w:left="288"/>
              <w:rPr>
                <w:i/>
                <w:sz w:val="20"/>
                <w:szCs w:val="20"/>
              </w:rPr>
            </w:pPr>
            <w:r w:rsidRPr="00112F69">
              <w:rPr>
                <w:i/>
                <w:sz w:val="20"/>
                <w:szCs w:val="20"/>
              </w:rPr>
              <w:t>↓ Child abuse and neglect</w:t>
            </w:r>
          </w:p>
          <w:p w14:paraId="5FA5DE1D" w14:textId="77777777" w:rsidR="004020D7" w:rsidRPr="006A7B86" w:rsidRDefault="004020D7" w:rsidP="00283D3E">
            <w:pPr>
              <w:pStyle w:val="ListParagraph"/>
              <w:ind w:left="288"/>
              <w:rPr>
                <w:i/>
                <w:sz w:val="20"/>
                <w:szCs w:val="20"/>
              </w:rPr>
            </w:pPr>
          </w:p>
        </w:tc>
      </w:tr>
      <w:tr w:rsidR="004020D7" w:rsidRPr="0029107B" w14:paraId="55F25385" w14:textId="77777777" w:rsidTr="00283D3E">
        <w:trPr>
          <w:trHeight w:val="467"/>
        </w:trPr>
        <w:tc>
          <w:tcPr>
            <w:tcW w:w="5000" w:type="pct"/>
            <w:gridSpan w:val="6"/>
          </w:tcPr>
          <w:p w14:paraId="315744F9" w14:textId="322269F7" w:rsidR="004020D7" w:rsidRPr="00875079" w:rsidRDefault="004020D7" w:rsidP="00283D3E">
            <w:pPr>
              <w:spacing w:line="240" w:lineRule="auto"/>
              <w:rPr>
                <w:rFonts w:asciiTheme="majorHAnsi" w:eastAsia="Calibri,Arial" w:hAnsiTheme="majorHAnsi" w:cs="Calibri,Arial"/>
                <w:b/>
                <w:bCs/>
              </w:rPr>
            </w:pPr>
            <w:r w:rsidRPr="00875079">
              <w:rPr>
                <w:rFonts w:asciiTheme="majorHAnsi" w:eastAsia="Calibri,Arial" w:hAnsiTheme="majorHAnsi" w:cs="Calibri,Arial"/>
                <w:b/>
                <w:bCs/>
              </w:rPr>
              <w:t xml:space="preserve">Focus </w:t>
            </w:r>
            <w:r>
              <w:rPr>
                <w:rFonts w:asciiTheme="majorHAnsi" w:eastAsia="Calibri,Arial" w:hAnsiTheme="majorHAnsi" w:cs="Calibri,Arial"/>
                <w:b/>
                <w:bCs/>
              </w:rPr>
              <w:t>communities</w:t>
            </w:r>
            <w:r w:rsidRPr="00875079">
              <w:rPr>
                <w:rFonts w:asciiTheme="majorHAnsi" w:eastAsia="Calibri,Arial" w:hAnsiTheme="majorHAnsi" w:cs="Calibri,Arial"/>
                <w:b/>
                <w:bCs/>
              </w:rPr>
              <w:t xml:space="preserve">: </w:t>
            </w:r>
            <w:r w:rsidRPr="00CD2D23">
              <w:rPr>
                <w:rFonts w:asciiTheme="majorHAnsi" w:eastAsia="Calibri,Arial" w:hAnsiTheme="majorHAnsi" w:cs="Calibri,Arial"/>
                <w:bCs/>
              </w:rPr>
              <w:t>Parents and Caregivers with young children who identify as Native Hawaiian/Pacific Islander, Somali, Black/African American, Latinx; live in South King County</w:t>
            </w:r>
            <w:r>
              <w:rPr>
                <w:rFonts w:asciiTheme="majorHAnsi" w:eastAsia="Calibri,Arial" w:hAnsiTheme="majorHAnsi" w:cs="Calibri,Arial"/>
                <w:bCs/>
              </w:rPr>
              <w:t xml:space="preserve"> (see appendix </w:t>
            </w:r>
            <w:r w:rsidR="00E12F08">
              <w:rPr>
                <w:rFonts w:asciiTheme="majorHAnsi" w:eastAsia="Calibri,Arial" w:hAnsiTheme="majorHAnsi" w:cs="Calibri,Arial"/>
                <w:bCs/>
              </w:rPr>
              <w:t>XXXX</w:t>
            </w:r>
            <w:r>
              <w:rPr>
                <w:rFonts w:asciiTheme="majorHAnsi" w:eastAsia="Calibri,Arial" w:hAnsiTheme="majorHAnsi" w:cs="Calibri,Arial"/>
                <w:bCs/>
              </w:rPr>
              <w:t xml:space="preserve"> for zip codes)</w:t>
            </w:r>
            <w:r w:rsidRPr="00CD2D23">
              <w:rPr>
                <w:rFonts w:asciiTheme="majorHAnsi" w:eastAsia="Calibri,Arial" w:hAnsiTheme="majorHAnsi" w:cs="Calibri,Arial"/>
                <w:bCs/>
              </w:rPr>
              <w:t>; are under 25 years old; and/or identify as LGBTQ+</w:t>
            </w:r>
          </w:p>
          <w:p w14:paraId="7BFDE2CA" w14:textId="77777777" w:rsidR="004020D7" w:rsidRPr="0029107B" w:rsidRDefault="004020D7" w:rsidP="00283D3E">
            <w:pPr>
              <w:spacing w:line="240" w:lineRule="auto"/>
              <w:rPr>
                <w:rFonts w:ascii="Calibri,Arial" w:eastAsia="Calibri,Arial" w:hAnsi="Calibri,Arial" w:cs="Calibri,Arial"/>
                <w:b/>
                <w:bCs/>
              </w:rPr>
            </w:pPr>
            <w:r w:rsidRPr="00875079">
              <w:rPr>
                <w:rFonts w:asciiTheme="majorHAnsi" w:eastAsia="Calibri,Arial" w:hAnsiTheme="majorHAnsi" w:cs="Calibri,Arial"/>
                <w:b/>
                <w:bCs/>
                <w:color w:val="000000" w:themeColor="text1"/>
              </w:rPr>
              <w:t xml:space="preserve">Intensity and Duration: </w:t>
            </w:r>
          </w:p>
        </w:tc>
      </w:tr>
      <w:tr w:rsidR="004020D7" w:rsidRPr="0029107B" w14:paraId="78C6ACAA" w14:textId="77777777" w:rsidTr="00283D3E">
        <w:trPr>
          <w:trHeight w:val="467"/>
        </w:trPr>
        <w:tc>
          <w:tcPr>
            <w:tcW w:w="5000" w:type="pct"/>
            <w:gridSpan w:val="6"/>
          </w:tcPr>
          <w:p w14:paraId="4C7B0423" w14:textId="77777777" w:rsidR="004020D7" w:rsidRDefault="004020D7" w:rsidP="00283D3E">
            <w:pPr>
              <w:spacing w:line="240" w:lineRule="auto"/>
              <w:rPr>
                <w:rFonts w:asciiTheme="majorHAnsi" w:eastAsia="Calibri,Arial" w:hAnsiTheme="majorHAnsi" w:cs="Calibri,Arial"/>
                <w:b/>
                <w:bCs/>
              </w:rPr>
            </w:pPr>
            <w:r>
              <w:rPr>
                <w:rFonts w:asciiTheme="majorHAnsi" w:eastAsia="Calibri,Arial" w:hAnsiTheme="majorHAnsi" w:cs="Calibri,Arial"/>
                <w:b/>
                <w:bCs/>
              </w:rPr>
              <w:t>External Factors, if any, that may affect this program (e.g. big picture things you can’t control):</w:t>
            </w:r>
          </w:p>
          <w:p w14:paraId="265A7EFE" w14:textId="77777777" w:rsidR="004020D7" w:rsidRDefault="004020D7" w:rsidP="00283D3E">
            <w:pPr>
              <w:spacing w:line="240" w:lineRule="auto"/>
              <w:rPr>
                <w:rFonts w:ascii="Calibri,Arial" w:eastAsia="Calibri,Arial" w:hAnsi="Calibri,Arial" w:cs="Calibri,Arial"/>
                <w:b/>
                <w:bCs/>
              </w:rPr>
            </w:pPr>
            <w:r>
              <w:rPr>
                <w:rFonts w:asciiTheme="majorHAnsi" w:eastAsia="Calibri,Arial" w:hAnsiTheme="majorHAnsi" w:cs="Calibri,Arial"/>
                <w:b/>
                <w:bCs/>
              </w:rPr>
              <w:t>K</w:t>
            </w:r>
            <w:r w:rsidRPr="00875079">
              <w:rPr>
                <w:rFonts w:asciiTheme="majorHAnsi" w:eastAsia="Calibri,Arial" w:hAnsiTheme="majorHAnsi" w:cs="Calibri,Arial"/>
                <w:b/>
                <w:bCs/>
              </w:rPr>
              <w:t>ey Partners</w:t>
            </w:r>
            <w:r>
              <w:rPr>
                <w:rFonts w:asciiTheme="majorHAnsi" w:eastAsia="Calibri,Arial" w:hAnsiTheme="majorHAnsi" w:cs="Calibri,Arial"/>
                <w:b/>
                <w:bCs/>
              </w:rPr>
              <w:t>, if any, who work is dependent on</w:t>
            </w:r>
            <w:r w:rsidRPr="00875079">
              <w:rPr>
                <w:rFonts w:asciiTheme="majorHAnsi" w:eastAsia="Calibri,Arial" w:hAnsiTheme="majorHAnsi" w:cs="Calibri,Arial"/>
                <w:b/>
                <w:bCs/>
              </w:rPr>
              <w:t>:</w:t>
            </w:r>
          </w:p>
        </w:tc>
      </w:tr>
    </w:tbl>
    <w:p w14:paraId="78DAE027" w14:textId="77777777" w:rsidR="004020D7" w:rsidRDefault="004020D7" w:rsidP="004020D7">
      <w:pPr>
        <w:spacing w:line="240" w:lineRule="auto"/>
        <w:rPr>
          <w:rFonts w:eastAsia="Calibri,Arial" w:cs="Calibri,Arial"/>
          <w:bCs/>
          <w:color w:val="000000" w:themeColor="text1"/>
        </w:rPr>
      </w:pPr>
      <w:r>
        <w:rPr>
          <w:rFonts w:eastAsia="Calibri,Arial" w:cs="Calibri,Arial"/>
          <w:bCs/>
          <w:color w:val="000000" w:themeColor="text1"/>
        </w:rPr>
        <w:t xml:space="preserve"> </w:t>
      </w:r>
    </w:p>
    <w:p w14:paraId="7FD635AB" w14:textId="77777777" w:rsidR="004020D7" w:rsidRDefault="004020D7" w:rsidP="004020D7">
      <w:pPr>
        <w:spacing w:line="240" w:lineRule="auto"/>
        <w:rPr>
          <w:rFonts w:eastAsia="Calibri,Arial" w:cs="Calibri,Arial"/>
          <w:bCs/>
          <w:color w:val="000000" w:themeColor="text1"/>
        </w:rPr>
      </w:pPr>
    </w:p>
    <w:p w14:paraId="57D5EAEA" w14:textId="77777777" w:rsidR="004020D7" w:rsidRDefault="004020D7" w:rsidP="004020D7">
      <w:pPr>
        <w:rPr>
          <w:rFonts w:ascii="Arial" w:hAnsi="Arial" w:cs="Arial"/>
          <w:b/>
          <w:sz w:val="20"/>
          <w:szCs w:val="20"/>
        </w:rPr>
      </w:pPr>
    </w:p>
    <w:p w14:paraId="44A1EE58" w14:textId="15A1D3F9" w:rsidR="004020D7" w:rsidRPr="006F7389" w:rsidRDefault="001365A9" w:rsidP="006F7389">
      <w:pPr>
        <w:rPr>
          <w:rFonts w:ascii="Tw Cen MT Condensed" w:eastAsia="Calibri,Calibri,Arial" w:hAnsi="Tw Cen MT Condensed" w:cs="Arial"/>
          <w:b/>
          <w:sz w:val="40"/>
          <w:szCs w:val="40"/>
        </w:rPr>
      </w:pPr>
      <w:r>
        <w:rPr>
          <w:rFonts w:ascii="Tw Cen MT Condensed" w:eastAsia="Calibri,Calibri,Arial" w:hAnsi="Tw Cen MT Condensed" w:cs="Arial"/>
          <w:b/>
          <w:bCs/>
          <w:sz w:val="40"/>
          <w:szCs w:val="40"/>
        </w:rPr>
        <w:t xml:space="preserve">V. </w:t>
      </w:r>
      <w:hyperlink r:id="rId33">
        <w:r w:rsidR="004020D7" w:rsidRPr="006F7389">
          <w:rPr>
            <w:rFonts w:ascii="Tw Cen MT Condensed" w:eastAsia="Calibri,Calibri,Arial" w:hAnsi="Tw Cen MT Condensed" w:cs="Arial"/>
            <w:b/>
            <w:sz w:val="40"/>
            <w:szCs w:val="40"/>
          </w:rPr>
          <w:t>EQUITY IMPACT REVIEW</w:t>
        </w:r>
      </w:hyperlink>
      <w:r w:rsidR="004020D7" w:rsidRPr="006F7389">
        <w:rPr>
          <w:rFonts w:ascii="Tw Cen MT Condensed" w:eastAsia="Calibri,Calibri,Arial" w:hAnsi="Tw Cen MT Condensed" w:cs="Arial"/>
          <w:b/>
          <w:sz w:val="40"/>
          <w:szCs w:val="40"/>
        </w:rPr>
        <w:t xml:space="preserve"> </w:t>
      </w:r>
    </w:p>
    <w:p w14:paraId="13418FEC" w14:textId="77777777" w:rsidR="004020D7" w:rsidRPr="003F6FA8" w:rsidRDefault="004020D7" w:rsidP="00025030">
      <w:pPr>
        <w:numPr>
          <w:ilvl w:val="0"/>
          <w:numId w:val="68"/>
        </w:numPr>
        <w:spacing w:after="160"/>
        <w:contextualSpacing/>
        <w:rPr>
          <w:rFonts w:ascii="Calibri,Arial" w:eastAsia="Calibri,Arial" w:hAnsi="Calibri,Arial" w:cs="Calibri,Arial"/>
        </w:rPr>
      </w:pPr>
      <w:r w:rsidRPr="79CAECB6">
        <w:rPr>
          <w:noProof/>
        </w:rPr>
        <w:t xml:space="preserve">Based on the BSK Implementation Plan, all data should be disaggregated by </w:t>
      </w:r>
      <w:r>
        <w:t>age, race, ethnicity, place/geography, socioeconomic status, gender, sexual orientation, ability, and income, where possible. What are the d</w:t>
      </w:r>
      <w:r w:rsidRPr="79CAECB6">
        <w:rPr>
          <w:noProof/>
        </w:rPr>
        <w:t>ata disaggregation plans for this program?</w:t>
      </w:r>
      <w:r>
        <w:rPr>
          <w:noProof/>
        </w:rPr>
        <w:t xml:space="preserve"> </w:t>
      </w:r>
    </w:p>
    <w:p w14:paraId="553AFE11" w14:textId="77777777" w:rsidR="004020D7" w:rsidRDefault="004020D7" w:rsidP="004020D7">
      <w:pPr>
        <w:ind w:left="360"/>
        <w:contextualSpacing/>
        <w:rPr>
          <w:rFonts w:ascii="Calibri,Arial" w:eastAsia="Calibri,Arial" w:hAnsi="Calibri,Arial" w:cs="Calibri,Arial"/>
        </w:rPr>
      </w:pPr>
    </w:p>
    <w:p w14:paraId="5331A7E5" w14:textId="77777777" w:rsidR="004020D7" w:rsidRPr="00A552B3" w:rsidRDefault="004020D7" w:rsidP="004020D7">
      <w:pPr>
        <w:ind w:left="360"/>
        <w:contextualSpacing/>
        <w:rPr>
          <w:noProof/>
        </w:rPr>
      </w:pPr>
      <w:r w:rsidRPr="006F7389">
        <w:rPr>
          <w:b/>
        </w:rPr>
        <w:t>Data is currently disaggregated by</w:t>
      </w:r>
      <w:r w:rsidRPr="006F7389">
        <w:t xml:space="preserve">: </w:t>
      </w:r>
      <w:r w:rsidRPr="00A552B3">
        <w:rPr>
          <w:noProof/>
        </w:rPr>
        <w:t>zip code, race/ethnicity, type of organization (services provided), gender, age, language spoken at home</w:t>
      </w:r>
    </w:p>
    <w:p w14:paraId="3302CE3D" w14:textId="77777777" w:rsidR="004020D7" w:rsidRPr="00A552B3" w:rsidRDefault="004020D7" w:rsidP="004020D7">
      <w:pPr>
        <w:ind w:left="360"/>
        <w:contextualSpacing/>
        <w:rPr>
          <w:noProof/>
        </w:rPr>
      </w:pPr>
      <w:r w:rsidRPr="00A552B3">
        <w:rPr>
          <w:noProof/>
        </w:rPr>
        <w:t>Household: employment statys, ability, housing status</w:t>
      </w:r>
    </w:p>
    <w:p w14:paraId="0DAED008" w14:textId="77777777" w:rsidR="004020D7" w:rsidRPr="00A552B3" w:rsidRDefault="004020D7" w:rsidP="004020D7">
      <w:pPr>
        <w:ind w:left="360"/>
        <w:contextualSpacing/>
        <w:rPr>
          <w:noProof/>
        </w:rPr>
      </w:pPr>
      <w:r w:rsidRPr="00A552B3">
        <w:rPr>
          <w:noProof/>
        </w:rPr>
        <w:t>Organizations: populations served (including zip codes), # children served annually, top critical needs, # estimated individuals needing resources</w:t>
      </w:r>
    </w:p>
    <w:p w14:paraId="066F7C88" w14:textId="77777777" w:rsidR="004020D7" w:rsidRPr="003E22B3" w:rsidRDefault="004020D7" w:rsidP="004020D7">
      <w:pPr>
        <w:ind w:left="360"/>
        <w:contextualSpacing/>
        <w:rPr>
          <w:noProof/>
          <w:highlight w:val="green"/>
        </w:rPr>
      </w:pPr>
    </w:p>
    <w:p w14:paraId="7E0914AA" w14:textId="77777777" w:rsidR="004020D7" w:rsidRPr="006349C2" w:rsidRDefault="004020D7" w:rsidP="004020D7">
      <w:pPr>
        <w:ind w:left="720"/>
        <w:contextualSpacing/>
        <w:rPr>
          <w:noProof/>
        </w:rPr>
      </w:pPr>
    </w:p>
    <w:p w14:paraId="3D6AC4DB" w14:textId="77777777" w:rsidR="004020D7" w:rsidRPr="006F7389" w:rsidRDefault="004020D7" w:rsidP="004020D7">
      <w:pPr>
        <w:ind w:firstLine="360"/>
        <w:contextualSpacing/>
        <w:rPr>
          <w:b/>
        </w:rPr>
      </w:pPr>
      <w:r w:rsidRPr="006F7389">
        <w:rPr>
          <w:b/>
        </w:rPr>
        <w:t>BSK will work with grantees to support additional data collection on:</w:t>
      </w:r>
    </w:p>
    <w:p w14:paraId="440ECC37" w14:textId="77777777" w:rsidR="004020D7" w:rsidRPr="003E22B3" w:rsidRDefault="004020D7" w:rsidP="004020D7">
      <w:pPr>
        <w:ind w:firstLine="360"/>
        <w:contextualSpacing/>
        <w:rPr>
          <w:highlight w:val="green"/>
        </w:rPr>
      </w:pPr>
      <w:r>
        <w:t>Somali or African as R/E, age, LGBTQ+ (not available yet based on demographic information as currently asked)</w:t>
      </w:r>
    </w:p>
    <w:p w14:paraId="06BD3ED6" w14:textId="77777777" w:rsidR="004020D7" w:rsidRPr="006B0F48" w:rsidRDefault="004020D7" w:rsidP="004020D7">
      <w:pPr>
        <w:spacing w:line="240" w:lineRule="auto"/>
        <w:ind w:left="720"/>
        <w:contextualSpacing/>
        <w:rPr>
          <w:rFonts w:asciiTheme="minorEastAsia" w:eastAsiaTheme="minorEastAsia" w:hAnsiTheme="minorEastAsia" w:cstheme="minorEastAsia"/>
        </w:rPr>
      </w:pPr>
    </w:p>
    <w:p w14:paraId="25205DF4" w14:textId="77777777" w:rsidR="004020D7" w:rsidRPr="009A4CD0" w:rsidRDefault="004020D7" w:rsidP="00025030">
      <w:pPr>
        <w:numPr>
          <w:ilvl w:val="0"/>
          <w:numId w:val="68"/>
        </w:numPr>
        <w:spacing w:line="240" w:lineRule="auto"/>
        <w:contextualSpacing/>
        <w:rPr>
          <w:rFonts w:asciiTheme="minorEastAsia" w:eastAsiaTheme="minorEastAsia" w:hAnsiTheme="minorEastAsia" w:cstheme="minorEastAsia"/>
        </w:rPr>
      </w:pPr>
      <w:r w:rsidRPr="79CAECB6">
        <w:rPr>
          <w:rFonts w:eastAsia="Calibri" w:cs="Calibri"/>
        </w:rPr>
        <w:t>How are program activities tailored to address disparities shown in baseline data?</w:t>
      </w:r>
      <w:r>
        <w:rPr>
          <w:rFonts w:eastAsia="Calibri" w:cs="Calibri"/>
        </w:rPr>
        <w:t xml:space="preserve"> </w:t>
      </w:r>
    </w:p>
    <w:p w14:paraId="65C114AF" w14:textId="72AC59D0" w:rsidR="004020D7" w:rsidRDefault="004020D7" w:rsidP="004020D7">
      <w:pPr>
        <w:spacing w:line="240" w:lineRule="auto"/>
        <w:ind w:left="720"/>
        <w:contextualSpacing/>
        <w:rPr>
          <w:noProof/>
        </w:rPr>
      </w:pPr>
      <w:r>
        <w:rPr>
          <w:noProof/>
        </w:rPr>
        <w:t>New par</w:t>
      </w:r>
      <w:r w:rsidR="006C0DBF">
        <w:rPr>
          <w:noProof/>
        </w:rPr>
        <w:t>tn</w:t>
      </w:r>
      <w:r>
        <w:rPr>
          <w:noProof/>
        </w:rPr>
        <w:t>ership development is focused on South King County based on BSKHS data showing greatest diaper/formula need</w:t>
      </w:r>
    </w:p>
    <w:p w14:paraId="3B435C82" w14:textId="77777777" w:rsidR="004020D7" w:rsidRPr="00E178E0" w:rsidRDefault="004020D7" w:rsidP="004020D7">
      <w:pPr>
        <w:spacing w:line="240" w:lineRule="auto"/>
        <w:contextualSpacing/>
        <w:rPr>
          <w:noProof/>
        </w:rPr>
      </w:pPr>
    </w:p>
    <w:p w14:paraId="2240C663" w14:textId="77777777" w:rsidR="004020D7" w:rsidRPr="00FB764D" w:rsidRDefault="004020D7" w:rsidP="00025030">
      <w:pPr>
        <w:numPr>
          <w:ilvl w:val="0"/>
          <w:numId w:val="68"/>
        </w:numPr>
        <w:spacing w:line="240" w:lineRule="auto"/>
        <w:contextualSpacing/>
        <w:rPr>
          <w:rFonts w:asciiTheme="minorEastAsia" w:eastAsiaTheme="minorEastAsia" w:hAnsiTheme="minorEastAsia" w:cstheme="minorEastAsia"/>
        </w:rPr>
      </w:pPr>
      <w:r>
        <w:t xml:space="preserve">What are potential unintended equity-related outcomes of this program?  How will this be tracked? </w:t>
      </w:r>
    </w:p>
    <w:p w14:paraId="2A0791AB" w14:textId="77777777" w:rsidR="004020D7" w:rsidRDefault="004020D7" w:rsidP="004020D7">
      <w:pPr>
        <w:contextualSpacing/>
      </w:pPr>
    </w:p>
    <w:p w14:paraId="3F75E37B" w14:textId="77777777" w:rsidR="0053015E" w:rsidRDefault="0053015E" w:rsidP="004020D7">
      <w:pPr>
        <w:rPr>
          <w:rFonts w:ascii="Arial" w:hAnsi="Arial" w:cs="Arial"/>
          <w:b/>
          <w:sz w:val="20"/>
          <w:szCs w:val="20"/>
        </w:rPr>
        <w:sectPr w:rsidR="0053015E" w:rsidSect="00CA63D9">
          <w:pgSz w:w="12240" w:h="15840" w:code="1"/>
          <w:pgMar w:top="1440" w:right="1440" w:bottom="1440" w:left="1440" w:header="720" w:footer="720" w:gutter="0"/>
          <w:cols w:space="720"/>
          <w:titlePg/>
          <w:docGrid w:linePitch="360"/>
        </w:sectPr>
      </w:pPr>
    </w:p>
    <w:p w14:paraId="7F6C0E74" w14:textId="5C29823A" w:rsidR="004020D7" w:rsidRPr="009A4CD0" w:rsidRDefault="004020D7" w:rsidP="004020D7">
      <w:pPr>
        <w:rPr>
          <w:rFonts w:ascii="Arial" w:hAnsi="Arial" w:cs="Arial"/>
          <w:b/>
          <w:sz w:val="20"/>
          <w:szCs w:val="20"/>
        </w:rPr>
      </w:pPr>
    </w:p>
    <w:p w14:paraId="727A0795" w14:textId="4B965453" w:rsidR="00EA0231" w:rsidRDefault="004020D7" w:rsidP="00AA3610">
      <w:r>
        <w:rPr>
          <w:noProof/>
        </w:rPr>
        <w:drawing>
          <wp:inline distT="0" distB="0" distL="0" distR="0" wp14:anchorId="70F2BB7C" wp14:editId="27635081">
            <wp:extent cx="8412480" cy="5242562"/>
            <wp:effectExtent l="0" t="0" r="762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8412480" cy="5242562"/>
                    </a:xfrm>
                    <a:prstGeom prst="rect">
                      <a:avLst/>
                    </a:prstGeom>
                  </pic:spPr>
                </pic:pic>
              </a:graphicData>
            </a:graphic>
          </wp:inline>
        </w:drawing>
      </w:r>
    </w:p>
    <w:p w14:paraId="52BBF034" w14:textId="77777777" w:rsidR="0053015E" w:rsidRPr="0053015E" w:rsidRDefault="0053015E" w:rsidP="0053015E"/>
    <w:p w14:paraId="35525058" w14:textId="77777777" w:rsidR="00EA0231" w:rsidRPr="00C71E75" w:rsidRDefault="00EA0231" w:rsidP="006B0DBC"/>
    <w:sectPr w:rsidR="00EA0231" w:rsidRPr="00C71E75" w:rsidSect="00CA63D9">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46D16" w14:textId="77777777" w:rsidR="001D1C68" w:rsidRDefault="001D1C68" w:rsidP="00715147">
      <w:r>
        <w:separator/>
      </w:r>
    </w:p>
  </w:endnote>
  <w:endnote w:type="continuationSeparator" w:id="0">
    <w:p w14:paraId="441D0756" w14:textId="77777777" w:rsidR="001D1C68" w:rsidRDefault="001D1C68" w:rsidP="00715147">
      <w:r>
        <w:continuationSeparator/>
      </w:r>
    </w:p>
  </w:endnote>
  <w:endnote w:type="continuationNotice" w:id="1">
    <w:p w14:paraId="65BDF2B3" w14:textId="77777777" w:rsidR="001D1C68" w:rsidRDefault="001D1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Calibri,Calibri,Arial">
    <w:altName w:val="Times New Roman"/>
    <w:panose1 w:val="00000000000000000000"/>
    <w:charset w:val="00"/>
    <w:family w:val="roman"/>
    <w:notTrueType/>
    <w:pitch w:val="default"/>
  </w:font>
  <w:font w:name="Euphemia">
    <w:charset w:val="00"/>
    <w:family w:val="swiss"/>
    <w:pitch w:val="variable"/>
    <w:sig w:usb0="8000006F" w:usb1="0000004A" w:usb2="00002000" w:usb3="00000000" w:csb0="00000001" w:csb1="00000000"/>
  </w:font>
  <w:font w:name="Calibri,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47EFC" w14:textId="77777777" w:rsidR="00F1222E" w:rsidRDefault="00F122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8C81A" w14:textId="3449BC95" w:rsidR="001D1C68" w:rsidRDefault="001D1C68" w:rsidP="007D76F7">
    <w:pPr>
      <w:pStyle w:val="FootnoteText"/>
    </w:pPr>
  </w:p>
  <w:p w14:paraId="52B6402C" w14:textId="340E14E8" w:rsidR="001D1C68" w:rsidRDefault="001D1C68" w:rsidP="007D76F7">
    <w:pPr>
      <w:pStyle w:val="FootnoteText"/>
    </w:pPr>
  </w:p>
  <w:sdt>
    <w:sdtPr>
      <w:rPr>
        <w:rFonts w:cstheme="minorBidi"/>
        <w:sz w:val="22"/>
        <w:szCs w:val="22"/>
      </w:rPr>
      <w:id w:val="-300147117"/>
      <w:docPartObj>
        <w:docPartGallery w:val="Page Numbers (Bottom of Page)"/>
        <w:docPartUnique/>
      </w:docPartObj>
    </w:sdtPr>
    <w:sdtEndPr>
      <w:rPr>
        <w:noProof/>
      </w:rPr>
    </w:sdtEndPr>
    <w:sdtContent>
      <w:p w14:paraId="37ACE154" w14:textId="77777777" w:rsidR="001D1C68" w:rsidRDefault="001D1C68" w:rsidP="007D76F7">
        <w:pPr>
          <w:pStyle w:val="FootnoteText"/>
        </w:pPr>
      </w:p>
      <w:p w14:paraId="7E4D2961" w14:textId="2B05DD1C" w:rsidR="001D1C68" w:rsidRDefault="001D1C6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71397495" w14:textId="77777777" w:rsidR="001D1C68" w:rsidRDefault="001D1C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7455365"/>
      <w:docPartObj>
        <w:docPartGallery w:val="Page Numbers (Bottom of Page)"/>
        <w:docPartUnique/>
      </w:docPartObj>
    </w:sdtPr>
    <w:sdtEndPr>
      <w:rPr>
        <w:noProof/>
      </w:rPr>
    </w:sdtEndPr>
    <w:sdtContent>
      <w:p w14:paraId="3DDD60DE" w14:textId="758658C5" w:rsidR="001D1C68" w:rsidRDefault="001D1C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915D7" w14:textId="77777777" w:rsidR="001D1C68" w:rsidRDefault="001D1C68" w:rsidP="46E54CBF">
    <w:pPr>
      <w:pStyle w:val="Footer"/>
      <w:tabs>
        <w:tab w:val="clear" w:pos="9360"/>
        <w:tab w:val="right" w:pos="10800"/>
      </w:tabs>
      <w:jc w:val="right"/>
      <w:rPr>
        <w:rFonts w:cstheme="minorHAnsi"/>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4834B" w14:textId="77777777" w:rsidR="001D1C68" w:rsidRDefault="001D1C68" w:rsidP="00715147">
      <w:r>
        <w:separator/>
      </w:r>
    </w:p>
  </w:footnote>
  <w:footnote w:type="continuationSeparator" w:id="0">
    <w:p w14:paraId="7BCCFB8D" w14:textId="77777777" w:rsidR="001D1C68" w:rsidRDefault="001D1C68" w:rsidP="00715147">
      <w:r>
        <w:continuationSeparator/>
      </w:r>
    </w:p>
  </w:footnote>
  <w:footnote w:type="continuationNotice" w:id="1">
    <w:p w14:paraId="5305B5A9" w14:textId="77777777" w:rsidR="001D1C68" w:rsidRDefault="001D1C68"/>
  </w:footnote>
  <w:footnote w:id="2">
    <w:p w14:paraId="4509B77A" w14:textId="77777777" w:rsidR="001D1C68" w:rsidRDefault="001D1C68" w:rsidP="00B374F2">
      <w:pPr>
        <w:pStyle w:val="FootnoteText"/>
      </w:pPr>
      <w:r>
        <w:rPr>
          <w:rStyle w:val="FootnoteReference"/>
        </w:rPr>
        <w:footnoteRef/>
      </w:r>
      <w:r>
        <w:t xml:space="preserve"> Ordinance 19267. [</w:t>
      </w:r>
      <w:hyperlink r:id="rId1" w:history="1">
        <w:r w:rsidRPr="00732370">
          <w:rPr>
            <w:rStyle w:val="Hyperlink"/>
          </w:rPr>
          <w:t>LINK</w:t>
        </w:r>
      </w:hyperlink>
      <w:r>
        <w:t xml:space="preserve">] </w:t>
      </w:r>
    </w:p>
  </w:footnote>
  <w:footnote w:id="3">
    <w:p w14:paraId="20D0A21B" w14:textId="77777777" w:rsidR="001D1C68" w:rsidRDefault="001D1C68" w:rsidP="00B374F2">
      <w:pPr>
        <w:pStyle w:val="FootnoteText"/>
      </w:pPr>
      <w:r>
        <w:rPr>
          <w:rStyle w:val="FootnoteReference"/>
        </w:rPr>
        <w:footnoteRef/>
      </w:r>
      <w:r>
        <w:t xml:space="preserve"> </w:t>
      </w:r>
      <w:r w:rsidRPr="00D92E05">
        <w:t>Motion 15888</w:t>
      </w:r>
      <w:r>
        <w:t>.</w:t>
      </w:r>
      <w:r w:rsidRPr="00D92E05">
        <w:t xml:space="preserve"> </w:t>
      </w:r>
      <w:r>
        <w:t>[</w:t>
      </w:r>
      <w:hyperlink r:id="rId2" w:history="1">
        <w:r w:rsidRPr="006208FF">
          <w:rPr>
            <w:rStyle w:val="Hyperlink"/>
          </w:rPr>
          <w:t>LINK</w:t>
        </w:r>
      </w:hyperlink>
      <w:r>
        <w:t>]</w:t>
      </w:r>
    </w:p>
  </w:footnote>
  <w:footnote w:id="4">
    <w:p w14:paraId="36146938" w14:textId="0FA656CC"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Ordinance 19267</w:t>
      </w:r>
      <w:r>
        <w:rPr>
          <w:rFonts w:asciiTheme="minorHAnsi" w:hAnsiTheme="minorHAnsi" w:cstheme="minorHAnsi"/>
          <w:szCs w:val="20"/>
        </w:rPr>
        <w:t>.</w:t>
      </w:r>
      <w:r w:rsidRPr="00F551F8">
        <w:rPr>
          <w:rFonts w:asciiTheme="minorHAnsi" w:hAnsiTheme="minorHAnsi" w:cstheme="minorHAnsi"/>
          <w:szCs w:val="20"/>
        </w:rPr>
        <w:t xml:space="preserve"> [</w:t>
      </w:r>
      <w:hyperlink r:id="rId3" w:history="1">
        <w:r w:rsidRPr="00F551F8">
          <w:rPr>
            <w:rStyle w:val="Hyperlink"/>
            <w:rFonts w:asciiTheme="minorHAnsi" w:hAnsiTheme="minorHAnsi" w:cstheme="minorHAnsi"/>
            <w:szCs w:val="20"/>
          </w:rPr>
          <w:t>LINK</w:t>
        </w:r>
      </w:hyperlink>
      <w:r w:rsidRPr="00F551F8">
        <w:rPr>
          <w:rFonts w:asciiTheme="minorHAnsi" w:hAnsiTheme="minorHAnsi" w:cstheme="minorHAnsi"/>
          <w:szCs w:val="20"/>
        </w:rPr>
        <w:t>]</w:t>
      </w:r>
    </w:p>
  </w:footnote>
  <w:footnote w:id="5">
    <w:p w14:paraId="6A3C8D43" w14:textId="769E3B30" w:rsidR="001D1C68" w:rsidRDefault="001D1C68" w:rsidP="007D76F7">
      <w:pPr>
        <w:pStyle w:val="FootnoteText"/>
      </w:pPr>
      <w:r>
        <w:rPr>
          <w:rStyle w:val="FootnoteReference"/>
        </w:rPr>
        <w:footnoteRef/>
      </w:r>
      <w:r>
        <w:t xml:space="preserve"> Best Starts for Kids Blueprint Report (2021). [</w:t>
      </w:r>
      <w:hyperlink r:id="rId4" w:history="1">
        <w:r w:rsidRPr="005F3750">
          <w:rPr>
            <w:rStyle w:val="Hyperlink"/>
          </w:rPr>
          <w:t>LINK</w:t>
        </w:r>
      </w:hyperlink>
      <w:r>
        <w:t>]</w:t>
      </w:r>
    </w:p>
  </w:footnote>
  <w:footnote w:id="6">
    <w:p w14:paraId="33F4DAC6" w14:textId="2C0352F6" w:rsidR="001D1C68" w:rsidRDefault="001D1C68" w:rsidP="007D76F7">
      <w:pPr>
        <w:pStyle w:val="FootnoteText"/>
      </w:pPr>
      <w:r>
        <w:rPr>
          <w:rStyle w:val="FootnoteReference"/>
        </w:rPr>
        <w:footnoteRef/>
      </w:r>
      <w:r>
        <w:t xml:space="preserve"> </w:t>
      </w:r>
      <w:r w:rsidRPr="0015097D">
        <w:t>Motion 15769</w:t>
      </w:r>
      <w:r>
        <w:t>.</w:t>
      </w:r>
      <w:r w:rsidRPr="0015097D">
        <w:t xml:space="preserve"> [</w:t>
      </w:r>
      <w:hyperlink r:id="rId5" w:history="1">
        <w:r w:rsidRPr="00DE23FC">
          <w:rPr>
            <w:rStyle w:val="Hyperlink"/>
          </w:rPr>
          <w:t>LINK</w:t>
        </w:r>
      </w:hyperlink>
      <w:r w:rsidRPr="0015097D">
        <w:t>]</w:t>
      </w:r>
    </w:p>
  </w:footnote>
  <w:footnote w:id="7">
    <w:p w14:paraId="5F084D91" w14:textId="77777777" w:rsidR="001D1C68" w:rsidRDefault="001D1C68" w:rsidP="007D76F7">
      <w:pPr>
        <w:pStyle w:val="FootnoteText"/>
      </w:pPr>
      <w:r>
        <w:rPr>
          <w:rStyle w:val="FootnoteReference"/>
        </w:rPr>
        <w:footnoteRef/>
      </w:r>
      <w:r>
        <w:t xml:space="preserve"> The King County Council approved the King County Strategic Plan [</w:t>
      </w:r>
      <w:hyperlink r:id="rId6" w:history="1">
        <w:r w:rsidRPr="00E567B3">
          <w:rPr>
            <w:rStyle w:val="Hyperlink"/>
          </w:rPr>
          <w:t>LINK</w:t>
        </w:r>
      </w:hyperlink>
      <w:r>
        <w:t>] by Ordinance 16897 in 2010, and adopted the corresponding vision, mission, guiding principles, goals, and priorities by Motion 14317 in 2015.</w:t>
      </w:r>
    </w:p>
  </w:footnote>
  <w:footnote w:id="8">
    <w:p w14:paraId="631B95A9" w14:textId="6EAF827A" w:rsidR="001D1C68" w:rsidRDefault="001D1C68" w:rsidP="007D76F7">
      <w:pPr>
        <w:pStyle w:val="FootnoteText"/>
      </w:pPr>
      <w:r>
        <w:rPr>
          <w:rStyle w:val="FootnoteReference"/>
        </w:rPr>
        <w:footnoteRef/>
      </w:r>
      <w:r>
        <w:t xml:space="preserve"> King County Strategic Plan [</w:t>
      </w:r>
      <w:hyperlink r:id="rId7" w:history="1">
        <w:r w:rsidRPr="00E567B3">
          <w:rPr>
            <w:rStyle w:val="Hyperlink"/>
          </w:rPr>
          <w:t>LINK</w:t>
        </w:r>
      </w:hyperlink>
      <w:r>
        <w:t>].</w:t>
      </w:r>
    </w:p>
  </w:footnote>
  <w:footnote w:id="9">
    <w:p w14:paraId="05D185A8" w14:textId="77777777" w:rsidR="001D1C68" w:rsidRDefault="001D1C68" w:rsidP="007D76F7">
      <w:pPr>
        <w:pStyle w:val="FootnoteText"/>
      </w:pPr>
      <w:r>
        <w:rPr>
          <w:rStyle w:val="FootnoteReference"/>
        </w:rPr>
        <w:footnoteRef/>
      </w:r>
      <w:r>
        <w:t xml:space="preserve"> The King County Council approved the King County Strategic Plan [</w:t>
      </w:r>
      <w:hyperlink r:id="rId8" w:history="1">
        <w:r w:rsidRPr="00E567B3">
          <w:rPr>
            <w:rStyle w:val="Hyperlink"/>
          </w:rPr>
          <w:t>LINK</w:t>
        </w:r>
      </w:hyperlink>
      <w:r>
        <w:t>] by Ordinance 16897 in 2010, and adopted the corresponding vision, mission, guiding principles, goals, and priorities by Motion 14317 in 2015.</w:t>
      </w:r>
    </w:p>
  </w:footnote>
  <w:footnote w:id="10">
    <w:p w14:paraId="52013002" w14:textId="74914B97" w:rsidR="001D1C68" w:rsidRDefault="001D1C68" w:rsidP="007D76F7">
      <w:pPr>
        <w:pStyle w:val="FootnoteText"/>
      </w:pPr>
      <w:r>
        <w:rPr>
          <w:rStyle w:val="FootnoteReference"/>
        </w:rPr>
        <w:footnoteRef/>
      </w:r>
      <w:r>
        <w:t xml:space="preserve"> Motion 13768 requested the development of the Health and Human Services Transformation Plan. [</w:t>
      </w:r>
      <w:hyperlink r:id="rId9" w:history="1">
        <w:r w:rsidRPr="00E567B3">
          <w:rPr>
            <w:rStyle w:val="Hyperlink"/>
          </w:rPr>
          <w:t>LINK</w:t>
        </w:r>
      </w:hyperlink>
      <w:r>
        <w:t>] The King County Council accepted the plan by Motion 13943 in 2013.</w:t>
      </w:r>
    </w:p>
  </w:footnote>
  <w:footnote w:id="11">
    <w:p w14:paraId="129B9C7D" w14:textId="1703AE51" w:rsidR="001D1C68" w:rsidRDefault="001D1C68" w:rsidP="007D76F7">
      <w:pPr>
        <w:pStyle w:val="FootnoteText"/>
      </w:pPr>
      <w:r>
        <w:rPr>
          <w:rStyle w:val="FootnoteReference"/>
        </w:rPr>
        <w:footnoteRef/>
      </w:r>
      <w:r>
        <w:t xml:space="preserve"> Ordinance 17738 directed the development of the Youth Action Plan. The King County Council adopted the plan by Motion 14378 in 2015. [</w:t>
      </w:r>
      <w:hyperlink r:id="rId10" w:history="1">
        <w:r w:rsidRPr="00E567B3">
          <w:rPr>
            <w:rStyle w:val="Hyperlink"/>
          </w:rPr>
          <w:t>LINK</w:t>
        </w:r>
      </w:hyperlink>
      <w:r>
        <w:t>]</w:t>
      </w:r>
    </w:p>
  </w:footnote>
  <w:footnote w:id="12">
    <w:p w14:paraId="04BF5255" w14:textId="37620527" w:rsidR="001D1C68" w:rsidRDefault="001D1C68" w:rsidP="007D76F7">
      <w:pPr>
        <w:pStyle w:val="FootnoteText"/>
      </w:pPr>
      <w:r>
        <w:rPr>
          <w:rStyle w:val="FootnoteReference"/>
        </w:rPr>
        <w:footnoteRef/>
      </w:r>
      <w:r>
        <w:t xml:space="preserve"> Ordinance 19267. [</w:t>
      </w:r>
      <w:hyperlink r:id="rId11" w:history="1">
        <w:r w:rsidRPr="00732370">
          <w:rPr>
            <w:rStyle w:val="Hyperlink"/>
          </w:rPr>
          <w:t>LINK</w:t>
        </w:r>
      </w:hyperlink>
      <w:r>
        <w:t xml:space="preserve">] </w:t>
      </w:r>
    </w:p>
  </w:footnote>
  <w:footnote w:id="13">
    <w:p w14:paraId="50A14B9A" w14:textId="6232C15B" w:rsidR="001D1C68" w:rsidRDefault="001D1C68" w:rsidP="007D76F7">
      <w:pPr>
        <w:pStyle w:val="FootnoteText"/>
      </w:pPr>
      <w:r>
        <w:rPr>
          <w:rStyle w:val="FootnoteReference"/>
        </w:rPr>
        <w:footnoteRef/>
      </w:r>
      <w:r>
        <w:t xml:space="preserve"> </w:t>
      </w:r>
      <w:r w:rsidRPr="00D92E05">
        <w:t>Motion 15888</w:t>
      </w:r>
      <w:r>
        <w:t>.</w:t>
      </w:r>
      <w:r w:rsidRPr="00D92E05">
        <w:t xml:space="preserve"> </w:t>
      </w:r>
      <w:r>
        <w:t>[</w:t>
      </w:r>
      <w:hyperlink r:id="rId12" w:history="1">
        <w:r w:rsidRPr="006208FF">
          <w:rPr>
            <w:rStyle w:val="Hyperlink"/>
          </w:rPr>
          <w:t>LINK</w:t>
        </w:r>
      </w:hyperlink>
      <w:r>
        <w:t>]</w:t>
      </w:r>
    </w:p>
  </w:footnote>
  <w:footnote w:id="14">
    <w:p w14:paraId="689E4E94" w14:textId="3644BC41" w:rsidR="001D1C68" w:rsidRDefault="001D1C68" w:rsidP="007D76F7">
      <w:pPr>
        <w:pStyle w:val="FootnoteText"/>
      </w:pPr>
      <w:r>
        <w:rPr>
          <w:rStyle w:val="FootnoteReference"/>
        </w:rPr>
        <w:footnoteRef/>
      </w:r>
      <w:r>
        <w:t xml:space="preserve"> Ordinance 19267. [</w:t>
      </w:r>
      <w:hyperlink r:id="rId13" w:history="1">
        <w:r w:rsidRPr="00732370">
          <w:rPr>
            <w:rStyle w:val="Hyperlink"/>
          </w:rPr>
          <w:t>LINK</w:t>
        </w:r>
      </w:hyperlink>
      <w:r>
        <w:t>]</w:t>
      </w:r>
    </w:p>
  </w:footnote>
  <w:footnote w:id="15">
    <w:p w14:paraId="4A4DF90F" w14:textId="77777777" w:rsidR="001D1C68" w:rsidRDefault="001D1C68" w:rsidP="007D76F7">
      <w:pPr>
        <w:pStyle w:val="FootnoteText"/>
      </w:pPr>
      <w:r>
        <w:rPr>
          <w:rStyle w:val="FootnoteReference"/>
        </w:rPr>
        <w:footnoteRef/>
      </w:r>
      <w:r>
        <w:t xml:space="preserve"> </w:t>
      </w:r>
      <w:r w:rsidRPr="005F34C9">
        <w:t>Browne, C., Notkin, S., Schneider-Muñoz, A., &amp; Zimmerman, F. (2015). Youth Thrive: A Framework to Help Adolescents Overcome Trauma and Thrive. Journal of Child and Youth Care Work, 25, 33-52. [</w:t>
      </w:r>
      <w:hyperlink r:id="rId14" w:history="1">
        <w:r w:rsidRPr="00BB4E40">
          <w:rPr>
            <w:rStyle w:val="Hyperlink"/>
          </w:rPr>
          <w:t>LINK</w:t>
        </w:r>
      </w:hyperlink>
      <w:r w:rsidRPr="005F34C9">
        <w:t>]</w:t>
      </w:r>
    </w:p>
  </w:footnote>
  <w:footnote w:id="16">
    <w:p w14:paraId="56634C73" w14:textId="4C50807A" w:rsidR="001D1C68" w:rsidRDefault="001D1C68" w:rsidP="007D76F7">
      <w:pPr>
        <w:pStyle w:val="FootnoteText"/>
      </w:pPr>
      <w:r>
        <w:rPr>
          <w:rStyle w:val="FootnoteReference"/>
        </w:rPr>
        <w:footnoteRef/>
      </w:r>
      <w:r>
        <w:t xml:space="preserve"> The Data and Evaluation section. [</w:t>
      </w:r>
      <w:hyperlink w:anchor="_Data_and_Evaluation" w:history="1">
        <w:r w:rsidRPr="00317EF7">
          <w:rPr>
            <w:rStyle w:val="Hyperlink"/>
          </w:rPr>
          <w:t>LINK</w:t>
        </w:r>
      </w:hyperlink>
      <w:r>
        <w:t>]</w:t>
      </w:r>
    </w:p>
  </w:footnote>
  <w:footnote w:id="17">
    <w:p w14:paraId="26890C01" w14:textId="49583FDF" w:rsidR="001D1C68" w:rsidRDefault="001D1C68" w:rsidP="007D76F7">
      <w:pPr>
        <w:pStyle w:val="FootnoteText"/>
      </w:pPr>
      <w:r>
        <w:rPr>
          <w:rStyle w:val="FootnoteReference"/>
        </w:rPr>
        <w:footnoteRef/>
      </w:r>
      <w:r>
        <w:t xml:space="preserve"> King County Assessor. </w:t>
      </w:r>
      <w:hyperlink r:id="rId15" w:history="1">
        <w:r>
          <w:rPr>
            <w:rStyle w:val="Hyperlink"/>
          </w:rPr>
          <w:t>[LINK]</w:t>
        </w:r>
      </w:hyperlink>
    </w:p>
  </w:footnote>
  <w:footnote w:id="18">
    <w:p w14:paraId="520D82C3" w14:textId="05DDFFF8" w:rsidR="001D1C68" w:rsidRDefault="001D1C68" w:rsidP="007D76F7">
      <w:pPr>
        <w:pStyle w:val="FootnoteText"/>
      </w:pPr>
      <w:r>
        <w:rPr>
          <w:rStyle w:val="FootnoteReference"/>
        </w:rPr>
        <w:footnoteRef/>
      </w:r>
      <w:r>
        <w:t xml:space="preserve"> Best Starts for Kids Assessment Report Recommendations, page 135. [</w:t>
      </w:r>
      <w:hyperlink r:id="rId16" w:history="1">
        <w:r>
          <w:rPr>
            <w:rStyle w:val="Hyperlink"/>
          </w:rPr>
          <w:t>LINK</w:t>
        </w:r>
      </w:hyperlink>
      <w:r>
        <w:rPr>
          <w:rStyle w:val="Hyperlink"/>
        </w:rPr>
        <w:t>]</w:t>
      </w:r>
    </w:p>
  </w:footnote>
  <w:footnote w:id="19">
    <w:p w14:paraId="6B5E62C8" w14:textId="0A371F29" w:rsidR="001D1C68" w:rsidRDefault="001D1C68" w:rsidP="007D76F7">
      <w:pPr>
        <w:pStyle w:val="FootnoteText"/>
      </w:pPr>
      <w:r>
        <w:rPr>
          <w:rStyle w:val="FootnoteReference"/>
        </w:rPr>
        <w:footnoteRef/>
      </w:r>
      <w:r>
        <w:t xml:space="preserve"> </w:t>
      </w:r>
      <w:r w:rsidRPr="00476FA4">
        <w:t>C</w:t>
      </w:r>
      <w:r>
        <w:t xml:space="preserve">hildren &amp; </w:t>
      </w:r>
      <w:r w:rsidRPr="00476FA4">
        <w:t>F</w:t>
      </w:r>
      <w:r>
        <w:t xml:space="preserve">amily </w:t>
      </w:r>
      <w:r w:rsidRPr="00476FA4">
        <w:t>S</w:t>
      </w:r>
      <w:r>
        <w:t>trategy Task Force</w:t>
      </w:r>
      <w:r w:rsidRPr="00476FA4">
        <w:t xml:space="preserve"> report</w:t>
      </w:r>
      <w:r>
        <w:t xml:space="preserve"> [</w:t>
      </w:r>
      <w:hyperlink r:id="rId17" w:history="1">
        <w:r>
          <w:rPr>
            <w:rStyle w:val="Hyperlink"/>
          </w:rPr>
          <w:t>LINK</w:t>
        </w:r>
      </w:hyperlink>
      <w:r>
        <w:rPr>
          <w:rStyle w:val="Hyperlink"/>
        </w:rPr>
        <w:t>]</w:t>
      </w:r>
    </w:p>
  </w:footnote>
  <w:footnote w:id="20">
    <w:p w14:paraId="69FAACF0" w14:textId="77777777" w:rsidR="001D1C68" w:rsidRDefault="001D1C68" w:rsidP="007D76F7">
      <w:pPr>
        <w:pStyle w:val="FootnoteText"/>
      </w:pPr>
      <w:r>
        <w:rPr>
          <w:rStyle w:val="FootnoteReference"/>
        </w:rPr>
        <w:footnoteRef/>
      </w:r>
      <w:r>
        <w:t xml:space="preserve"> Ordinance 19267. [</w:t>
      </w:r>
      <w:hyperlink r:id="rId18" w:history="1">
        <w:r w:rsidRPr="00732370">
          <w:rPr>
            <w:rStyle w:val="Hyperlink"/>
          </w:rPr>
          <w:t>LINK</w:t>
        </w:r>
      </w:hyperlink>
      <w:r>
        <w:t>]</w:t>
      </w:r>
    </w:p>
  </w:footnote>
  <w:footnote w:id="21">
    <w:p w14:paraId="4349F6AF" w14:textId="6E3715E2" w:rsidR="001D1C68" w:rsidRDefault="001D1C68" w:rsidP="007D76F7">
      <w:pPr>
        <w:pStyle w:val="FootnoteText"/>
      </w:pPr>
      <w:r>
        <w:rPr>
          <w:rStyle w:val="FootnoteReference"/>
        </w:rPr>
        <w:footnoteRef/>
      </w:r>
      <w:r>
        <w:t xml:space="preserve"> </w:t>
      </w:r>
      <w:r w:rsidRPr="00D03F1F">
        <w:t>Current modeling does not suggest prorationing will occur during this levy period given current levy rates countywide, though economic trends reducing assessed property value or rate increases from other taxing districts may change that forecast</w:t>
      </w:r>
      <w:r>
        <w:t xml:space="preserve">. For more information about prorationing mitigation, see </w:t>
      </w:r>
      <w:r w:rsidRPr="0032517D">
        <w:t>Section IV.M</w:t>
      </w:r>
      <w:r>
        <w:t>.</w:t>
      </w:r>
    </w:p>
  </w:footnote>
  <w:footnote w:id="22">
    <w:p w14:paraId="3B18BF5B" w14:textId="77777777" w:rsidR="001D1C68" w:rsidRDefault="001D1C68" w:rsidP="007D76F7">
      <w:pPr>
        <w:pStyle w:val="FootnoteText"/>
      </w:pPr>
      <w:r w:rsidRPr="552321F1">
        <w:rPr>
          <w:rStyle w:val="FootnoteReference"/>
        </w:rPr>
        <w:footnoteRef/>
      </w:r>
      <w:r>
        <w:t xml:space="preserve"> The Heckman Equation: The Economics of Human Potential [</w:t>
      </w:r>
      <w:hyperlink r:id="rId19">
        <w:r w:rsidRPr="552321F1">
          <w:rPr>
            <w:rStyle w:val="Hyperlink"/>
          </w:rPr>
          <w:t>LINK</w:t>
        </w:r>
      </w:hyperlink>
      <w:r>
        <w:t>].</w:t>
      </w:r>
    </w:p>
  </w:footnote>
  <w:footnote w:id="23">
    <w:p w14:paraId="3F71D3FC" w14:textId="77777777" w:rsidR="001D1C68" w:rsidRDefault="001D1C68" w:rsidP="007D76F7">
      <w:pPr>
        <w:pStyle w:val="FootnoteText"/>
      </w:pPr>
      <w:r w:rsidRPr="552321F1">
        <w:rPr>
          <w:rStyle w:val="FootnoteReference"/>
        </w:rPr>
        <w:footnoteRef/>
      </w:r>
      <w:r>
        <w:t xml:space="preserve"> Browne, C., Notkin, S., Schneider-Muñoz, A., &amp; Zimmerman, F. (2015). Youth Thrive: A Framework to Help </w:t>
      </w:r>
    </w:p>
    <w:p w14:paraId="0CDE40CB" w14:textId="77777777" w:rsidR="001D1C68" w:rsidRDefault="001D1C68" w:rsidP="007D76F7">
      <w:pPr>
        <w:pStyle w:val="FootnoteText"/>
      </w:pPr>
      <w:r>
        <w:t>Adolescents Overcome Trauma and Thrive. Journal of Child and Youth Care Work, 25, 33-52. [</w:t>
      </w:r>
      <w:hyperlink r:id="rId20">
        <w:r w:rsidRPr="552321F1">
          <w:rPr>
            <w:rStyle w:val="Hyperlink"/>
          </w:rPr>
          <w:t>LINK</w:t>
        </w:r>
      </w:hyperlink>
      <w:r>
        <w:t>]</w:t>
      </w:r>
    </w:p>
  </w:footnote>
  <w:footnote w:id="24">
    <w:p w14:paraId="456861D8" w14:textId="77777777" w:rsidR="001D1C68" w:rsidRDefault="001D1C68" w:rsidP="007D76F7">
      <w:pPr>
        <w:pStyle w:val="FootnoteText"/>
      </w:pPr>
      <w:r w:rsidRPr="001852B9">
        <w:rPr>
          <w:rStyle w:val="FootnoteReference"/>
        </w:rPr>
        <w:footnoteRef/>
      </w:r>
      <w:r w:rsidRPr="001852B9">
        <w:t xml:space="preserve"> As described above, Ordinance 18088 directed investing $19M from 2016 revenue, and $2M were added in 2017 to support additional program needs.</w:t>
      </w:r>
    </w:p>
  </w:footnote>
  <w:footnote w:id="25">
    <w:p w14:paraId="5C590274" w14:textId="4459C4E0" w:rsidR="001D1C68" w:rsidRDefault="001D1C68" w:rsidP="007D76F7">
      <w:pPr>
        <w:pStyle w:val="FootnoteText"/>
      </w:pPr>
      <w:r>
        <w:rPr>
          <w:rStyle w:val="FootnoteReference"/>
        </w:rPr>
        <w:footnoteRef/>
      </w:r>
      <w:r>
        <w:t xml:space="preserve"> Funding levels will be determined by the COO Governance Group and the sum of the percentages allocated will equal 100 percent. Ordinance 18422. </w:t>
      </w:r>
      <w:r w:rsidRPr="0049187C">
        <w:t>[</w:t>
      </w:r>
      <w:hyperlink r:id="rId21" w:history="1">
        <w:r w:rsidRPr="007967C0">
          <w:rPr>
            <w:rStyle w:val="Hyperlink"/>
          </w:rPr>
          <w:t>LINK</w:t>
        </w:r>
      </w:hyperlink>
      <w:r>
        <w:rPr>
          <w:rStyle w:val="Hyperlink"/>
        </w:rPr>
        <w:t>]</w:t>
      </w:r>
    </w:p>
  </w:footnote>
  <w:footnote w:id="26">
    <w:p w14:paraId="59CD22CC" w14:textId="7084F54F" w:rsidR="001D1C68" w:rsidRDefault="001D1C68" w:rsidP="007D76F7">
      <w:pPr>
        <w:pStyle w:val="FootnoteText"/>
      </w:pPr>
      <w:r>
        <w:rPr>
          <w:rStyle w:val="FootnoteReference"/>
        </w:rPr>
        <w:footnoteRef/>
      </w:r>
      <w:r>
        <w:t xml:space="preserve"> Grant funds will be offered annually through competitive procurement informed by community engagement.</w:t>
      </w:r>
    </w:p>
  </w:footnote>
  <w:footnote w:id="27">
    <w:p w14:paraId="71176E04" w14:textId="7F3B581C" w:rsidR="001D1C68" w:rsidRDefault="001D1C68" w:rsidP="007D76F7">
      <w:pPr>
        <w:pStyle w:val="FootnoteText"/>
      </w:pPr>
      <w:r>
        <w:rPr>
          <w:rStyle w:val="FootnoteReference"/>
        </w:rPr>
        <w:footnoteRef/>
      </w:r>
      <w:r>
        <w:t xml:space="preserve"> Ordinance 19267. [</w:t>
      </w:r>
      <w:hyperlink r:id="rId22" w:history="1">
        <w:r w:rsidRPr="00732370">
          <w:rPr>
            <w:rStyle w:val="Hyperlink"/>
          </w:rPr>
          <w:t>LINK</w:t>
        </w:r>
      </w:hyperlink>
      <w:r>
        <w:t>]</w:t>
      </w:r>
    </w:p>
  </w:footnote>
  <w:footnote w:id="28">
    <w:p w14:paraId="028126B0" w14:textId="42E2933A" w:rsidR="001D1C68" w:rsidRDefault="001D1C68" w:rsidP="003420B4">
      <w:pPr>
        <w:contextualSpacing/>
      </w:pPr>
      <w:r w:rsidRPr="003420B4">
        <w:rPr>
          <w:rStyle w:val="FootnoteReference"/>
          <w:sz w:val="20"/>
          <w:szCs w:val="20"/>
        </w:rPr>
        <w:footnoteRef/>
      </w:r>
      <w:r w:rsidRPr="003420B4">
        <w:rPr>
          <w:sz w:val="20"/>
          <w:szCs w:val="20"/>
        </w:rPr>
        <w:t xml:space="preserve"> </w:t>
      </w:r>
      <w:r w:rsidRPr="003420B4">
        <w:rPr>
          <w:rFonts w:eastAsia="Calibri" w:cs="Calibri"/>
          <w:color w:val="000000" w:themeColor="text1"/>
          <w:sz w:val="20"/>
          <w:szCs w:val="20"/>
        </w:rPr>
        <w:t>Areas of support</w:t>
      </w:r>
      <w:r w:rsidRPr="003420B4" w:rsidDel="006B13F2">
        <w:rPr>
          <w:rFonts w:eastAsia="Calibri" w:cs="Calibri"/>
          <w:color w:val="000000" w:themeColor="text1"/>
          <w:sz w:val="20"/>
          <w:szCs w:val="20"/>
        </w:rPr>
        <w:t xml:space="preserve"> </w:t>
      </w:r>
      <w:r w:rsidRPr="003420B4">
        <w:rPr>
          <w:rFonts w:eastAsia="Calibri" w:cs="Calibri"/>
          <w:color w:val="000000" w:themeColor="text1"/>
          <w:sz w:val="20"/>
          <w:szCs w:val="20"/>
        </w:rPr>
        <w:t xml:space="preserve">include financial management, human resources, data and evaluation, IT, marketing, board governance, equity and social justice, legal services, and organizational development. </w:t>
      </w:r>
    </w:p>
  </w:footnote>
  <w:footnote w:id="29">
    <w:p w14:paraId="2C264AD9" w14:textId="1ABEBBC6" w:rsidR="001D1C68" w:rsidRDefault="001D1C68" w:rsidP="007D76F7">
      <w:pPr>
        <w:pStyle w:val="FootnoteText"/>
      </w:pPr>
      <w:r>
        <w:rPr>
          <w:rStyle w:val="FootnoteReference"/>
        </w:rPr>
        <w:footnoteRef/>
      </w:r>
      <w:r>
        <w:t xml:space="preserve"> Ordinance 19267. [</w:t>
      </w:r>
      <w:hyperlink r:id="rId23" w:history="1">
        <w:r w:rsidRPr="00732370">
          <w:rPr>
            <w:rStyle w:val="Hyperlink"/>
          </w:rPr>
          <w:t>LINK</w:t>
        </w:r>
      </w:hyperlink>
      <w:r>
        <w:t>]</w:t>
      </w:r>
    </w:p>
  </w:footnote>
  <w:footnote w:id="30">
    <w:p w14:paraId="09B95F38" w14:textId="77777777" w:rsidR="001D1C68" w:rsidRDefault="001D1C68" w:rsidP="007D76F7">
      <w:pPr>
        <w:pStyle w:val="FootnoteText"/>
      </w:pPr>
      <w:r>
        <w:rPr>
          <w:rStyle w:val="FootnoteReference"/>
        </w:rPr>
        <w:footnoteRef/>
      </w:r>
      <w:r>
        <w:t xml:space="preserve"> Ibid.</w:t>
      </w:r>
    </w:p>
  </w:footnote>
  <w:footnote w:id="31">
    <w:p w14:paraId="638CFC15" w14:textId="201C551D" w:rsidR="001D1C68" w:rsidRDefault="001D1C68" w:rsidP="007D76F7">
      <w:pPr>
        <w:pStyle w:val="FootnoteText"/>
      </w:pPr>
      <w:r>
        <w:rPr>
          <w:rStyle w:val="FootnoteReference"/>
        </w:rPr>
        <w:footnoteRef/>
      </w:r>
      <w:r>
        <w:t xml:space="preserve"> Best Starts for Kids COVID-19 Impacts Report. [</w:t>
      </w:r>
      <w:hyperlink r:id="rId24" w:history="1">
        <w:r w:rsidRPr="00486489">
          <w:rPr>
            <w:rStyle w:val="Hyperlink"/>
          </w:rPr>
          <w:t>LINK</w:t>
        </w:r>
      </w:hyperlink>
      <w:r>
        <w:t>]</w:t>
      </w:r>
    </w:p>
  </w:footnote>
  <w:footnote w:id="32">
    <w:p w14:paraId="4A7B1CE9" w14:textId="268B394F" w:rsidR="001D1C68" w:rsidRPr="00321800" w:rsidRDefault="001D1C68" w:rsidP="007D76F7">
      <w:pPr>
        <w:pStyle w:val="FootnoteText"/>
        <w:rPr>
          <w:rStyle w:val="Hyperlink"/>
          <w:rFonts w:asciiTheme="minorHAnsi" w:eastAsia="Calibri" w:hAnsiTheme="minorHAnsi" w:cstheme="minorHAnsi"/>
          <w:szCs w:val="20"/>
        </w:rPr>
      </w:pPr>
      <w:r w:rsidRPr="544944A9">
        <w:rPr>
          <w:rStyle w:val="FootnoteReference"/>
          <w:rFonts w:asciiTheme="minorHAnsi" w:hAnsiTheme="minorHAnsi" w:cstheme="minorBidi"/>
        </w:rPr>
        <w:footnoteRef/>
      </w:r>
      <w:r w:rsidRPr="00321800">
        <w:t xml:space="preserve"> Office of Disease Prevention and Health Promotion, Social Determinants of Healt</w:t>
      </w:r>
      <w:r>
        <w:t>h. [</w:t>
      </w:r>
      <w:hyperlink r:id="rId25" w:history="1">
        <w:r w:rsidRPr="00854988">
          <w:rPr>
            <w:rStyle w:val="Hyperlink"/>
            <w:rFonts w:asciiTheme="minorHAnsi" w:eastAsia="Calibri" w:hAnsiTheme="minorHAnsi" w:cstheme="minorBidi"/>
          </w:rPr>
          <w:t>LINK</w:t>
        </w:r>
      </w:hyperlink>
      <w:r>
        <w:t>]</w:t>
      </w:r>
    </w:p>
  </w:footnote>
  <w:footnote w:id="33">
    <w:p w14:paraId="3042D732" w14:textId="1A55FB8E" w:rsidR="001D1C68" w:rsidRDefault="001D1C68" w:rsidP="007D76F7">
      <w:pPr>
        <w:pStyle w:val="FootnoteText"/>
      </w:pPr>
      <w:r>
        <w:rPr>
          <w:rStyle w:val="FootnoteReference"/>
        </w:rPr>
        <w:footnoteRef/>
      </w:r>
      <w:r>
        <w:t xml:space="preserve"> See further discussion of targeted universalism in Section IV.L. </w:t>
      </w:r>
    </w:p>
  </w:footnote>
  <w:footnote w:id="34">
    <w:p w14:paraId="5E30A8EF" w14:textId="77777777" w:rsidR="001D1C68" w:rsidRDefault="001D1C68" w:rsidP="007D76F7">
      <w:pPr>
        <w:pStyle w:val="FootnoteText"/>
      </w:pPr>
      <w:r>
        <w:rPr>
          <w:rStyle w:val="FootnoteReference"/>
        </w:rPr>
        <w:footnoteRef/>
      </w:r>
      <w:r>
        <w:t xml:space="preserve"> Ordinance 19267. [</w:t>
      </w:r>
      <w:hyperlink r:id="rId26" w:history="1">
        <w:r w:rsidRPr="00732370">
          <w:rPr>
            <w:rStyle w:val="Hyperlink"/>
          </w:rPr>
          <w:t>LINK</w:t>
        </w:r>
      </w:hyperlink>
      <w:r>
        <w:t>]</w:t>
      </w:r>
    </w:p>
  </w:footnote>
  <w:footnote w:id="35">
    <w:p w14:paraId="0BCDC1F4" w14:textId="77777777" w:rsidR="001D1C68" w:rsidRDefault="001D1C68" w:rsidP="007D76F7">
      <w:pPr>
        <w:pStyle w:val="FootnoteText"/>
      </w:pPr>
      <w:r>
        <w:rPr>
          <w:rStyle w:val="FootnoteReference"/>
        </w:rPr>
        <w:footnoteRef/>
      </w:r>
      <w:r>
        <w:t xml:space="preserve"> RCW 84.52.010. [</w:t>
      </w:r>
      <w:hyperlink r:id="rId27" w:history="1">
        <w:r w:rsidRPr="00732370">
          <w:rPr>
            <w:rStyle w:val="Hyperlink"/>
          </w:rPr>
          <w:t>LINK</w:t>
        </w:r>
      </w:hyperlink>
      <w:r>
        <w:t>]</w:t>
      </w:r>
    </w:p>
  </w:footnote>
  <w:footnote w:id="36">
    <w:p w14:paraId="40F82CF2" w14:textId="7DE3CF82"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eastAsia="Calibri" w:hAnsiTheme="minorHAnsi" w:cstheme="minorHAnsi"/>
          <w:szCs w:val="20"/>
        </w:rPr>
        <w:footnoteRef/>
      </w:r>
      <w:r w:rsidRPr="00F551F8">
        <w:rPr>
          <w:rFonts w:asciiTheme="minorHAnsi" w:eastAsia="Calibri" w:hAnsiTheme="minorHAnsi" w:cstheme="minorHAnsi"/>
          <w:szCs w:val="20"/>
        </w:rPr>
        <w:t xml:space="preserve"> </w:t>
      </w:r>
      <w:hyperlink r:id="rId28" w:history="1">
        <w:r w:rsidRPr="00F551F8">
          <w:rPr>
            <w:rStyle w:val="Hyperlink"/>
            <w:rFonts w:asciiTheme="minorHAnsi" w:hAnsiTheme="minorHAnsi" w:cstheme="minorHAnsi"/>
            <w:szCs w:val="20"/>
          </w:rPr>
          <w:t>RCW 84.55.050</w:t>
        </w:r>
      </w:hyperlink>
    </w:p>
  </w:footnote>
  <w:footnote w:id="37">
    <w:p w14:paraId="7D2BC8FD" w14:textId="496B0145"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Ordinance 18088 outlined the goals and uses of the original </w:t>
      </w:r>
      <w:r w:rsidRPr="00354EFE">
        <w:rPr>
          <w:rFonts w:asciiTheme="minorHAnsi" w:hAnsiTheme="minorHAnsi" w:cstheme="minorHAnsi"/>
          <w:i/>
          <w:szCs w:val="20"/>
        </w:rPr>
        <w:t>Best Starts</w:t>
      </w:r>
      <w:r w:rsidRPr="00F551F8">
        <w:rPr>
          <w:rFonts w:asciiTheme="minorHAnsi" w:hAnsiTheme="minorHAnsi" w:cstheme="minorHAnsi"/>
          <w:i/>
          <w:szCs w:val="20"/>
        </w:rPr>
        <w:t xml:space="preserve"> </w:t>
      </w:r>
      <w:r w:rsidRPr="00F551F8">
        <w:rPr>
          <w:rFonts w:asciiTheme="minorHAnsi" w:hAnsiTheme="minorHAnsi" w:cstheme="minorHAnsi"/>
          <w:szCs w:val="20"/>
        </w:rPr>
        <w:t>Levy and provided for its submission to voters. [</w:t>
      </w:r>
      <w:hyperlink r:id="rId29" w:history="1">
        <w:r w:rsidRPr="00F551F8">
          <w:rPr>
            <w:rStyle w:val="Hyperlink"/>
            <w:rFonts w:asciiTheme="minorHAnsi" w:hAnsiTheme="minorHAnsi" w:cstheme="minorHAnsi"/>
            <w:szCs w:val="20"/>
          </w:rPr>
          <w:t>LINK</w:t>
        </w:r>
      </w:hyperlink>
      <w:r w:rsidRPr="00F551F8">
        <w:rPr>
          <w:rFonts w:asciiTheme="minorHAnsi" w:hAnsiTheme="minorHAnsi" w:cstheme="minorHAnsi"/>
          <w:szCs w:val="20"/>
        </w:rPr>
        <w:t>]</w:t>
      </w:r>
    </w:p>
  </w:footnote>
  <w:footnote w:id="38">
    <w:p w14:paraId="6887833A" w14:textId="79E913D3"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Motion 15651</w:t>
      </w:r>
      <w:r>
        <w:rPr>
          <w:rFonts w:asciiTheme="minorHAnsi" w:hAnsiTheme="minorHAnsi" w:cstheme="minorHAnsi"/>
          <w:szCs w:val="20"/>
        </w:rPr>
        <w:t>.</w:t>
      </w:r>
      <w:r w:rsidRPr="00F551F8">
        <w:rPr>
          <w:rFonts w:asciiTheme="minorHAnsi" w:hAnsiTheme="minorHAnsi" w:cstheme="minorHAnsi"/>
          <w:szCs w:val="20"/>
        </w:rPr>
        <w:t xml:space="preserve"> [</w:t>
      </w:r>
      <w:hyperlink r:id="rId30" w:history="1">
        <w:r w:rsidRPr="00F551F8">
          <w:rPr>
            <w:rStyle w:val="Hyperlink"/>
            <w:rFonts w:asciiTheme="minorHAnsi" w:hAnsiTheme="minorHAnsi" w:cstheme="minorHAnsi"/>
            <w:szCs w:val="20"/>
          </w:rPr>
          <w:t>LINK</w:t>
        </w:r>
      </w:hyperlink>
      <w:r w:rsidRPr="00F551F8">
        <w:rPr>
          <w:rStyle w:val="Hyperlink"/>
          <w:rFonts w:asciiTheme="minorHAnsi" w:hAnsiTheme="minorHAnsi" w:cstheme="minorHAnsi"/>
          <w:szCs w:val="20"/>
        </w:rPr>
        <w:t>]</w:t>
      </w:r>
    </w:p>
  </w:footnote>
  <w:footnote w:id="39">
    <w:p w14:paraId="7F686E65" w14:textId="630E3094" w:rsidR="001D1C68" w:rsidRDefault="001D1C68" w:rsidP="007D76F7">
      <w:pPr>
        <w:pStyle w:val="FootnoteText"/>
      </w:pPr>
      <w:r>
        <w:rPr>
          <w:rStyle w:val="FootnoteReference"/>
        </w:rPr>
        <w:footnoteRef/>
      </w:r>
      <w:r>
        <w:t xml:space="preserve"> Ibid.</w:t>
      </w:r>
    </w:p>
  </w:footnote>
  <w:footnote w:id="40">
    <w:p w14:paraId="1AFEE901" w14:textId="43CDA21E"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Ordinance 19267</w:t>
      </w:r>
      <w:r>
        <w:rPr>
          <w:rFonts w:asciiTheme="minorHAnsi" w:hAnsiTheme="minorHAnsi" w:cstheme="minorHAnsi"/>
          <w:szCs w:val="20"/>
        </w:rPr>
        <w:t>.</w:t>
      </w:r>
      <w:r w:rsidRPr="00F551F8">
        <w:rPr>
          <w:rFonts w:asciiTheme="minorHAnsi" w:hAnsiTheme="minorHAnsi" w:cstheme="minorHAnsi"/>
          <w:szCs w:val="20"/>
        </w:rPr>
        <w:t xml:space="preserve"> [</w:t>
      </w:r>
      <w:hyperlink r:id="rId31" w:history="1">
        <w:r w:rsidRPr="00F551F8">
          <w:rPr>
            <w:rStyle w:val="Hyperlink"/>
            <w:rFonts w:asciiTheme="minorHAnsi" w:hAnsiTheme="minorHAnsi" w:cstheme="minorHAnsi"/>
            <w:szCs w:val="20"/>
          </w:rPr>
          <w:t>LINK</w:t>
        </w:r>
      </w:hyperlink>
      <w:r w:rsidRPr="00F551F8">
        <w:rPr>
          <w:rFonts w:asciiTheme="minorHAnsi" w:hAnsiTheme="minorHAnsi" w:cstheme="minorHAnsi"/>
          <w:szCs w:val="20"/>
        </w:rPr>
        <w:t>]</w:t>
      </w:r>
    </w:p>
  </w:footnote>
  <w:footnote w:id="41">
    <w:p w14:paraId="2BB8A7DA" w14:textId="53C14BBE"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Motion 15769</w:t>
      </w:r>
      <w:r>
        <w:rPr>
          <w:rFonts w:asciiTheme="minorHAnsi" w:hAnsiTheme="minorHAnsi" w:cstheme="minorHAnsi"/>
          <w:szCs w:val="20"/>
        </w:rPr>
        <w:t>.</w:t>
      </w:r>
      <w:r w:rsidRPr="00F551F8">
        <w:rPr>
          <w:rFonts w:asciiTheme="minorHAnsi" w:hAnsiTheme="minorHAnsi" w:cstheme="minorHAnsi"/>
          <w:szCs w:val="20"/>
        </w:rPr>
        <w:t xml:space="preserve"> </w:t>
      </w:r>
      <w:r>
        <w:rPr>
          <w:rFonts w:asciiTheme="minorHAnsi" w:hAnsiTheme="minorHAnsi" w:cstheme="minorHAnsi"/>
          <w:szCs w:val="20"/>
        </w:rPr>
        <w:t>[</w:t>
      </w:r>
      <w:hyperlink r:id="rId32" w:history="1">
        <w:r w:rsidRPr="00F551F8">
          <w:rPr>
            <w:rStyle w:val="Hyperlink"/>
            <w:rFonts w:asciiTheme="minorHAnsi" w:hAnsiTheme="minorHAnsi" w:cstheme="minorHAnsi"/>
            <w:szCs w:val="20"/>
          </w:rPr>
          <w:t>LINK</w:t>
        </w:r>
      </w:hyperlink>
      <w:r>
        <w:rPr>
          <w:rStyle w:val="Hyperlink"/>
          <w:rFonts w:asciiTheme="minorHAnsi" w:hAnsiTheme="minorHAnsi" w:cstheme="minorHAnsi"/>
          <w:szCs w:val="20"/>
        </w:rPr>
        <w:t>]</w:t>
      </w:r>
    </w:p>
  </w:footnote>
  <w:footnote w:id="42">
    <w:p w14:paraId="17B1993A" w14:textId="6173587C" w:rsidR="001D1C68" w:rsidRDefault="001D1C68" w:rsidP="007D76F7">
      <w:pPr>
        <w:pStyle w:val="FootnoteText"/>
      </w:pPr>
      <w:r>
        <w:rPr>
          <w:rStyle w:val="FootnoteReference"/>
        </w:rPr>
        <w:footnoteRef/>
      </w:r>
      <w:r>
        <w:t xml:space="preserve"> Ibid.</w:t>
      </w:r>
    </w:p>
  </w:footnote>
  <w:footnote w:id="43">
    <w:p w14:paraId="2B45D6B5" w14:textId="6FA02F3B" w:rsidR="001D1C68" w:rsidRDefault="001D1C68" w:rsidP="007D76F7">
      <w:pPr>
        <w:pStyle w:val="FootnoteText"/>
      </w:pPr>
      <w:r w:rsidRPr="552321F1">
        <w:rPr>
          <w:rStyle w:val="FootnoteReference"/>
        </w:rPr>
        <w:footnoteRef/>
      </w:r>
      <w:r>
        <w:t xml:space="preserve"> List of programs funded by </w:t>
      </w:r>
      <w:r w:rsidRPr="003420B4">
        <w:rPr>
          <w:i/>
          <w:iCs/>
        </w:rPr>
        <w:t>Best Starts</w:t>
      </w:r>
      <w:r>
        <w:t xml:space="preserve"> </w:t>
      </w:r>
      <w:r w:rsidRPr="003420B4">
        <w:t>is</w:t>
      </w:r>
      <w:r w:rsidRPr="00727505">
        <w:t xml:space="preserve"> a</w:t>
      </w:r>
      <w:r>
        <w:t>vailable online [</w:t>
      </w:r>
      <w:hyperlink r:id="rId33">
        <w:r w:rsidRPr="552321F1">
          <w:rPr>
            <w:rStyle w:val="Hyperlink"/>
          </w:rPr>
          <w:t>LINK</w:t>
        </w:r>
      </w:hyperlink>
      <w:r>
        <w:t>].</w:t>
      </w:r>
    </w:p>
  </w:footnote>
  <w:footnote w:id="44">
    <w:p w14:paraId="314AAB28" w14:textId="10578847" w:rsidR="001D1C68" w:rsidRDefault="001D1C68" w:rsidP="007D76F7">
      <w:pPr>
        <w:pStyle w:val="FootnoteText"/>
      </w:pPr>
      <w:r w:rsidRPr="552321F1">
        <w:rPr>
          <w:rStyle w:val="FootnoteReference"/>
        </w:rPr>
        <w:footnoteRef/>
      </w:r>
      <w:r>
        <w:t xml:space="preserve"> The Heckman Equation: The Economics of Human Potential [</w:t>
      </w:r>
      <w:hyperlink r:id="rId34">
        <w:r w:rsidRPr="552321F1">
          <w:rPr>
            <w:rStyle w:val="Hyperlink"/>
          </w:rPr>
          <w:t>LINK</w:t>
        </w:r>
      </w:hyperlink>
      <w:r>
        <w:t>].</w:t>
      </w:r>
    </w:p>
  </w:footnote>
  <w:footnote w:id="45">
    <w:p w14:paraId="1894E95D" w14:textId="77777777" w:rsidR="001D1C68" w:rsidDel="00D431F0" w:rsidRDefault="001D1C68" w:rsidP="007D76F7">
      <w:pPr>
        <w:pStyle w:val="FootnoteText"/>
      </w:pPr>
      <w:r w:rsidRPr="552321F1">
        <w:rPr>
          <w:rStyle w:val="FootnoteReference"/>
        </w:rPr>
        <w:footnoteRef/>
      </w:r>
      <w:r>
        <w:t xml:space="preserve"> Browne, C., Notkin, S., Schneider-Muñoz, A., &amp; Zimmerman, F. (2015). Youth Thrive: A Framework to Help </w:t>
      </w:r>
    </w:p>
    <w:p w14:paraId="23C9415F" w14:textId="77777777" w:rsidR="001D1C68" w:rsidRDefault="001D1C68" w:rsidP="007D76F7">
      <w:pPr>
        <w:pStyle w:val="FootnoteText"/>
      </w:pPr>
      <w:r>
        <w:t>Adolescents Overcome Trauma and Thrive. Journal of Child and Youth Care Work, 25, 33-52. [</w:t>
      </w:r>
      <w:hyperlink r:id="rId35">
        <w:r w:rsidRPr="552321F1">
          <w:rPr>
            <w:rStyle w:val="Hyperlink"/>
          </w:rPr>
          <w:t>LINK</w:t>
        </w:r>
      </w:hyperlink>
      <w:r>
        <w:t>]</w:t>
      </w:r>
    </w:p>
  </w:footnote>
  <w:footnote w:id="46">
    <w:p w14:paraId="7ADD8FE8" w14:textId="77777777" w:rsidR="001D1C68" w:rsidRDefault="001D1C68" w:rsidP="007D76F7">
      <w:pPr>
        <w:pStyle w:val="FootnoteText"/>
      </w:pPr>
      <w:r>
        <w:rPr>
          <w:rStyle w:val="FootnoteReference"/>
        </w:rPr>
        <w:footnoteRef/>
      </w:r>
      <w:r>
        <w:t xml:space="preserve"> As described above, Ordinance 18088 directed investing $19M from 2016 revenue, and $2M were added in 2017 to support additional program needs.</w:t>
      </w:r>
    </w:p>
  </w:footnote>
  <w:footnote w:id="47">
    <w:p w14:paraId="4B0E2F32" w14:textId="5285F5D8" w:rsidR="001D1C68" w:rsidRPr="008D45A9" w:rsidRDefault="001D1C68" w:rsidP="00F46761">
      <w:pPr>
        <w:spacing w:line="240" w:lineRule="auto"/>
        <w:textAlignment w:val="baseline"/>
        <w:rPr>
          <w:rFonts w:ascii="Segoe UI" w:eastAsia="Times New Roman" w:hAnsi="Segoe UI" w:cs="Segoe UI"/>
          <w:sz w:val="16"/>
          <w:szCs w:val="16"/>
        </w:rPr>
      </w:pPr>
      <w:r>
        <w:rPr>
          <w:rStyle w:val="FootnoteReference"/>
        </w:rPr>
        <w:footnoteRef/>
      </w:r>
      <w:r>
        <w:t xml:space="preserve"> </w:t>
      </w:r>
      <w:r w:rsidRPr="00C90C7B">
        <w:rPr>
          <w:rFonts w:eastAsia="Times New Roman" w:cs="Calibri"/>
          <w:sz w:val="20"/>
          <w:szCs w:val="20"/>
        </w:rPr>
        <w:t>King County Ordinance 1</w:t>
      </w:r>
      <w:r w:rsidRPr="005D0523">
        <w:rPr>
          <w:rFonts w:eastAsia="Times New Roman" w:cs="Calibri"/>
          <w:sz w:val="20"/>
          <w:szCs w:val="20"/>
        </w:rPr>
        <w:t>8217</w:t>
      </w:r>
      <w:r>
        <w:rPr>
          <w:rFonts w:eastAsia="Times New Roman" w:cs="Calibri"/>
          <w:sz w:val="20"/>
          <w:szCs w:val="20"/>
        </w:rPr>
        <w:t xml:space="preserve"> </w:t>
      </w:r>
      <w:r w:rsidRPr="005D0523">
        <w:rPr>
          <w:rFonts w:eastAsia="Times New Roman" w:cs="Calibri"/>
          <w:sz w:val="20"/>
          <w:szCs w:val="20"/>
        </w:rPr>
        <w:t>established</w:t>
      </w:r>
      <w:r w:rsidRPr="00C90C7B">
        <w:rPr>
          <w:rFonts w:eastAsia="Times New Roman" w:cs="Calibri"/>
          <w:sz w:val="20"/>
          <w:szCs w:val="20"/>
        </w:rPr>
        <w:t xml:space="preserve"> the Children and Youth Advisory Board (CYAB) in January 2016 to oversee </w:t>
      </w:r>
      <w:r w:rsidRPr="00C90C7B">
        <w:rPr>
          <w:rFonts w:eastAsia="Times New Roman" w:cs="Calibri"/>
          <w:i/>
          <w:sz w:val="20"/>
          <w:szCs w:val="20"/>
        </w:rPr>
        <w:t>Best Starts</w:t>
      </w:r>
      <w:r w:rsidRPr="00C90C7B">
        <w:rPr>
          <w:rFonts w:eastAsia="Times New Roman" w:cs="Calibri"/>
          <w:sz w:val="20"/>
          <w:szCs w:val="20"/>
        </w:rPr>
        <w:t> and the Youth Action Plan (YAP).</w:t>
      </w:r>
    </w:p>
  </w:footnote>
  <w:footnote w:id="48">
    <w:p w14:paraId="5B710C93" w14:textId="23FCD3D6" w:rsidR="001D1C68" w:rsidRDefault="001D1C68" w:rsidP="007D76F7">
      <w:pPr>
        <w:pStyle w:val="FootnoteText"/>
      </w:pPr>
      <w:r>
        <w:rPr>
          <w:rStyle w:val="FootnoteReference"/>
        </w:rPr>
        <w:footnoteRef/>
      </w:r>
      <w:r>
        <w:t xml:space="preserve"> The question will change to reflect what is being worked on, for example a proposal, policy or request for proposal. </w:t>
      </w:r>
    </w:p>
  </w:footnote>
  <w:footnote w:id="49">
    <w:p w14:paraId="337AD52C" w14:textId="34A97907" w:rsidR="001D1C68" w:rsidRDefault="001D1C68" w:rsidP="007D76F7">
      <w:pPr>
        <w:pStyle w:val="FootnoteText"/>
      </w:pPr>
      <w:r>
        <w:rPr>
          <w:rStyle w:val="FootnoteReference"/>
        </w:rPr>
        <w:footnoteRef/>
      </w:r>
      <w:r>
        <w:t xml:space="preserve"> See </w:t>
      </w:r>
      <w:hyperlink w:anchor="_Best_Starts_2016-2021" w:history="1">
        <w:r w:rsidRPr="006E24C8">
          <w:rPr>
            <w:rStyle w:val="Hyperlink"/>
          </w:rPr>
          <w:t>Appendix D</w:t>
        </w:r>
      </w:hyperlink>
      <w:r>
        <w:t xml:space="preserve"> for a list of selected outcomes from the </w:t>
      </w:r>
      <w:r w:rsidRPr="001D1459">
        <w:rPr>
          <w:i/>
          <w:iCs/>
        </w:rPr>
        <w:t>Best Start</w:t>
      </w:r>
      <w:r>
        <w:rPr>
          <w:i/>
          <w:iCs/>
        </w:rPr>
        <w:t>s</w:t>
      </w:r>
      <w:r>
        <w:t xml:space="preserve"> 2016-2021 levy.</w:t>
      </w:r>
    </w:p>
  </w:footnote>
  <w:footnote w:id="50">
    <w:p w14:paraId="0A50D214" w14:textId="1AAD6BC0" w:rsidR="001D1C68" w:rsidRDefault="001D1C68" w:rsidP="007D76F7">
      <w:pPr>
        <w:pStyle w:val="FootnoteText"/>
      </w:pPr>
      <w:r>
        <w:rPr>
          <w:rStyle w:val="FootnoteReference"/>
        </w:rPr>
        <w:footnoteRef/>
      </w:r>
      <w:r>
        <w:t xml:space="preserve"> The COVID-19 pandemic deeply impacted many </w:t>
      </w:r>
      <w:r w:rsidRPr="00354EFE">
        <w:rPr>
          <w:i/>
        </w:rPr>
        <w:t>Best Starts for Kids</w:t>
      </w:r>
      <w:r>
        <w:t xml:space="preserve"> programs, performance measures, and outcomes as partners pivoted to provide services in a changing environment. When schools closed to in-person teaching in March 2020, </w:t>
      </w:r>
      <w:r w:rsidRPr="00354EFE">
        <w:rPr>
          <w:i/>
        </w:rPr>
        <w:t>Best Starts</w:t>
      </w:r>
      <w:r>
        <w:t xml:space="preserve"> partners and staff pivoted to meet new needs and adjust strategies to continue ongoing work.</w:t>
      </w:r>
    </w:p>
  </w:footnote>
  <w:footnote w:id="51">
    <w:p w14:paraId="6C1ADB99" w14:textId="79ACE64C" w:rsidR="001D1C68" w:rsidRDefault="001D1C68" w:rsidP="007D76F7">
      <w:pPr>
        <w:pStyle w:val="FootnoteText"/>
      </w:pPr>
      <w:r>
        <w:rPr>
          <w:rStyle w:val="FootnoteReference"/>
        </w:rPr>
        <w:footnoteRef/>
      </w:r>
      <w:r>
        <w:t xml:space="preserve"> </w:t>
      </w:r>
      <w:r w:rsidRPr="0015097D">
        <w:t>Motion 15769</w:t>
      </w:r>
      <w:r>
        <w:t>.</w:t>
      </w:r>
      <w:r w:rsidRPr="0015097D">
        <w:t xml:space="preserve"> [</w:t>
      </w:r>
      <w:hyperlink r:id="rId36" w:history="1">
        <w:r w:rsidRPr="00DE23FC">
          <w:rPr>
            <w:rStyle w:val="Hyperlink"/>
          </w:rPr>
          <w:t>LINK</w:t>
        </w:r>
      </w:hyperlink>
      <w:r w:rsidRPr="0015097D">
        <w:t>]</w:t>
      </w:r>
    </w:p>
  </w:footnote>
  <w:footnote w:id="52">
    <w:p w14:paraId="07A6E64D" w14:textId="77777777" w:rsidR="001D1C68" w:rsidRDefault="001D1C68" w:rsidP="007D76F7">
      <w:pPr>
        <w:pStyle w:val="FootnoteText"/>
      </w:pPr>
      <w:r>
        <w:rPr>
          <w:rStyle w:val="FootnoteReference"/>
        </w:rPr>
        <w:footnoteRef/>
      </w:r>
      <w:r>
        <w:t xml:space="preserve"> The King County Council approved the King County Strategic Plan [</w:t>
      </w:r>
      <w:hyperlink r:id="rId37" w:history="1">
        <w:r w:rsidRPr="00E567B3">
          <w:rPr>
            <w:rStyle w:val="Hyperlink"/>
          </w:rPr>
          <w:t>LINK</w:t>
        </w:r>
      </w:hyperlink>
      <w:r>
        <w:t>] by Ordinance 16897 in 2010, and adopted the corresponding vision, mission, guiding principles, goals, and priorities by Motion 14317 in 2015.</w:t>
      </w:r>
    </w:p>
  </w:footnote>
  <w:footnote w:id="53">
    <w:p w14:paraId="77E5E19D" w14:textId="77777777" w:rsidR="001D1C68" w:rsidRDefault="001D1C68" w:rsidP="007D76F7">
      <w:pPr>
        <w:pStyle w:val="FootnoteText"/>
      </w:pPr>
      <w:r>
        <w:rPr>
          <w:rStyle w:val="FootnoteReference"/>
        </w:rPr>
        <w:footnoteRef/>
      </w:r>
      <w:r>
        <w:t xml:space="preserve"> The King County Council approved the King County Strategic Plan [</w:t>
      </w:r>
      <w:hyperlink r:id="rId38" w:history="1">
        <w:r w:rsidRPr="00E567B3">
          <w:rPr>
            <w:rStyle w:val="Hyperlink"/>
          </w:rPr>
          <w:t>LINK</w:t>
        </w:r>
      </w:hyperlink>
      <w:r>
        <w:t>] by Ordinance 16897 in 2010, and adopted the corresponding vision, mission, guiding principles, goals, and priorities by Motion 14317 in 2015.</w:t>
      </w:r>
    </w:p>
  </w:footnote>
  <w:footnote w:id="54">
    <w:p w14:paraId="5E995D42" w14:textId="77777777" w:rsidR="001D1C68" w:rsidRDefault="001D1C68" w:rsidP="007D76F7">
      <w:pPr>
        <w:pStyle w:val="FootnoteText"/>
      </w:pPr>
      <w:r>
        <w:rPr>
          <w:rStyle w:val="FootnoteReference"/>
        </w:rPr>
        <w:footnoteRef/>
      </w:r>
      <w:r>
        <w:t xml:space="preserve"> Motion 13768 requested the development of the Health and Human Services Transformation Plan. [</w:t>
      </w:r>
      <w:hyperlink r:id="rId39" w:history="1">
        <w:r w:rsidRPr="00E567B3">
          <w:rPr>
            <w:rStyle w:val="Hyperlink"/>
          </w:rPr>
          <w:t>LINK</w:t>
        </w:r>
      </w:hyperlink>
      <w:r>
        <w:t>] The King County Council accepted the plan by Motion 13943 in 2013.</w:t>
      </w:r>
    </w:p>
  </w:footnote>
  <w:footnote w:id="55">
    <w:p w14:paraId="76026D82" w14:textId="34ECD40E" w:rsidR="001D1C68" w:rsidRDefault="001D1C68" w:rsidP="007D76F7">
      <w:pPr>
        <w:pStyle w:val="FootnoteText"/>
      </w:pPr>
      <w:r>
        <w:rPr>
          <w:rStyle w:val="FootnoteReference"/>
        </w:rPr>
        <w:footnoteRef/>
      </w:r>
      <w:r>
        <w:t xml:space="preserve"> Ordinance 17738 directed the development of the Youth Action Plan. The King County Council adopted the plan by Motion 14378 in 2015. [</w:t>
      </w:r>
      <w:hyperlink r:id="rId40" w:history="1">
        <w:r w:rsidRPr="00E567B3">
          <w:rPr>
            <w:rStyle w:val="Hyperlink"/>
          </w:rPr>
          <w:t>LINK</w:t>
        </w:r>
      </w:hyperlink>
      <w:r>
        <w:t>].</w:t>
      </w:r>
    </w:p>
  </w:footnote>
  <w:footnote w:id="56">
    <w:p w14:paraId="783182B6" w14:textId="77777777" w:rsidR="001D1C68" w:rsidRDefault="001D1C68" w:rsidP="007D76F7">
      <w:pPr>
        <w:pStyle w:val="FootnoteText"/>
      </w:pPr>
      <w:r>
        <w:rPr>
          <w:rStyle w:val="FootnoteReference"/>
        </w:rPr>
        <w:footnoteRef/>
      </w:r>
      <w:r>
        <w:t xml:space="preserve"> </w:t>
      </w:r>
      <w:r w:rsidRPr="262D5D2D">
        <w:t>King County Executive’s Office of Equity and Social Justice (2016). Equity and Social Justice Strategic Plan. [</w:t>
      </w:r>
      <w:hyperlink r:id="rId41">
        <w:r w:rsidRPr="262D5D2D">
          <w:rPr>
            <w:rStyle w:val="Hyperlink"/>
            <w:rFonts w:eastAsia="Calibri" w:cs="Calibri"/>
          </w:rPr>
          <w:t>LINK</w:t>
        </w:r>
      </w:hyperlink>
      <w:r w:rsidRPr="262D5D2D">
        <w:t>]</w:t>
      </w:r>
    </w:p>
  </w:footnote>
  <w:footnote w:id="57">
    <w:p w14:paraId="44EC9101" w14:textId="6F40D08F" w:rsidR="001D1C68" w:rsidRDefault="001D1C68" w:rsidP="007D76F7">
      <w:pPr>
        <w:pStyle w:val="FootnoteText"/>
      </w:pPr>
      <w:r>
        <w:rPr>
          <w:rStyle w:val="FootnoteReference"/>
        </w:rPr>
        <w:footnoteRef/>
      </w:r>
      <w:r>
        <w:t xml:space="preserve"> </w:t>
      </w:r>
      <w:r w:rsidRPr="00F13BF3">
        <w:t xml:space="preserve">King County </w:t>
      </w:r>
      <w:r>
        <w:t>Strategic Plan, 2010-2014</w:t>
      </w:r>
      <w:r w:rsidRPr="00F13BF3">
        <w:t xml:space="preserve"> Plan</w:t>
      </w:r>
      <w:r>
        <w:t>. [</w:t>
      </w:r>
      <w:hyperlink r:id="rId42" w:history="1">
        <w:r w:rsidRPr="00C43411">
          <w:rPr>
            <w:rStyle w:val="Hyperlink"/>
          </w:rPr>
          <w:t>LINK</w:t>
        </w:r>
      </w:hyperlink>
      <w:r>
        <w:t>]</w:t>
      </w:r>
    </w:p>
  </w:footnote>
  <w:footnote w:id="58">
    <w:p w14:paraId="0ED83154" w14:textId="62B607AF" w:rsidR="001D1C68" w:rsidRDefault="001D1C68" w:rsidP="007D76F7">
      <w:pPr>
        <w:pStyle w:val="FootnoteText"/>
      </w:pPr>
      <w:r>
        <w:rPr>
          <w:rStyle w:val="FootnoteReference"/>
        </w:rPr>
        <w:footnoteRef/>
      </w:r>
      <w:r>
        <w:t xml:space="preserve"> K</w:t>
      </w:r>
      <w:r w:rsidRPr="00B57ABD">
        <w:t>ing County Vision, Mission, Guiding Principles, Goals and Strategic Innovation Priorities</w:t>
      </w:r>
      <w:r>
        <w:t>. [</w:t>
      </w:r>
      <w:hyperlink r:id="rId43" w:history="1">
        <w:r w:rsidRPr="00AA3980">
          <w:rPr>
            <w:rStyle w:val="Hyperlink"/>
          </w:rPr>
          <w:t>LINK</w:t>
        </w:r>
      </w:hyperlink>
      <w:r>
        <w:t>]</w:t>
      </w:r>
    </w:p>
  </w:footnote>
  <w:footnote w:id="59">
    <w:p w14:paraId="46B0A9DA" w14:textId="24EB7021" w:rsidR="001D1C68" w:rsidRDefault="001D1C68" w:rsidP="007D76F7">
      <w:pPr>
        <w:pStyle w:val="FootnoteText"/>
      </w:pPr>
      <w:r>
        <w:rPr>
          <w:rStyle w:val="FootnoteReference"/>
        </w:rPr>
        <w:footnoteRef/>
      </w:r>
      <w:r>
        <w:t xml:space="preserve"> Motion 13768, King County Council (2013). [</w:t>
      </w:r>
      <w:hyperlink r:id="rId44" w:history="1">
        <w:r>
          <w:rPr>
            <w:rStyle w:val="Hyperlink"/>
          </w:rPr>
          <w:t>LINK</w:t>
        </w:r>
      </w:hyperlink>
      <w:r>
        <w:t>]</w:t>
      </w:r>
    </w:p>
  </w:footnote>
  <w:footnote w:id="60">
    <w:p w14:paraId="6AE8E4D7" w14:textId="77777777" w:rsidR="001D1C68" w:rsidRDefault="001D1C68" w:rsidP="007D76F7">
      <w:pPr>
        <w:pStyle w:val="FootnoteText"/>
      </w:pPr>
      <w:r>
        <w:rPr>
          <w:rStyle w:val="FootnoteReference"/>
        </w:rPr>
        <w:footnoteRef/>
      </w:r>
      <w:r>
        <w:t xml:space="preserve"> </w:t>
      </w:r>
      <w:r w:rsidRPr="00F13BF3">
        <w:t>King County Equity and Social Justice Strategic Plan, 2016-2022</w:t>
      </w:r>
      <w:r>
        <w:t>. [</w:t>
      </w:r>
      <w:hyperlink r:id="rId45" w:history="1">
        <w:r w:rsidRPr="00284F83">
          <w:rPr>
            <w:rStyle w:val="Hyperlink"/>
          </w:rPr>
          <w:t>LINK</w:t>
        </w:r>
      </w:hyperlink>
      <w:r>
        <w:t>]</w:t>
      </w:r>
    </w:p>
  </w:footnote>
  <w:footnote w:id="61">
    <w:p w14:paraId="039FEA38" w14:textId="77777777" w:rsidR="001D1C68" w:rsidRDefault="001D1C68" w:rsidP="007D76F7">
      <w:pPr>
        <w:pStyle w:val="FootnoteText"/>
      </w:pPr>
      <w:r>
        <w:rPr>
          <w:rStyle w:val="FootnoteReference"/>
        </w:rPr>
        <w:footnoteRef/>
      </w:r>
      <w:r>
        <w:t xml:space="preserve"> Motion 14378 Adopting the King County Youth Action Plan. [</w:t>
      </w:r>
      <w:hyperlink r:id="rId46" w:history="1">
        <w:r w:rsidRPr="00CD639C">
          <w:rPr>
            <w:rStyle w:val="Hyperlink"/>
          </w:rPr>
          <w:t>LINK</w:t>
        </w:r>
      </w:hyperlink>
      <w:r>
        <w:t>]</w:t>
      </w:r>
    </w:p>
  </w:footnote>
  <w:footnote w:id="62">
    <w:p w14:paraId="34A5A99A" w14:textId="2095E2B7" w:rsidR="001D1C68" w:rsidRDefault="001D1C68" w:rsidP="007D76F7">
      <w:pPr>
        <w:pStyle w:val="FootnoteText"/>
      </w:pPr>
      <w:r>
        <w:rPr>
          <w:rStyle w:val="FootnoteReference"/>
        </w:rPr>
        <w:footnoteRef/>
      </w:r>
      <w:r>
        <w:t xml:space="preserve"> </w:t>
      </w:r>
      <w:r w:rsidRPr="00F07F60">
        <w:rPr>
          <w:rFonts w:cs="Calibri"/>
        </w:rPr>
        <w:t>Ordinance 19267</w:t>
      </w:r>
      <w:r>
        <w:rPr>
          <w:rFonts w:cs="Calibri"/>
        </w:rPr>
        <w:t xml:space="preserve"> requires t</w:t>
      </w:r>
      <w:r>
        <w:t>his</w:t>
      </w:r>
      <w:r w:rsidRPr="00F07F60">
        <w:t xml:space="preserve"> </w:t>
      </w:r>
      <w:r w:rsidRPr="00354EFE">
        <w:rPr>
          <w:i/>
        </w:rPr>
        <w:t>Best Starts for Kids</w:t>
      </w:r>
      <w:r w:rsidRPr="00F07F60">
        <w:t xml:space="preserve"> </w:t>
      </w:r>
      <w:r>
        <w:t>Implementation Plan to</w:t>
      </w:r>
      <w:r w:rsidRPr="00F07F60">
        <w:t xml:space="preserve"> take the King County Youth Action Plan into consideration </w:t>
      </w:r>
      <w:r>
        <w:t>to the maximum extent possible</w:t>
      </w:r>
      <w:r w:rsidDel="00791013">
        <w:t xml:space="preserve">. </w:t>
      </w:r>
    </w:p>
  </w:footnote>
  <w:footnote w:id="63">
    <w:p w14:paraId="125F55A7" w14:textId="30B190AE" w:rsidR="001D1C68" w:rsidRDefault="001D1C68" w:rsidP="007D76F7">
      <w:pPr>
        <w:pStyle w:val="FootnoteText"/>
      </w:pPr>
      <w:r>
        <w:rPr>
          <w:rStyle w:val="FootnoteReference"/>
        </w:rPr>
        <w:footnoteRef/>
      </w:r>
      <w:r>
        <w:t xml:space="preserve"> See subsection F of this section for a detailed description of the CYAB.</w:t>
      </w:r>
    </w:p>
  </w:footnote>
  <w:footnote w:id="64">
    <w:p w14:paraId="7F6FD608" w14:textId="54672871" w:rsidR="001D1C68" w:rsidRPr="009015EB" w:rsidRDefault="001D1C68" w:rsidP="007D76F7">
      <w:pPr>
        <w:pStyle w:val="FootnoteText"/>
      </w:pPr>
      <w:r>
        <w:rPr>
          <w:rStyle w:val="FootnoteReference"/>
        </w:rPr>
        <w:footnoteRef/>
      </w:r>
      <w:r>
        <w:t xml:space="preserve">Mental Illness and Drug Dependency Behavioral Health Sales Tax Initiative </w:t>
      </w:r>
      <w:hyperlink r:id="rId47" w:history="1">
        <w:r>
          <w:rPr>
            <w:rStyle w:val="Hyperlink"/>
          </w:rPr>
          <w:t>LINK</w:t>
        </w:r>
      </w:hyperlink>
    </w:p>
  </w:footnote>
  <w:footnote w:id="65">
    <w:p w14:paraId="72771DE8" w14:textId="183A9D91" w:rsidR="001D1C68" w:rsidRDefault="001D1C68" w:rsidP="007D76F7">
      <w:pPr>
        <w:pStyle w:val="FootnoteText"/>
      </w:pPr>
      <w:r>
        <w:rPr>
          <w:rStyle w:val="FootnoteReference"/>
        </w:rPr>
        <w:footnoteRef/>
      </w:r>
      <w:r>
        <w:t xml:space="preserve"> Veterans and Seniors and Human Services Levy (VSHSL)</w:t>
      </w:r>
      <w:r w:rsidRPr="008E63F8">
        <w:t xml:space="preserve"> </w:t>
      </w:r>
      <w:hyperlink r:id="rId48" w:anchor=":~:text=The%20King%20County%20Veterans%2C%20Seniors,healthy%2C%20productive%20and%20meaningful%20lives" w:history="1">
        <w:r>
          <w:rPr>
            <w:rStyle w:val="Hyperlink"/>
          </w:rPr>
          <w:t>LINK</w:t>
        </w:r>
      </w:hyperlink>
      <w:r w:rsidRPr="008E63F8">
        <w:t>.</w:t>
      </w:r>
    </w:p>
  </w:footnote>
  <w:footnote w:id="66">
    <w:p w14:paraId="18292CCA" w14:textId="1E70E562" w:rsidR="001D1C68" w:rsidRDefault="001D1C68" w:rsidP="007D76F7">
      <w:pPr>
        <w:pStyle w:val="FootnoteText"/>
      </w:pPr>
      <w:r>
        <w:rPr>
          <w:rStyle w:val="FootnoteReference"/>
        </w:rPr>
        <w:footnoteRef/>
      </w:r>
      <w:r>
        <w:t xml:space="preserve"> Motion 15521. [</w:t>
      </w:r>
      <w:hyperlink r:id="rId49" w:history="1">
        <w:r w:rsidRPr="005A1689">
          <w:rPr>
            <w:rStyle w:val="Hyperlink"/>
          </w:rPr>
          <w:t>LINK</w:t>
        </w:r>
      </w:hyperlink>
      <w:r>
        <w:t>]</w:t>
      </w:r>
    </w:p>
  </w:footnote>
  <w:footnote w:id="67">
    <w:p w14:paraId="052D4FE9" w14:textId="6245696C" w:rsidR="001D1C68" w:rsidRDefault="001D1C68" w:rsidP="007D76F7">
      <w:pPr>
        <w:pStyle w:val="FootnoteText"/>
      </w:pPr>
      <w:r>
        <w:rPr>
          <w:rStyle w:val="FootnoteReference"/>
        </w:rPr>
        <w:footnoteRef/>
      </w:r>
      <w:r>
        <w:t xml:space="preserve"> </w:t>
      </w:r>
      <w:r w:rsidRPr="006255D3">
        <w:t>Equitable and Accessible Child Care in King County: Recommendations from the Children and Families Strategy Task Force</w:t>
      </w:r>
      <w:r>
        <w:t>. [</w:t>
      </w:r>
      <w:hyperlink r:id="rId50" w:history="1">
        <w:r>
          <w:rPr>
            <w:rStyle w:val="Hyperlink"/>
          </w:rPr>
          <w:t>LINK</w:t>
        </w:r>
      </w:hyperlink>
      <w:r>
        <w:t>]</w:t>
      </w:r>
    </w:p>
  </w:footnote>
  <w:footnote w:id="68">
    <w:p w14:paraId="448F084D" w14:textId="5C93706B" w:rsidR="001D1C68" w:rsidRDefault="001D1C68" w:rsidP="007D76F7">
      <w:pPr>
        <w:pStyle w:val="FootnoteText"/>
      </w:pPr>
      <w:r>
        <w:rPr>
          <w:rStyle w:val="FootnoteReference"/>
        </w:rPr>
        <w:footnoteRef/>
      </w:r>
      <w:r>
        <w:t xml:space="preserve"> Please see a detailed </w:t>
      </w:r>
      <w:hyperlink w:anchor="_Child_Care" w:history="1">
        <w:r w:rsidRPr="00470357">
          <w:rPr>
            <w:rStyle w:val="Hyperlink"/>
          </w:rPr>
          <w:t>child care section</w:t>
        </w:r>
      </w:hyperlink>
      <w:r>
        <w:t xml:space="preserve"> for</w:t>
      </w:r>
      <w:r w:rsidRPr="00470357">
        <w:t xml:space="preserve"> rationale and recommendations</w:t>
      </w:r>
      <w:r>
        <w:t>.</w:t>
      </w:r>
    </w:p>
  </w:footnote>
  <w:footnote w:id="69">
    <w:p w14:paraId="3E3E5AA6" w14:textId="77777777" w:rsidR="001D1C68" w:rsidRDefault="001D1C68" w:rsidP="007D76F7">
      <w:pPr>
        <w:pStyle w:val="FootnoteText"/>
      </w:pPr>
      <w:r>
        <w:rPr>
          <w:rStyle w:val="FootnoteReference"/>
        </w:rPr>
        <w:footnoteRef/>
      </w:r>
      <w:r>
        <w:t xml:space="preserve"> Washington State Department of Commerce Child Care Collaborative Task Force (2019). Recommendations Report to the Legislature under SHB 2367, Laws of 2018. [</w:t>
      </w:r>
      <w:hyperlink r:id="rId51" w:history="1">
        <w:r w:rsidRPr="001D2DCB">
          <w:rPr>
            <w:rStyle w:val="Hyperlink"/>
            <w:szCs w:val="20"/>
          </w:rPr>
          <w:t>LINK</w:t>
        </w:r>
      </w:hyperlink>
      <w:r>
        <w:t>]</w:t>
      </w:r>
    </w:p>
  </w:footnote>
  <w:footnote w:id="70">
    <w:p w14:paraId="792862A0" w14:textId="77777777" w:rsidR="001D1C68" w:rsidRDefault="001D1C68" w:rsidP="007D76F7">
      <w:pPr>
        <w:pStyle w:val="FootnoteText"/>
      </w:pPr>
      <w:r w:rsidRPr="001D2DCB">
        <w:rPr>
          <w:rStyle w:val="FootnoteReference"/>
          <w:szCs w:val="20"/>
        </w:rPr>
        <w:footnoteRef/>
      </w:r>
      <w:r>
        <w:t xml:space="preserve"> Washington State Department of Commerce Child Care Collaborative Task Force (2019). Recommendations Report to the Legislature under SHB 2367, Laws of 2018. [</w:t>
      </w:r>
      <w:hyperlink r:id="rId52" w:history="1">
        <w:r w:rsidRPr="001D2DCB">
          <w:rPr>
            <w:rStyle w:val="Hyperlink"/>
            <w:szCs w:val="20"/>
          </w:rPr>
          <w:t>LINK</w:t>
        </w:r>
      </w:hyperlink>
      <w:r>
        <w:t>]</w:t>
      </w:r>
    </w:p>
  </w:footnote>
  <w:footnote w:id="71">
    <w:p w14:paraId="1D5C898A" w14:textId="77777777" w:rsidR="001D1C68" w:rsidRDefault="001D1C68" w:rsidP="007D76F7">
      <w:pPr>
        <w:pStyle w:val="FootnoteText"/>
      </w:pPr>
      <w:r w:rsidRPr="001D2DCB">
        <w:rPr>
          <w:rStyle w:val="FootnoteReference"/>
          <w:szCs w:val="20"/>
        </w:rPr>
        <w:footnoteRef/>
      </w:r>
      <w:r>
        <w:t xml:space="preserve"> Washington State Office of Financial Management (2019). Estimates of April 1 Population by Age, Sex, Race, and Hispanic Origin, State Data Tables 2010-2018. [</w:t>
      </w:r>
      <w:hyperlink r:id="rId53" w:history="1">
        <w:r w:rsidRPr="001D2DCB">
          <w:rPr>
            <w:rStyle w:val="Hyperlink"/>
            <w:szCs w:val="20"/>
          </w:rPr>
          <w:t>LINK</w:t>
        </w:r>
      </w:hyperlink>
      <w:r>
        <w:t>]</w:t>
      </w:r>
    </w:p>
  </w:footnote>
  <w:footnote w:id="72">
    <w:p w14:paraId="02153EE4" w14:textId="77777777" w:rsidR="001D1C68" w:rsidRPr="001D2DCB" w:rsidRDefault="001D1C68" w:rsidP="007D76F7">
      <w:pPr>
        <w:pStyle w:val="FootnoteText"/>
        <w:rPr>
          <w:szCs w:val="20"/>
        </w:rPr>
      </w:pPr>
      <w:r w:rsidRPr="001D2DCB">
        <w:rPr>
          <w:rStyle w:val="FootnoteReference"/>
          <w:szCs w:val="20"/>
        </w:rPr>
        <w:footnoteRef/>
      </w:r>
      <w:r w:rsidRPr="001D2DCB">
        <w:rPr>
          <w:szCs w:val="20"/>
        </w:rPr>
        <w:t xml:space="preserve"> King County </w:t>
      </w:r>
      <w:r w:rsidRPr="001D2DCB">
        <w:rPr>
          <w:rFonts w:ascii="Calibri Light" w:hAnsi="Calibri Light"/>
          <w:i/>
          <w:szCs w:val="20"/>
        </w:rPr>
        <w:t>Best Starts for Kids</w:t>
      </w:r>
      <w:r w:rsidRPr="001D2DCB">
        <w:rPr>
          <w:szCs w:val="20"/>
        </w:rPr>
        <w:t xml:space="preserve"> Health Survey (2019). [</w:t>
      </w:r>
      <w:hyperlink r:id="rId54" w:history="1">
        <w:r w:rsidRPr="001D2DCB">
          <w:rPr>
            <w:rStyle w:val="Hyperlink"/>
            <w:szCs w:val="20"/>
          </w:rPr>
          <w:t>LINK</w:t>
        </w:r>
      </w:hyperlink>
      <w:r w:rsidRPr="001D2DCB">
        <w:rPr>
          <w:szCs w:val="20"/>
        </w:rPr>
        <w:t>]</w:t>
      </w:r>
    </w:p>
  </w:footnote>
  <w:footnote w:id="73">
    <w:p w14:paraId="041A5672" w14:textId="77777777" w:rsidR="001D1C68" w:rsidRPr="001D2DCB" w:rsidRDefault="001D1C68" w:rsidP="007D76F7">
      <w:pPr>
        <w:pStyle w:val="FootnoteText"/>
        <w:rPr>
          <w:szCs w:val="20"/>
        </w:rPr>
      </w:pPr>
      <w:r w:rsidRPr="001D2DCB">
        <w:rPr>
          <w:rStyle w:val="FootnoteReference"/>
          <w:szCs w:val="20"/>
        </w:rPr>
        <w:footnoteRef/>
      </w:r>
      <w:r w:rsidRPr="001D2DCB">
        <w:rPr>
          <w:szCs w:val="20"/>
        </w:rPr>
        <w:t xml:space="preserve"> Child Care Aware of America (2019). The US and the High Price of Child Care [</w:t>
      </w:r>
      <w:hyperlink r:id="rId55" w:history="1">
        <w:r w:rsidRPr="001D2DCB">
          <w:rPr>
            <w:rStyle w:val="Hyperlink"/>
            <w:szCs w:val="20"/>
          </w:rPr>
          <w:t>LINK</w:t>
        </w:r>
      </w:hyperlink>
      <w:r w:rsidRPr="001D2DCB">
        <w:rPr>
          <w:szCs w:val="20"/>
        </w:rPr>
        <w:t>].</w:t>
      </w:r>
    </w:p>
  </w:footnote>
  <w:footnote w:id="74">
    <w:p w14:paraId="7EA447EC" w14:textId="4C72ADE2" w:rsidR="001D1C68" w:rsidRPr="001D2DCB" w:rsidRDefault="001D1C68" w:rsidP="007D76F7">
      <w:pPr>
        <w:pStyle w:val="FootnoteText"/>
        <w:rPr>
          <w:szCs w:val="20"/>
        </w:rPr>
      </w:pPr>
      <w:r w:rsidRPr="001D2DCB">
        <w:rPr>
          <w:rStyle w:val="FootnoteReference"/>
          <w:szCs w:val="20"/>
        </w:rPr>
        <w:footnoteRef/>
      </w:r>
      <w:r>
        <w:t xml:space="preserve"> Institute for Public Policy and Economic Analysis, Eastern Washington University (2019). Washington State Childcare Study: Analyzing the costs facing businesses due to workforce turnover and missed time associated with </w:t>
      </w:r>
      <w:r w:rsidRPr="001D2DCB">
        <w:rPr>
          <w:szCs w:val="20"/>
        </w:rPr>
        <w:t>inadequate childcare options. [</w:t>
      </w:r>
      <w:hyperlink r:id="rId56" w:history="1">
        <w:r w:rsidRPr="001D2DCB">
          <w:rPr>
            <w:rStyle w:val="Hyperlink"/>
            <w:szCs w:val="20"/>
          </w:rPr>
          <w:t>LINK</w:t>
        </w:r>
      </w:hyperlink>
      <w:r w:rsidRPr="001D2DCB">
        <w:rPr>
          <w:szCs w:val="20"/>
        </w:rPr>
        <w:t>]</w:t>
      </w:r>
    </w:p>
  </w:footnote>
  <w:footnote w:id="75">
    <w:p w14:paraId="7F682BC8" w14:textId="77777777" w:rsidR="001D1C68" w:rsidRDefault="001D1C68" w:rsidP="007D76F7">
      <w:pPr>
        <w:pStyle w:val="FootnoteText"/>
      </w:pPr>
      <w:r w:rsidRPr="001D2DCB">
        <w:rPr>
          <w:rStyle w:val="FootnoteReference"/>
          <w:szCs w:val="20"/>
        </w:rPr>
        <w:footnoteRef/>
      </w:r>
      <w:r w:rsidRPr="001D2DCB">
        <w:rPr>
          <w:szCs w:val="20"/>
        </w:rPr>
        <w:t xml:space="preserve"> Economic Policy Institute (2015). Child care workers aren’t paid enough to make ends meet.</w:t>
      </w:r>
      <w:r w:rsidRPr="00CD630C">
        <w:t xml:space="preserve"> [</w:t>
      </w:r>
      <w:hyperlink r:id="rId57" w:history="1">
        <w:r w:rsidRPr="00CD630C">
          <w:rPr>
            <w:rStyle w:val="Hyperlink"/>
          </w:rPr>
          <w:t>LINK</w:t>
        </w:r>
      </w:hyperlink>
      <w:r w:rsidRPr="00CD630C">
        <w:t>]</w:t>
      </w:r>
    </w:p>
  </w:footnote>
  <w:footnote w:id="76">
    <w:p w14:paraId="4EDE72D9" w14:textId="1648E4AD" w:rsidR="001D1C68" w:rsidRDefault="001D1C68" w:rsidP="007D76F7">
      <w:pPr>
        <w:pStyle w:val="FootnoteText"/>
      </w:pPr>
      <w:r>
        <w:rPr>
          <w:rStyle w:val="FootnoteReference"/>
        </w:rPr>
        <w:footnoteRef/>
      </w:r>
      <w:r>
        <w:t xml:space="preserve"> Equity and Social Justice Strategic Plan 2016-2022. [</w:t>
      </w:r>
      <w:hyperlink r:id="rId58" w:history="1">
        <w:r w:rsidRPr="004413A8">
          <w:rPr>
            <w:rStyle w:val="Hyperlink"/>
          </w:rPr>
          <w:t>LINK</w:t>
        </w:r>
      </w:hyperlink>
      <w:r>
        <w:t>]</w:t>
      </w:r>
    </w:p>
  </w:footnote>
  <w:footnote w:id="77">
    <w:p w14:paraId="7436B29D" w14:textId="669E7023" w:rsidR="001D1C68" w:rsidRDefault="001D1C68" w:rsidP="007D76F7">
      <w:pPr>
        <w:pStyle w:val="FootnoteText"/>
      </w:pPr>
      <w:r>
        <w:rPr>
          <w:rStyle w:val="FootnoteReference"/>
        </w:rPr>
        <w:footnoteRef/>
      </w:r>
      <w:r>
        <w:t xml:space="preserve"> Ordinance 19267. [</w:t>
      </w:r>
      <w:hyperlink r:id="rId59" w:history="1">
        <w:r w:rsidRPr="00732370">
          <w:rPr>
            <w:rStyle w:val="Hyperlink"/>
          </w:rPr>
          <w:t>LINK</w:t>
        </w:r>
      </w:hyperlink>
      <w:r>
        <w:t xml:space="preserve">] </w:t>
      </w:r>
    </w:p>
  </w:footnote>
  <w:footnote w:id="78">
    <w:p w14:paraId="09E6145E" w14:textId="6740D2D1"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60" w:history="1">
        <w:r w:rsidRPr="005D58F9">
          <w:rPr>
            <w:rStyle w:val="Hyperlink"/>
          </w:rPr>
          <w:t>LINK</w:t>
        </w:r>
      </w:hyperlink>
      <w:r w:rsidRPr="00D92E05">
        <w:t>]</w:t>
      </w:r>
    </w:p>
  </w:footnote>
  <w:footnote w:id="79">
    <w:p w14:paraId="132D0100" w14:textId="7C5998D6" w:rsidR="001D1C68" w:rsidRDefault="001D1C68" w:rsidP="007D76F7">
      <w:pPr>
        <w:pStyle w:val="FootnoteText"/>
      </w:pPr>
      <w:r>
        <w:rPr>
          <w:rStyle w:val="FootnoteReference"/>
        </w:rPr>
        <w:footnoteRef/>
      </w:r>
      <w:r>
        <w:t xml:space="preserve"> </w:t>
      </w:r>
      <w:r w:rsidRPr="00354EFE">
        <w:t>S</w:t>
      </w:r>
      <w:r>
        <w:t xml:space="preserve">ee a complete list of </w:t>
      </w:r>
      <w:r w:rsidRPr="000C2E22">
        <w:t xml:space="preserve">Community Engagement Stakeholders in </w:t>
      </w:r>
      <w:hyperlink w:anchor="_Community_Engagement_Stakeholders" w:history="1">
        <w:r w:rsidRPr="009D5E4A">
          <w:rPr>
            <w:rStyle w:val="Hyperlink"/>
          </w:rPr>
          <w:t>Appendix J</w:t>
        </w:r>
      </w:hyperlink>
      <w:r>
        <w:t>.</w:t>
      </w:r>
    </w:p>
  </w:footnote>
  <w:footnote w:id="80">
    <w:p w14:paraId="62AB6402" w14:textId="77777777" w:rsidR="001D1C68" w:rsidRDefault="001D1C68" w:rsidP="007D76F7">
      <w:pPr>
        <w:pStyle w:val="FootnoteText"/>
      </w:pPr>
      <w:r w:rsidRPr="2950D223">
        <w:rPr>
          <w:rStyle w:val="FootnoteReference"/>
        </w:rPr>
        <w:footnoteRef/>
      </w:r>
      <w:r>
        <w:t>Children and Youth Advisory Board. [</w:t>
      </w:r>
      <w:hyperlink r:id="rId61">
        <w:r w:rsidRPr="44C13F46">
          <w:rPr>
            <w:rStyle w:val="Hyperlink"/>
          </w:rPr>
          <w:t>LINK</w:t>
        </w:r>
      </w:hyperlink>
      <w:r>
        <w:rPr>
          <w:rStyle w:val="Hyperlink"/>
        </w:rPr>
        <w:t>]</w:t>
      </w:r>
    </w:p>
  </w:footnote>
  <w:footnote w:id="81">
    <w:p w14:paraId="754012A7" w14:textId="77777777" w:rsidR="001D1C68" w:rsidRDefault="001D1C68" w:rsidP="007D76F7">
      <w:pPr>
        <w:pStyle w:val="FootnoteText"/>
      </w:pPr>
      <w:r>
        <w:rPr>
          <w:rStyle w:val="FootnoteReference"/>
        </w:rPr>
        <w:footnoteRef/>
      </w:r>
      <w:r>
        <w:t xml:space="preserve"> King County Youth Action Plan Task Force (2015). King County </w:t>
      </w:r>
      <w:r w:rsidRPr="002675FC">
        <w:rPr>
          <w:i/>
          <w:iCs/>
        </w:rPr>
        <w:t>Youth Action Plan</w:t>
      </w:r>
      <w:r>
        <w:t xml:space="preserve">. </w:t>
      </w:r>
      <w:hyperlink r:id="rId62">
        <w:r w:rsidRPr="183579E7">
          <w:rPr>
            <w:rStyle w:val="Hyperlink"/>
          </w:rPr>
          <w:t>[LINK]</w:t>
        </w:r>
      </w:hyperlink>
    </w:p>
  </w:footnote>
  <w:footnote w:id="82">
    <w:p w14:paraId="3618985D" w14:textId="1292FFE5" w:rsidR="001D1C68" w:rsidRDefault="001D1C68" w:rsidP="007D76F7">
      <w:pPr>
        <w:pStyle w:val="FootnoteText"/>
      </w:pPr>
      <w:r w:rsidRPr="5B901A6A">
        <w:rPr>
          <w:rStyle w:val="FootnoteReference"/>
        </w:rPr>
        <w:footnoteRef/>
      </w:r>
      <w:r>
        <w:t xml:space="preserve"> Ordinance 184</w:t>
      </w:r>
      <w:r w:rsidDel="00911997">
        <w:t>2</w:t>
      </w:r>
      <w:r>
        <w:t>2. [</w:t>
      </w:r>
      <w:hyperlink r:id="rId63" w:history="1">
        <w:r>
          <w:rPr>
            <w:rStyle w:val="Hyperlink"/>
          </w:rPr>
          <w:t>LINK</w:t>
        </w:r>
      </w:hyperlink>
      <w:r>
        <w:rPr>
          <w:rStyle w:val="Hyperlink"/>
        </w:rPr>
        <w:t>]</w:t>
      </w:r>
    </w:p>
  </w:footnote>
  <w:footnote w:id="83">
    <w:p w14:paraId="4829020D" w14:textId="19121FC6" w:rsidR="001D1C68" w:rsidRDefault="001D1C68" w:rsidP="007D76F7">
      <w:pPr>
        <w:pStyle w:val="FootnoteText"/>
      </w:pPr>
      <w:r>
        <w:rPr>
          <w:rStyle w:val="FootnoteReference"/>
        </w:rPr>
        <w:footnoteRef/>
      </w:r>
      <w:r>
        <w:t xml:space="preserve"> </w:t>
      </w:r>
      <w:bookmarkStart w:id="32" w:name="_Hlk75377596"/>
      <w:r>
        <w:t>Ordinance 19267, Metropolitan King County Council (2021) [</w:t>
      </w:r>
      <w:hyperlink r:id="rId64" w:history="1">
        <w:r w:rsidRPr="00732370">
          <w:rPr>
            <w:rStyle w:val="Hyperlink"/>
          </w:rPr>
          <w:t>LINK</w:t>
        </w:r>
      </w:hyperlink>
      <w:r>
        <w:t>]</w:t>
      </w:r>
    </w:p>
    <w:bookmarkEnd w:id="32"/>
  </w:footnote>
  <w:footnote w:id="84">
    <w:p w14:paraId="7C5FCD9A" w14:textId="6438353C" w:rsidR="001D1C68" w:rsidRDefault="001D1C68" w:rsidP="007D76F7">
      <w:pPr>
        <w:pStyle w:val="FootnoteText"/>
      </w:pPr>
      <w:r>
        <w:rPr>
          <w:rStyle w:val="FootnoteReference"/>
        </w:rPr>
        <w:footnoteRef/>
      </w:r>
      <w:r>
        <w:t xml:space="preserve"> Center for the Study of Social Policy–Youth Thrive. [</w:t>
      </w:r>
      <w:hyperlink r:id="rId65" w:history="1">
        <w:r w:rsidRPr="006376D0">
          <w:rPr>
            <w:rStyle w:val="Hyperlink"/>
          </w:rPr>
          <w:t>LINK</w:t>
        </w:r>
      </w:hyperlink>
      <w:r>
        <w:t>]</w:t>
      </w:r>
    </w:p>
  </w:footnote>
  <w:footnote w:id="85">
    <w:p w14:paraId="75306E5D" w14:textId="12D2AA24" w:rsidR="001D1C68" w:rsidRDefault="001D1C68" w:rsidP="007D76F7">
      <w:pPr>
        <w:pStyle w:val="FootnoteText"/>
      </w:pPr>
      <w:r>
        <w:rPr>
          <w:rStyle w:val="FootnoteReference"/>
        </w:rPr>
        <w:footnoteRef/>
      </w:r>
      <w:r>
        <w:t xml:space="preserve"> </w:t>
      </w:r>
      <w:r w:rsidRPr="005F34C9">
        <w:t>Browne, C., Notkin, S., Schneider-Muñoz, A., &amp; Zimmerman, F. (2015). Youth Thrive: A Framework to Help Adolescents Overcome Trauma and Thrive. Journal of Child and Youth Care Work, 25, 33-52. [</w:t>
      </w:r>
      <w:hyperlink r:id="rId66" w:history="1">
        <w:r w:rsidRPr="00BB4E40">
          <w:rPr>
            <w:rStyle w:val="Hyperlink"/>
          </w:rPr>
          <w:t>LINK</w:t>
        </w:r>
      </w:hyperlink>
      <w:r w:rsidRPr="005F34C9">
        <w:t>]</w:t>
      </w:r>
    </w:p>
  </w:footnote>
  <w:footnote w:id="86">
    <w:p w14:paraId="669A93E1" w14:textId="3A6293DB" w:rsidR="001D1C68" w:rsidRDefault="001D1C68" w:rsidP="007D76F7">
      <w:pPr>
        <w:pStyle w:val="FootnoteText"/>
      </w:pPr>
      <w:r>
        <w:rPr>
          <w:rStyle w:val="FootnoteReference"/>
        </w:rPr>
        <w:footnoteRef/>
      </w:r>
      <w:r>
        <w:t xml:space="preserve"> The data and evaluation plan for </w:t>
      </w:r>
      <w:r w:rsidRPr="006E36B4">
        <w:rPr>
          <w:i/>
          <w:iCs/>
        </w:rPr>
        <w:t>Best Starts</w:t>
      </w:r>
      <w:r>
        <w:t xml:space="preserve"> is described in Section IV.K. [</w:t>
      </w:r>
      <w:hyperlink w:anchor="_Data_and_Evaluation" w:history="1">
        <w:r w:rsidRPr="00317EF7">
          <w:rPr>
            <w:rStyle w:val="Hyperlink"/>
          </w:rPr>
          <w:t>LINK</w:t>
        </w:r>
      </w:hyperlink>
      <w:r>
        <w:t>]</w:t>
      </w:r>
    </w:p>
  </w:footnote>
  <w:footnote w:id="87">
    <w:p w14:paraId="08C80C11" w14:textId="28D2BC37" w:rsidR="001D1C68" w:rsidRDefault="001D1C68" w:rsidP="007D76F7">
      <w:pPr>
        <w:pStyle w:val="FootnoteText"/>
      </w:pPr>
      <w:r>
        <w:rPr>
          <w:rStyle w:val="FootnoteReference"/>
        </w:rPr>
        <w:footnoteRef/>
      </w:r>
      <w:r>
        <w:t xml:space="preserve"> Ordinance 19267. [</w:t>
      </w:r>
      <w:hyperlink r:id="rId67" w:history="1">
        <w:r w:rsidRPr="00732370">
          <w:rPr>
            <w:rStyle w:val="Hyperlink"/>
          </w:rPr>
          <w:t>LINK</w:t>
        </w:r>
      </w:hyperlink>
      <w:r>
        <w:t>]</w:t>
      </w:r>
    </w:p>
  </w:footnote>
  <w:footnote w:id="88">
    <w:p w14:paraId="0561C9B2" w14:textId="521686ED" w:rsidR="001D1C68" w:rsidRPr="00904B44" w:rsidRDefault="001D1C68" w:rsidP="007D76F7">
      <w:pPr>
        <w:pStyle w:val="FootnoteText"/>
      </w:pPr>
      <w:r w:rsidRPr="00281642">
        <w:rPr>
          <w:rStyle w:val="FootnoteReference"/>
        </w:rPr>
        <w:footnoteRef/>
      </w:r>
      <w:r w:rsidRPr="00281642">
        <w:t xml:space="preserve"> K</w:t>
      </w:r>
      <w:r>
        <w:t>ing County Assessor. [</w:t>
      </w:r>
      <w:hyperlink r:id="rId68" w:history="1">
        <w:r w:rsidRPr="00427D80">
          <w:rPr>
            <w:rStyle w:val="Hyperlink"/>
          </w:rPr>
          <w:t>LINK</w:t>
        </w:r>
      </w:hyperlink>
      <w:r>
        <w:t>]</w:t>
      </w:r>
    </w:p>
  </w:footnote>
  <w:footnote w:id="89">
    <w:p w14:paraId="6BCBE80B" w14:textId="04364090" w:rsidR="001D1C68" w:rsidRDefault="001D1C68" w:rsidP="007D76F7">
      <w:pPr>
        <w:pStyle w:val="FootnoteText"/>
      </w:pPr>
      <w:r w:rsidRPr="002B379B">
        <w:rPr>
          <w:rStyle w:val="FootnoteReference"/>
        </w:rPr>
        <w:footnoteRef/>
      </w:r>
      <w:r w:rsidRPr="002B379B">
        <w:t xml:space="preserve"> </w:t>
      </w:r>
      <w:r>
        <w:t xml:space="preserve">King County’s comprehensive financial management policies require </w:t>
      </w:r>
      <w:r>
        <w:rPr>
          <w:rFonts w:cs="Calibri"/>
        </w:rPr>
        <w:t xml:space="preserve">King County levies to keep a rainy-day reserve equivalent to 90 days of operating expenditures on hand. </w:t>
      </w:r>
      <w:r w:rsidRPr="002B379B">
        <w:t>Motion 15250. [</w:t>
      </w:r>
      <w:hyperlink r:id="rId69" w:history="1">
        <w:r w:rsidRPr="002B379B">
          <w:rPr>
            <w:rStyle w:val="Hyperlink"/>
          </w:rPr>
          <w:t>LINK</w:t>
        </w:r>
      </w:hyperlink>
      <w:r w:rsidRPr="002B379B">
        <w:t>]</w:t>
      </w:r>
    </w:p>
  </w:footnote>
  <w:footnote w:id="90">
    <w:p w14:paraId="73A8677B" w14:textId="714F5D01" w:rsidR="001D1C68" w:rsidRDefault="001D1C68" w:rsidP="007D76F7">
      <w:pPr>
        <w:pStyle w:val="FootnoteText"/>
      </w:pPr>
      <w:r>
        <w:rPr>
          <w:rStyle w:val="FootnoteReference"/>
        </w:rPr>
        <w:footnoteRef/>
      </w:r>
      <w:r>
        <w:t xml:space="preserve"> King County Assessor. </w:t>
      </w:r>
      <w:hyperlink r:id="rId70" w:history="1">
        <w:r>
          <w:rPr>
            <w:rStyle w:val="Hyperlink"/>
          </w:rPr>
          <w:t>[LINK]</w:t>
        </w:r>
      </w:hyperlink>
    </w:p>
  </w:footnote>
  <w:footnote w:id="91">
    <w:p w14:paraId="3319764E" w14:textId="0B842A0D" w:rsidR="001D1C68" w:rsidRDefault="001D1C68" w:rsidP="007D76F7">
      <w:pPr>
        <w:pStyle w:val="FootnoteText"/>
      </w:pPr>
      <w:r>
        <w:rPr>
          <w:rStyle w:val="FootnoteReference"/>
        </w:rPr>
        <w:footnoteRef/>
      </w:r>
      <w:r>
        <w:t xml:space="preserve"> Best Starts Assessment Report Recommendations, page 135. [</w:t>
      </w:r>
      <w:hyperlink r:id="rId71" w:history="1">
        <w:r>
          <w:rPr>
            <w:rStyle w:val="Hyperlink"/>
          </w:rPr>
          <w:t>LINK</w:t>
        </w:r>
      </w:hyperlink>
      <w:r>
        <w:rPr>
          <w:rStyle w:val="Hyperlink"/>
        </w:rPr>
        <w:t>]</w:t>
      </w:r>
    </w:p>
  </w:footnote>
  <w:footnote w:id="92">
    <w:p w14:paraId="69FBA2FF" w14:textId="21158D97" w:rsidR="001D1C68" w:rsidRDefault="001D1C68" w:rsidP="007D76F7">
      <w:pPr>
        <w:pStyle w:val="FootnoteText"/>
      </w:pPr>
      <w:r>
        <w:rPr>
          <w:rStyle w:val="FootnoteReference"/>
        </w:rPr>
        <w:footnoteRef/>
      </w:r>
      <w:r>
        <w:t xml:space="preserve"> </w:t>
      </w:r>
      <w:r w:rsidRPr="00476FA4">
        <w:t>C</w:t>
      </w:r>
      <w:r>
        <w:t xml:space="preserve">hildren &amp; </w:t>
      </w:r>
      <w:r w:rsidRPr="00476FA4">
        <w:t>F</w:t>
      </w:r>
      <w:r>
        <w:t xml:space="preserve">amily </w:t>
      </w:r>
      <w:r w:rsidRPr="00476FA4">
        <w:t>S</w:t>
      </w:r>
      <w:r>
        <w:t>trategy Task Force</w:t>
      </w:r>
      <w:r w:rsidRPr="00476FA4">
        <w:t xml:space="preserve"> report</w:t>
      </w:r>
      <w:r>
        <w:t>. [</w:t>
      </w:r>
      <w:hyperlink r:id="rId72" w:history="1">
        <w:r>
          <w:rPr>
            <w:rStyle w:val="Hyperlink"/>
          </w:rPr>
          <w:t>LINK</w:t>
        </w:r>
      </w:hyperlink>
      <w:r>
        <w:rPr>
          <w:rStyle w:val="Hyperlink"/>
        </w:rPr>
        <w:t>]</w:t>
      </w:r>
    </w:p>
  </w:footnote>
  <w:footnote w:id="93">
    <w:p w14:paraId="0C44DBA5" w14:textId="77777777" w:rsidR="001D1C68" w:rsidRDefault="001D1C68" w:rsidP="007D76F7">
      <w:pPr>
        <w:pStyle w:val="FootnoteText"/>
      </w:pPr>
      <w:r>
        <w:rPr>
          <w:rStyle w:val="FootnoteReference"/>
        </w:rPr>
        <w:footnoteRef/>
      </w:r>
      <w:r>
        <w:t xml:space="preserve"> Ordinance 19267. [</w:t>
      </w:r>
      <w:hyperlink r:id="rId73" w:history="1">
        <w:r w:rsidRPr="00732370">
          <w:rPr>
            <w:rStyle w:val="Hyperlink"/>
          </w:rPr>
          <w:t>LINK</w:t>
        </w:r>
      </w:hyperlink>
      <w:r>
        <w:t>]</w:t>
      </w:r>
    </w:p>
    <w:p w14:paraId="48AAFC6B" w14:textId="77777777" w:rsidR="001D1C68" w:rsidRDefault="001D1C68" w:rsidP="007D76F7">
      <w:pPr>
        <w:pStyle w:val="FootnoteText"/>
      </w:pPr>
    </w:p>
  </w:footnote>
  <w:footnote w:id="94">
    <w:p w14:paraId="3D408EDF" w14:textId="19B068D2" w:rsidR="001D1C68" w:rsidRDefault="001D1C68" w:rsidP="007D76F7">
      <w:pPr>
        <w:pStyle w:val="FootnoteText"/>
      </w:pPr>
      <w:r>
        <w:rPr>
          <w:rStyle w:val="FootnoteReference"/>
        </w:rPr>
        <w:footnoteRef/>
      </w:r>
      <w:r>
        <w:t xml:space="preserve"> </w:t>
      </w:r>
      <w:r w:rsidRPr="00D03F1F">
        <w:t>Current modeling does not suggest prorationing will occur during this levy period given current levy rates countywide, though economic trends reducing assessed property value or rate increases from other taxing districts may change that forecast</w:t>
      </w:r>
      <w:r>
        <w:t xml:space="preserve">. For more information about </w:t>
      </w:r>
      <w:r w:rsidRPr="00CC74F6">
        <w:t>prorationing mitigation, see Section IV.M</w:t>
      </w:r>
      <w:r>
        <w:t>.</w:t>
      </w:r>
    </w:p>
  </w:footnote>
  <w:footnote w:id="95">
    <w:p w14:paraId="347F7FEC" w14:textId="77777777" w:rsidR="001D1C68" w:rsidRDefault="001D1C68" w:rsidP="007D76F7">
      <w:pPr>
        <w:pStyle w:val="FootnoteText"/>
      </w:pPr>
      <w:r w:rsidRPr="552321F1">
        <w:rPr>
          <w:rStyle w:val="FootnoteReference"/>
        </w:rPr>
        <w:footnoteRef/>
      </w:r>
      <w:r>
        <w:t xml:space="preserve"> The Heckman Equation: The Economics of Human Potential [</w:t>
      </w:r>
      <w:hyperlink r:id="rId74">
        <w:r w:rsidRPr="552321F1">
          <w:rPr>
            <w:rStyle w:val="Hyperlink"/>
          </w:rPr>
          <w:t>LINK</w:t>
        </w:r>
      </w:hyperlink>
      <w:r>
        <w:t>].</w:t>
      </w:r>
    </w:p>
  </w:footnote>
  <w:footnote w:id="96">
    <w:p w14:paraId="1A5B5A93" w14:textId="77777777" w:rsidR="001D1C68" w:rsidRDefault="001D1C68" w:rsidP="007D76F7">
      <w:pPr>
        <w:pStyle w:val="FootnoteText"/>
      </w:pPr>
      <w:r w:rsidRPr="552321F1">
        <w:rPr>
          <w:rStyle w:val="FootnoteReference"/>
        </w:rPr>
        <w:footnoteRef/>
      </w:r>
      <w:r>
        <w:t xml:space="preserve"> Browne, C., Notkin, S., Schneider-Muñoz, A., &amp; Zimmerman, F. (2015). Youth Thrive: A Framework to Help </w:t>
      </w:r>
    </w:p>
    <w:p w14:paraId="3DAE8B13" w14:textId="77777777" w:rsidR="001D1C68" w:rsidRDefault="001D1C68" w:rsidP="007D76F7">
      <w:pPr>
        <w:pStyle w:val="FootnoteText"/>
      </w:pPr>
      <w:r>
        <w:t>Adolescents Overcome Trauma and Thrive. Journal of Child and Youth Care Work, 25, 33-52. [</w:t>
      </w:r>
      <w:hyperlink r:id="rId75">
        <w:r w:rsidRPr="552321F1">
          <w:rPr>
            <w:rStyle w:val="Hyperlink"/>
          </w:rPr>
          <w:t>LINK</w:t>
        </w:r>
      </w:hyperlink>
      <w:r>
        <w:t>]</w:t>
      </w:r>
    </w:p>
  </w:footnote>
  <w:footnote w:id="97">
    <w:p w14:paraId="00ADCF57" w14:textId="77777777" w:rsidR="001D1C68" w:rsidRDefault="001D1C68" w:rsidP="007D76F7">
      <w:pPr>
        <w:pStyle w:val="FootnoteText"/>
      </w:pPr>
      <w:r w:rsidRPr="001852B9">
        <w:rPr>
          <w:rStyle w:val="FootnoteReference"/>
        </w:rPr>
        <w:footnoteRef/>
      </w:r>
      <w:r w:rsidRPr="001852B9">
        <w:t xml:space="preserve"> As described above, Ordinance 18088 directed investing $19M from 2016 revenue, and $2M were added in 2017 to support additional program needs.</w:t>
      </w:r>
    </w:p>
  </w:footnote>
  <w:footnote w:id="98">
    <w:p w14:paraId="22B207E2" w14:textId="77777777" w:rsidR="001D1C68" w:rsidRDefault="001D1C68" w:rsidP="007D76F7">
      <w:pPr>
        <w:pStyle w:val="FootnoteText"/>
      </w:pPr>
      <w:r>
        <w:rPr>
          <w:rStyle w:val="FootnoteReference"/>
        </w:rPr>
        <w:footnoteRef/>
      </w:r>
      <w:r>
        <w:t xml:space="preserve"> Working Connections Child Care (WCCC). </w:t>
      </w:r>
      <w:hyperlink r:id="rId76" w:history="1">
        <w:r w:rsidRPr="00204CFA">
          <w:rPr>
            <w:rStyle w:val="Hyperlink"/>
          </w:rPr>
          <w:t>[LINK]</w:t>
        </w:r>
      </w:hyperlink>
    </w:p>
  </w:footnote>
  <w:footnote w:id="99">
    <w:p w14:paraId="22E522A6" w14:textId="77777777" w:rsidR="001D1C68" w:rsidRDefault="001D1C68" w:rsidP="007D76F7">
      <w:pPr>
        <w:pStyle w:val="FootnoteText"/>
      </w:pPr>
      <w:r>
        <w:rPr>
          <w:rStyle w:val="FootnoteReference"/>
        </w:rPr>
        <w:footnoteRef/>
      </w:r>
      <w:r>
        <w:t xml:space="preserve"> Head Start. </w:t>
      </w:r>
      <w:hyperlink r:id="rId77" w:history="1">
        <w:r w:rsidRPr="000B5728">
          <w:rPr>
            <w:rStyle w:val="Hyperlink"/>
          </w:rPr>
          <w:t>[LINK]</w:t>
        </w:r>
      </w:hyperlink>
    </w:p>
  </w:footnote>
  <w:footnote w:id="100">
    <w:p w14:paraId="4B6F00F6" w14:textId="77777777" w:rsidR="001D1C68" w:rsidRDefault="001D1C68" w:rsidP="007D76F7">
      <w:pPr>
        <w:pStyle w:val="FootnoteText"/>
      </w:pPr>
      <w:r>
        <w:rPr>
          <w:rStyle w:val="FootnoteReference"/>
        </w:rPr>
        <w:footnoteRef/>
      </w:r>
      <w:r>
        <w:t xml:space="preserve"> Early Childhood Education and Assistance Program (ECEAP). </w:t>
      </w:r>
      <w:hyperlink r:id="rId78" w:history="1">
        <w:r w:rsidRPr="000B5728">
          <w:rPr>
            <w:rStyle w:val="Hyperlink"/>
          </w:rPr>
          <w:t>[LINK]</w:t>
        </w:r>
      </w:hyperlink>
    </w:p>
  </w:footnote>
  <w:footnote w:id="101">
    <w:p w14:paraId="7C84C238" w14:textId="77777777" w:rsidR="001D1C68" w:rsidRDefault="001D1C68" w:rsidP="007D76F7">
      <w:pPr>
        <w:pStyle w:val="FootnoteText"/>
      </w:pPr>
      <w:r>
        <w:rPr>
          <w:rStyle w:val="FootnoteReference"/>
        </w:rPr>
        <w:footnoteRef/>
      </w:r>
      <w:r>
        <w:t xml:space="preserve"> City of Seattle. </w:t>
      </w:r>
      <w:hyperlink r:id="rId79" w:history="1">
        <w:r w:rsidRPr="00BB27E4">
          <w:rPr>
            <w:rStyle w:val="Hyperlink"/>
          </w:rPr>
          <w:t>[LINK]</w:t>
        </w:r>
      </w:hyperlink>
    </w:p>
  </w:footnote>
  <w:footnote w:id="102">
    <w:p w14:paraId="160A7587" w14:textId="2814124C" w:rsidR="001D1C68" w:rsidRDefault="001D1C68" w:rsidP="007D76F7">
      <w:pPr>
        <w:pStyle w:val="FootnoteText"/>
      </w:pPr>
      <w:r>
        <w:rPr>
          <w:rStyle w:val="FootnoteReference"/>
        </w:rPr>
        <w:footnoteRef/>
      </w:r>
      <w:r>
        <w:t xml:space="preserve"> Fair Start Act E2SSB 5237. [</w:t>
      </w:r>
      <w:hyperlink r:id="rId80" w:history="1">
        <w:r w:rsidRPr="009B5233">
          <w:rPr>
            <w:rStyle w:val="Hyperlink"/>
          </w:rPr>
          <w:t>LINK</w:t>
        </w:r>
      </w:hyperlink>
      <w:r>
        <w:t>]</w:t>
      </w:r>
    </w:p>
  </w:footnote>
  <w:footnote w:id="103">
    <w:p w14:paraId="2A4B8B8B" w14:textId="3EBFBE33" w:rsidR="001D1C68" w:rsidRDefault="001D1C68" w:rsidP="007D76F7">
      <w:pPr>
        <w:pStyle w:val="FootnoteText"/>
      </w:pPr>
      <w:r>
        <w:rPr>
          <w:rStyle w:val="FootnoteReference"/>
        </w:rPr>
        <w:footnoteRef/>
      </w:r>
      <w:r>
        <w:t xml:space="preserve"> Washington State Department of Social and Human Services State Median Income Chart. </w:t>
      </w:r>
      <w:hyperlink r:id="rId81" w:history="1">
        <w:r w:rsidRPr="003221EE">
          <w:rPr>
            <w:rStyle w:val="Hyperlink"/>
          </w:rPr>
          <w:t>[LINK]</w:t>
        </w:r>
      </w:hyperlink>
    </w:p>
  </w:footnote>
  <w:footnote w:id="104">
    <w:p w14:paraId="4E9B2894" w14:textId="1D77A7A3" w:rsidR="001D1C68" w:rsidRDefault="001D1C68" w:rsidP="007D76F7">
      <w:pPr>
        <w:pStyle w:val="FootnoteText"/>
      </w:pPr>
      <w:r>
        <w:rPr>
          <w:rStyle w:val="FootnoteReference"/>
        </w:rPr>
        <w:footnoteRef/>
      </w:r>
      <w:r>
        <w:t xml:space="preserve"> MomsRising has conducted an initial analysis of WCCC and ECEAP eligibility changes as a result of the Fair Start Act </w:t>
      </w:r>
      <w:hyperlink r:id="rId82" w:history="1">
        <w:r w:rsidRPr="42D50327">
          <w:rPr>
            <w:rStyle w:val="Hyperlink"/>
            <w:rFonts w:eastAsia="Calibri"/>
            <w:szCs w:val="20"/>
          </w:rPr>
          <w:t>[LINK]</w:t>
        </w:r>
      </w:hyperlink>
    </w:p>
  </w:footnote>
  <w:footnote w:id="105">
    <w:p w14:paraId="2C344C9F" w14:textId="77777777" w:rsidR="001D1C68" w:rsidRDefault="001D1C68" w:rsidP="007D76F7">
      <w:pPr>
        <w:pStyle w:val="FootnoteText"/>
      </w:pPr>
      <w:r>
        <w:rPr>
          <w:rStyle w:val="FootnoteReference"/>
        </w:rPr>
        <w:footnoteRef/>
      </w:r>
      <w:r>
        <w:t xml:space="preserve"> According to the Aspen Institute, a “benefits cliff” occurs when a minor increase in a family’s income causes a swift and total loss of child care subsidy or other financial supports. The increase in hourly wages is typically less than the amount the family loses in benefits. </w:t>
      </w:r>
      <w:hyperlink r:id="rId83" w:history="1">
        <w:r w:rsidRPr="003A6592">
          <w:rPr>
            <w:rStyle w:val="Hyperlink"/>
          </w:rPr>
          <w:t>[LINK]</w:t>
        </w:r>
      </w:hyperlink>
    </w:p>
  </w:footnote>
  <w:footnote w:id="106">
    <w:p w14:paraId="6319DC91" w14:textId="70E849DB" w:rsidR="001D1C68" w:rsidRDefault="001D1C68" w:rsidP="007D76F7">
      <w:pPr>
        <w:pStyle w:val="FootnoteText"/>
      </w:pPr>
      <w:r w:rsidRPr="42D50327">
        <w:rPr>
          <w:rStyle w:val="FootnoteReference"/>
          <w:rFonts w:eastAsia="Calibri"/>
          <w:szCs w:val="20"/>
        </w:rPr>
        <w:footnoteRef/>
      </w:r>
      <w:r w:rsidRPr="42D50327">
        <w:t xml:space="preserve"> </w:t>
      </w:r>
      <w:r>
        <w:t>Ibid.</w:t>
      </w:r>
    </w:p>
  </w:footnote>
  <w:footnote w:id="107">
    <w:p w14:paraId="7F01CF54" w14:textId="77777777" w:rsidR="001D1C68" w:rsidRDefault="001D1C68" w:rsidP="007D76F7">
      <w:pPr>
        <w:pStyle w:val="FootnoteText"/>
      </w:pPr>
      <w:r>
        <w:rPr>
          <w:rStyle w:val="FootnoteReference"/>
        </w:rPr>
        <w:footnoteRef/>
      </w:r>
      <w:r>
        <w:t xml:space="preserve"> Price of Child Care in Washington, Child Care Aware of America, 2019. </w:t>
      </w:r>
      <w:hyperlink r:id="rId84" w:history="1">
        <w:r w:rsidRPr="007149E9">
          <w:rPr>
            <w:rStyle w:val="Hyperlink"/>
          </w:rPr>
          <w:t>[LINK]</w:t>
        </w:r>
      </w:hyperlink>
    </w:p>
  </w:footnote>
  <w:footnote w:id="108">
    <w:p w14:paraId="1DD58709" w14:textId="6A18729E" w:rsidR="001D1C68" w:rsidRDefault="001D1C68" w:rsidP="007D76F7">
      <w:pPr>
        <w:pStyle w:val="FootnoteText"/>
      </w:pPr>
      <w:r>
        <w:rPr>
          <w:rStyle w:val="FootnoteReference"/>
        </w:rPr>
        <w:footnoteRef/>
      </w:r>
      <w:r>
        <w:t xml:space="preserve"> Reducing the Cliff Effect to Support Working Families, Aspen Institute, 2018. [</w:t>
      </w:r>
      <w:hyperlink r:id="rId85" w:history="1">
        <w:r w:rsidRPr="00FC78FD">
          <w:rPr>
            <w:rStyle w:val="Hyperlink"/>
          </w:rPr>
          <w:t>LINK</w:t>
        </w:r>
      </w:hyperlink>
      <w:r>
        <w:t>]</w:t>
      </w:r>
    </w:p>
  </w:footnote>
  <w:footnote w:id="109">
    <w:p w14:paraId="061F6F99" w14:textId="77777777" w:rsidR="001D1C68" w:rsidRDefault="001D1C68" w:rsidP="007D76F7">
      <w:pPr>
        <w:pStyle w:val="FootnoteText"/>
      </w:pPr>
      <w:r>
        <w:rPr>
          <w:rStyle w:val="FootnoteReference"/>
        </w:rPr>
        <w:footnoteRef/>
      </w:r>
      <w:r>
        <w:t xml:space="preserve"> Child Care Deserts, Child Care Aware of America, 2016. </w:t>
      </w:r>
      <w:hyperlink r:id="rId86" w:history="1">
        <w:r w:rsidRPr="000E1083">
          <w:rPr>
            <w:rStyle w:val="Hyperlink"/>
          </w:rPr>
          <w:t>[LINK]</w:t>
        </w:r>
      </w:hyperlink>
    </w:p>
  </w:footnote>
  <w:footnote w:id="110">
    <w:p w14:paraId="10E27D09" w14:textId="7A645BD3" w:rsidR="001D1C68" w:rsidRDefault="001D1C68" w:rsidP="007D76F7">
      <w:pPr>
        <w:pStyle w:val="FootnoteText"/>
      </w:pPr>
      <w:r w:rsidRPr="2D71CCAF">
        <w:rPr>
          <w:rStyle w:val="FootnoteReference"/>
        </w:rPr>
        <w:footnoteRef/>
      </w:r>
      <w:r>
        <w:t xml:space="preserve"> 2020 Best Starts for Kids Annual Report. [</w:t>
      </w:r>
      <w:hyperlink r:id="rId87">
        <w:r w:rsidRPr="2D71CCAF">
          <w:rPr>
            <w:rStyle w:val="Hyperlink"/>
          </w:rPr>
          <w:t>LINK</w:t>
        </w:r>
      </w:hyperlink>
      <w:r>
        <w:t>]</w:t>
      </w:r>
    </w:p>
  </w:footnote>
  <w:footnote w:id="111">
    <w:p w14:paraId="5BE38148" w14:textId="77777777" w:rsidR="001D1C68" w:rsidRDefault="001D1C68" w:rsidP="007D76F7">
      <w:pPr>
        <w:pStyle w:val="FootnoteText"/>
      </w:pPr>
      <w:r w:rsidRPr="2D71CCAF">
        <w:rPr>
          <w:rStyle w:val="FootnoteReference"/>
        </w:rPr>
        <w:footnoteRef/>
      </w:r>
      <w:r>
        <w:t xml:space="preserve"> Vogtman, J. and White, C. (2019). Can We Rewrite the Shameful History of Undervaluing Child Care Workers? [</w:t>
      </w:r>
      <w:hyperlink r:id="rId88">
        <w:r w:rsidRPr="2D71CCAF">
          <w:rPr>
            <w:rStyle w:val="Hyperlink"/>
          </w:rPr>
          <w:t>LINK</w:t>
        </w:r>
      </w:hyperlink>
      <w:r>
        <w:t>]</w:t>
      </w:r>
    </w:p>
  </w:footnote>
  <w:footnote w:id="112">
    <w:p w14:paraId="41E39E25" w14:textId="1B9208E3" w:rsidR="001D1C68" w:rsidRDefault="001D1C68" w:rsidP="007D76F7">
      <w:pPr>
        <w:pStyle w:val="FootnoteText"/>
      </w:pPr>
      <w:r w:rsidRPr="2D71CCAF">
        <w:rPr>
          <w:rStyle w:val="FootnoteReference"/>
        </w:rPr>
        <w:footnoteRef/>
      </w:r>
      <w:r>
        <w:t xml:space="preserve"> Building for the Future: Strong Policies for Babies and Families after COVID-19. [</w:t>
      </w:r>
      <w:hyperlink r:id="rId89">
        <w:r w:rsidRPr="2D71CCAF">
          <w:rPr>
            <w:rStyle w:val="Hyperlink"/>
          </w:rPr>
          <w:t>LINK</w:t>
        </w:r>
      </w:hyperlink>
      <w:r>
        <w:t>]</w:t>
      </w:r>
    </w:p>
  </w:footnote>
  <w:footnote w:id="113">
    <w:p w14:paraId="5436B600" w14:textId="77777777" w:rsidR="001D1C68" w:rsidRDefault="001D1C68" w:rsidP="007D76F7">
      <w:pPr>
        <w:pStyle w:val="FootnoteText"/>
      </w:pPr>
      <w:r>
        <w:rPr>
          <w:rStyle w:val="FootnoteReference"/>
        </w:rPr>
        <w:footnoteRef/>
      </w:r>
      <w:r>
        <w:t xml:space="preserve"> Child Care Aware of America (2019). </w:t>
      </w:r>
      <w:r w:rsidRPr="00A96FB6">
        <w:rPr>
          <w:i/>
          <w:iCs/>
        </w:rPr>
        <w:t>The US and the High Price of Child Care</w:t>
      </w:r>
      <w:r>
        <w:t xml:space="preserve">. </w:t>
      </w:r>
      <w:hyperlink r:id="rId90" w:history="1">
        <w:r>
          <w:rPr>
            <w:rStyle w:val="Hyperlink"/>
          </w:rPr>
          <w:t>[LINK]</w:t>
        </w:r>
      </w:hyperlink>
    </w:p>
  </w:footnote>
  <w:footnote w:id="114">
    <w:p w14:paraId="51F0FF8E" w14:textId="77777777" w:rsidR="001D1C68" w:rsidRDefault="001D1C68" w:rsidP="007D76F7">
      <w:pPr>
        <w:pStyle w:val="FootnoteText"/>
      </w:pPr>
      <w:r>
        <w:rPr>
          <w:rStyle w:val="FootnoteReference"/>
        </w:rPr>
        <w:footnoteRef/>
      </w:r>
      <w:r>
        <w:t xml:space="preserve"> U.S Department of Health and Human Services (2016). </w:t>
      </w:r>
      <w:r>
        <w:rPr>
          <w:i/>
          <w:iCs/>
        </w:rPr>
        <w:t>Child Care and Development Fund Program.</w:t>
      </w:r>
      <w:r>
        <w:t xml:space="preserve"> </w:t>
      </w:r>
      <w:hyperlink r:id="rId91" w:history="1">
        <w:r>
          <w:rPr>
            <w:rStyle w:val="Hyperlink"/>
          </w:rPr>
          <w:t>[LINK]</w:t>
        </w:r>
      </w:hyperlink>
    </w:p>
  </w:footnote>
  <w:footnote w:id="115">
    <w:p w14:paraId="0EFEE53C" w14:textId="19DD3E87" w:rsidR="001D1C68" w:rsidRDefault="001D1C68" w:rsidP="007D76F7">
      <w:pPr>
        <w:pStyle w:val="FootnoteText"/>
      </w:pPr>
      <w:r>
        <w:rPr>
          <w:rStyle w:val="FootnoteReference"/>
        </w:rPr>
        <w:footnoteRef/>
      </w:r>
      <w:r>
        <w:t xml:space="preserve"> Equitable and Accessible Child Care in King County, </w:t>
      </w:r>
      <w:r w:rsidRPr="00476FA4">
        <w:t>C</w:t>
      </w:r>
      <w:r>
        <w:t xml:space="preserve">hildren &amp; </w:t>
      </w:r>
      <w:r w:rsidRPr="00476FA4">
        <w:t>F</w:t>
      </w:r>
      <w:r>
        <w:t xml:space="preserve">amilies </w:t>
      </w:r>
      <w:r w:rsidRPr="00476FA4">
        <w:t>S</w:t>
      </w:r>
      <w:r>
        <w:t>trategy Task Force, 2020.[</w:t>
      </w:r>
      <w:hyperlink r:id="rId92" w:history="1">
        <w:r>
          <w:rPr>
            <w:rStyle w:val="Hyperlink"/>
          </w:rPr>
          <w:t>LINK</w:t>
        </w:r>
      </w:hyperlink>
      <w:r>
        <w:rPr>
          <w:rStyle w:val="Hyperlink"/>
        </w:rPr>
        <w:t xml:space="preserve">] </w:t>
      </w:r>
      <w:r>
        <w:t>King County previously established a Comprehensive Child Care Assistance Program through Motion 07204, which included a subsidy for families that reflected regional costs of living.</w:t>
      </w:r>
    </w:p>
  </w:footnote>
  <w:footnote w:id="116">
    <w:p w14:paraId="5F6B4FAF" w14:textId="72744098" w:rsidR="001D1C68" w:rsidRDefault="001D1C68" w:rsidP="007D76F7">
      <w:pPr>
        <w:pStyle w:val="FootnoteText"/>
      </w:pPr>
      <w:r w:rsidRPr="2D71CCAF">
        <w:rPr>
          <w:rStyle w:val="FootnoteReference"/>
        </w:rPr>
        <w:footnoteRef/>
      </w:r>
      <w:r>
        <w:t xml:space="preserve"> Center for American Progress (2020). “How Child Care Disruptions Hurt Parents of Color Most.” Ready Nation (2019). “Want to Grow the Economy? Fix the Child Care Crisis.” [</w:t>
      </w:r>
      <w:hyperlink r:id="rId93">
        <w:r w:rsidRPr="2D71CCAF">
          <w:rPr>
            <w:rStyle w:val="Hyperlink"/>
          </w:rPr>
          <w:t>LINK</w:t>
        </w:r>
      </w:hyperlink>
      <w:r>
        <w:t>]</w:t>
      </w:r>
    </w:p>
  </w:footnote>
  <w:footnote w:id="117">
    <w:p w14:paraId="32DCCD3C" w14:textId="4C79E62B" w:rsidR="001D1C68" w:rsidRDefault="001D1C68" w:rsidP="007D76F7">
      <w:pPr>
        <w:pStyle w:val="FootnoteText"/>
      </w:pPr>
      <w:r w:rsidRPr="2D71CCAF">
        <w:rPr>
          <w:rStyle w:val="FootnoteReference"/>
        </w:rPr>
        <w:footnoteRef/>
      </w:r>
      <w:r>
        <w:t xml:space="preserve"> Johnson, R. and Kirabo, J. (2018). Reducing Inequality Through Dynamic Complementarity: Evidence from Head Start and Public School Spending. The National Bureau of Economic Research. [</w:t>
      </w:r>
      <w:hyperlink r:id="rId94">
        <w:r w:rsidRPr="2D71CCAF">
          <w:rPr>
            <w:rStyle w:val="Hyperlink"/>
          </w:rPr>
          <w:t>LINK</w:t>
        </w:r>
      </w:hyperlink>
      <w:r>
        <w:t>]</w:t>
      </w:r>
    </w:p>
  </w:footnote>
  <w:footnote w:id="118">
    <w:p w14:paraId="48EC14E8" w14:textId="39D8CD84" w:rsidR="001D1C68" w:rsidRDefault="001D1C68" w:rsidP="007D76F7">
      <w:pPr>
        <w:pStyle w:val="FootnoteText"/>
      </w:pPr>
      <w:r w:rsidRPr="261F37E9">
        <w:rPr>
          <w:rStyle w:val="FootnoteReference"/>
          <w:rFonts w:eastAsia="Calibri"/>
          <w:szCs w:val="20"/>
        </w:rPr>
        <w:footnoteRef/>
      </w:r>
      <w:r w:rsidRPr="073DE12D">
        <w:t xml:space="preserve"> In </w:t>
      </w:r>
      <w:r>
        <w:t>a retention bonus</w:t>
      </w:r>
      <w:r w:rsidRPr="073DE12D">
        <w:t xml:space="preserve"> model, participating providers would receive bonuses at set periods in their employment. Bonuses would be tiered to increase with longer periods of retention.</w:t>
      </w:r>
    </w:p>
  </w:footnote>
  <w:footnote w:id="119">
    <w:p w14:paraId="5BBA3669" w14:textId="0F882831" w:rsidR="001D1C68" w:rsidRDefault="001D1C68" w:rsidP="007D76F7">
      <w:pPr>
        <w:pStyle w:val="FootnoteText"/>
      </w:pPr>
      <w:r>
        <w:rPr>
          <w:rStyle w:val="FootnoteReference"/>
        </w:rPr>
        <w:footnoteRef/>
      </w:r>
      <w:r>
        <w:t xml:space="preserve"> </w:t>
      </w:r>
      <w:r w:rsidRPr="00B502EF">
        <w:t>Child Care Resources tracks the racial and ethnic makeup of licensed family child care providers in King County, who operate 65</w:t>
      </w:r>
      <w:r>
        <w:t xml:space="preserve"> percent</w:t>
      </w:r>
      <w:r w:rsidRPr="00B502EF">
        <w:t xml:space="preserve"> of child care.</w:t>
      </w:r>
    </w:p>
  </w:footnote>
  <w:footnote w:id="120">
    <w:p w14:paraId="4985FF10" w14:textId="77777777" w:rsidR="001D1C68" w:rsidRPr="00D935EA" w:rsidRDefault="001D1C68" w:rsidP="007E5824">
      <w:pPr>
        <w:textAlignment w:val="baseline"/>
        <w:rPr>
          <w:rFonts w:eastAsia="Times New Roman" w:cstheme="minorHAnsi"/>
        </w:rPr>
      </w:pPr>
      <w:r w:rsidRPr="00D84805">
        <w:rPr>
          <w:rStyle w:val="FootnoteReference"/>
          <w:rFonts w:cstheme="minorHAnsi"/>
        </w:rPr>
        <w:footnoteRef/>
      </w:r>
      <w:r w:rsidRPr="00D84805">
        <w:rPr>
          <w:rFonts w:cstheme="minorHAnsi"/>
        </w:rPr>
        <w:t xml:space="preserve"> </w:t>
      </w:r>
      <w:r w:rsidRPr="005F4433">
        <w:rPr>
          <w:rFonts w:cstheme="minorHAnsi"/>
          <w:sz w:val="20"/>
          <w:szCs w:val="20"/>
        </w:rPr>
        <w:t>Wa</w:t>
      </w:r>
      <w:r w:rsidRPr="005F4433">
        <w:rPr>
          <w:rFonts w:eastAsia="Times New Roman" w:cstheme="minorHAnsi"/>
          <w:sz w:val="20"/>
          <w:szCs w:val="20"/>
          <w:lang w:val="en"/>
        </w:rPr>
        <w:t xml:space="preserve">shington State Department of Children, Youth, and Families Compensation Technical Workgroup (2019). </w:t>
      </w:r>
      <w:hyperlink r:id="rId95" w:history="1">
        <w:r w:rsidRPr="005F4433">
          <w:rPr>
            <w:rStyle w:val="Hyperlink"/>
            <w:rFonts w:eastAsia="Times New Roman" w:cstheme="minorHAnsi"/>
            <w:sz w:val="20"/>
            <w:szCs w:val="20"/>
            <w:lang w:val="en"/>
          </w:rPr>
          <w:t>[LINK]</w:t>
        </w:r>
      </w:hyperlink>
    </w:p>
  </w:footnote>
  <w:footnote w:id="121">
    <w:p w14:paraId="47D37FD1" w14:textId="77777777" w:rsidR="001D1C68" w:rsidRDefault="001D1C68" w:rsidP="007D76F7">
      <w:pPr>
        <w:pStyle w:val="FootnoteText"/>
      </w:pPr>
      <w:r>
        <w:rPr>
          <w:rStyle w:val="FootnoteReference"/>
        </w:rPr>
        <w:footnoteRef/>
      </w:r>
      <w:r>
        <w:t xml:space="preserve"> Economic Policy Institute (2015). </w:t>
      </w:r>
      <w:r>
        <w:rPr>
          <w:i/>
          <w:iCs/>
        </w:rPr>
        <w:t>Child care workers aren’t paid enough to make ends meet.</w:t>
      </w:r>
      <w:r>
        <w:t xml:space="preserve"> </w:t>
      </w:r>
      <w:hyperlink r:id="rId96" w:history="1">
        <w:r>
          <w:rPr>
            <w:rStyle w:val="Hyperlink"/>
          </w:rPr>
          <w:t>[LINK]</w:t>
        </w:r>
      </w:hyperlink>
    </w:p>
  </w:footnote>
  <w:footnote w:id="122">
    <w:p w14:paraId="2F718547" w14:textId="77777777" w:rsidR="001D1C68" w:rsidRDefault="001D1C68" w:rsidP="007D76F7">
      <w:pPr>
        <w:pStyle w:val="FootnoteText"/>
      </w:pPr>
      <w:r>
        <w:rPr>
          <w:rStyle w:val="FootnoteReference"/>
        </w:rPr>
        <w:footnoteRef/>
      </w:r>
      <w:r>
        <w:t xml:space="preserve"> Child Care Aware of Washington. </w:t>
      </w:r>
      <w:hyperlink r:id="rId97" w:history="1">
        <w:r w:rsidRPr="00A729A2">
          <w:rPr>
            <w:rStyle w:val="Hyperlink"/>
          </w:rPr>
          <w:t>[LINK]</w:t>
        </w:r>
      </w:hyperlink>
    </w:p>
  </w:footnote>
  <w:footnote w:id="123">
    <w:p w14:paraId="3112CA83" w14:textId="77777777" w:rsidR="001D1C68" w:rsidRDefault="001D1C68" w:rsidP="007D76F7">
      <w:pPr>
        <w:pStyle w:val="FootnoteText"/>
      </w:pPr>
      <w:r>
        <w:rPr>
          <w:rStyle w:val="FootnoteReference"/>
        </w:rPr>
        <w:footnoteRef/>
      </w:r>
      <w:r>
        <w:t xml:space="preserve"> Urban Institute (2001). </w:t>
      </w:r>
      <w:r>
        <w:rPr>
          <w:i/>
          <w:iCs/>
        </w:rPr>
        <w:t>Models for Increasing Child Care Worker Compensation.</w:t>
      </w:r>
      <w:r>
        <w:t xml:space="preserve"> </w:t>
      </w:r>
      <w:hyperlink r:id="rId98" w:history="1">
        <w:r>
          <w:rPr>
            <w:rStyle w:val="Hyperlink"/>
          </w:rPr>
          <w:t>[LINK]</w:t>
        </w:r>
      </w:hyperlink>
    </w:p>
  </w:footnote>
  <w:footnote w:id="124">
    <w:p w14:paraId="17DB45C7" w14:textId="77777777" w:rsidR="001D1C68" w:rsidRDefault="001D1C68" w:rsidP="007D76F7">
      <w:pPr>
        <w:pStyle w:val="FootnoteText"/>
      </w:pPr>
      <w:r>
        <w:rPr>
          <w:rStyle w:val="FootnoteReference"/>
        </w:rPr>
        <w:footnoteRef/>
      </w:r>
      <w:r>
        <w:t xml:space="preserve"> Ibid. </w:t>
      </w:r>
    </w:p>
  </w:footnote>
  <w:footnote w:id="125">
    <w:p w14:paraId="616675E2" w14:textId="77777777" w:rsidR="001D1C68" w:rsidRDefault="001D1C68" w:rsidP="007D76F7">
      <w:pPr>
        <w:pStyle w:val="FootnoteText"/>
      </w:pPr>
      <w:r>
        <w:rPr>
          <w:rStyle w:val="FootnoteReference"/>
        </w:rPr>
        <w:footnoteRef/>
      </w:r>
      <w:r>
        <w:t xml:space="preserve"> CFSTF report</w:t>
      </w:r>
    </w:p>
  </w:footnote>
  <w:footnote w:id="126">
    <w:p w14:paraId="3251690C" w14:textId="719BEFBA" w:rsidR="001D1C68" w:rsidRDefault="001D1C68" w:rsidP="007D76F7">
      <w:pPr>
        <w:pStyle w:val="FootnoteText"/>
      </w:pPr>
      <w:r>
        <w:rPr>
          <w:rStyle w:val="FootnoteReference"/>
        </w:rPr>
        <w:footnoteRef/>
      </w:r>
      <w:r>
        <w:t xml:space="preserve"> Heckman, J. (2021). </w:t>
      </w:r>
      <w:hyperlink r:id="rId99" w:history="1">
        <w:r>
          <w:rPr>
            <w:rStyle w:val="Hyperlink"/>
          </w:rPr>
          <w:t>[LINK]</w:t>
        </w:r>
      </w:hyperlink>
    </w:p>
  </w:footnote>
  <w:footnote w:id="127">
    <w:p w14:paraId="63E66A7B" w14:textId="4A935185" w:rsidR="001D1C68" w:rsidRDefault="001D1C68" w:rsidP="007D76F7">
      <w:pPr>
        <w:pStyle w:val="FootnoteText"/>
      </w:pPr>
      <w:r>
        <w:rPr>
          <w:rStyle w:val="FootnoteReference"/>
        </w:rPr>
        <w:footnoteRef/>
      </w:r>
      <w:r>
        <w:t xml:space="preserve"> Nurse Family Partnership </w:t>
      </w:r>
      <w:hyperlink r:id="rId100" w:history="1">
        <w:r>
          <w:rPr>
            <w:rStyle w:val="Hyperlink"/>
          </w:rPr>
          <w:t>LINK</w:t>
        </w:r>
      </w:hyperlink>
    </w:p>
  </w:footnote>
  <w:footnote w:id="128">
    <w:p w14:paraId="1A5D4A2F" w14:textId="77777777" w:rsidR="001D1C68" w:rsidRDefault="001D1C68" w:rsidP="007D76F7">
      <w:pPr>
        <w:pStyle w:val="FootnoteText"/>
      </w:pPr>
      <w:r>
        <w:rPr>
          <w:rStyle w:val="FootnoteReference"/>
        </w:rPr>
        <w:footnoteRef/>
      </w:r>
      <w:r>
        <w:t xml:space="preserve"> Parent-Child Health programs include the Special Supplemental Program for Women, Infants, and Children (WIC), Maternity Support Services (MSS), and Infant Case Management (ICM).</w:t>
      </w:r>
    </w:p>
  </w:footnote>
  <w:footnote w:id="129">
    <w:p w14:paraId="639DF68C" w14:textId="77777777" w:rsidR="001D1C68" w:rsidRPr="00A1347D" w:rsidRDefault="001D1C68" w:rsidP="007D76F7">
      <w:pPr>
        <w:pStyle w:val="FootnoteText"/>
      </w:pPr>
      <w:r>
        <w:rPr>
          <w:rStyle w:val="FootnoteReference"/>
        </w:rPr>
        <w:footnoteRef/>
      </w:r>
      <w:r>
        <w:t xml:space="preserve"> </w:t>
      </w:r>
      <w:r w:rsidRPr="00A1347D">
        <w:t xml:space="preserve">Kendrick, D., et al. “Does Home Visiting Improve Parenting and the Quality of the Home Environment?” </w:t>
      </w:r>
      <w:r w:rsidRPr="00A1347D">
        <w:rPr>
          <w:rStyle w:val="Emphasis"/>
          <w:szCs w:val="20"/>
        </w:rPr>
        <w:t>Archives of Disease in Childhood</w:t>
      </w:r>
      <w:r w:rsidRPr="00A1347D">
        <w:t>, (2000) pp. 82, 443–451.</w:t>
      </w:r>
    </w:p>
  </w:footnote>
  <w:footnote w:id="130">
    <w:p w14:paraId="3E08461B" w14:textId="1AA0413C" w:rsidR="001D1C68" w:rsidRPr="002D2962" w:rsidRDefault="001D1C68" w:rsidP="00AB7B07">
      <w:pPr>
        <w:rPr>
          <w:rFonts w:eastAsia="Calibri" w:cs="Calibri"/>
          <w:sz w:val="20"/>
          <w:szCs w:val="20"/>
        </w:rPr>
      </w:pPr>
      <w:r w:rsidRPr="00A1347D">
        <w:rPr>
          <w:rStyle w:val="FootnoteReference"/>
          <w:rFonts w:eastAsia="Calibri" w:cs="Times New Roman"/>
          <w:sz w:val="20"/>
          <w:szCs w:val="20"/>
        </w:rPr>
        <w:footnoteRef/>
      </w:r>
      <w:r w:rsidRPr="00A1347D">
        <w:rPr>
          <w:rFonts w:eastAsia="Calibri" w:cs="Times New Roman"/>
          <w:sz w:val="20"/>
          <w:szCs w:val="20"/>
        </w:rPr>
        <w:t xml:space="preserve"> Programs include </w:t>
      </w:r>
      <w:r w:rsidRPr="002D2962">
        <w:rPr>
          <w:rFonts w:eastAsia="Calibri" w:cs="Calibri"/>
          <w:sz w:val="20"/>
          <w:szCs w:val="20"/>
        </w:rPr>
        <w:t>Child-Parent Psychotherapy, Early Head Start Home-Based, ParentChild+,</w:t>
      </w:r>
      <w:r w:rsidRPr="002D2962">
        <w:rPr>
          <w:sz w:val="20"/>
          <w:szCs w:val="20"/>
        </w:rPr>
        <w:t xml:space="preserve"> </w:t>
      </w:r>
      <w:r w:rsidRPr="002D2962">
        <w:rPr>
          <w:rFonts w:eastAsia="Calibri" w:cs="Calibri"/>
          <w:sz w:val="20"/>
          <w:szCs w:val="20"/>
        </w:rPr>
        <w:t>Parents as Teachers/Ina Maka, Community-Based Outreach Doulas</w:t>
      </w:r>
      <w:r>
        <w:rPr>
          <w:rFonts w:eastAsia="Calibri" w:cs="Calibri"/>
          <w:sz w:val="20"/>
          <w:szCs w:val="20"/>
        </w:rPr>
        <w:t>. These</w:t>
      </w:r>
      <w:r w:rsidRPr="002D2962">
        <w:rPr>
          <w:rFonts w:eastAsia="Calibri" w:cs="Calibri"/>
          <w:sz w:val="20"/>
          <w:szCs w:val="20"/>
        </w:rPr>
        <w:t xml:space="preserve"> programs </w:t>
      </w:r>
      <w:r>
        <w:rPr>
          <w:rFonts w:eastAsia="Calibri" w:cs="Calibri"/>
          <w:sz w:val="20"/>
          <w:szCs w:val="20"/>
        </w:rPr>
        <w:t>are</w:t>
      </w:r>
      <w:r w:rsidRPr="002D2962">
        <w:rPr>
          <w:rFonts w:eastAsia="Calibri" w:cs="Calibri"/>
          <w:sz w:val="20"/>
          <w:szCs w:val="20"/>
        </w:rPr>
        <w:t xml:space="preserve"> designed for, and implemented in, specific cultural communit</w:t>
      </w:r>
      <w:r>
        <w:rPr>
          <w:rFonts w:eastAsia="Calibri" w:cs="Calibri"/>
          <w:sz w:val="20"/>
          <w:szCs w:val="20"/>
        </w:rPr>
        <w:t>ies</w:t>
      </w:r>
      <w:r w:rsidRPr="002D2962">
        <w:rPr>
          <w:rFonts w:eastAsia="Calibri" w:cs="Calibri"/>
          <w:sz w:val="20"/>
          <w:szCs w:val="20"/>
        </w:rPr>
        <w:t>.</w:t>
      </w:r>
    </w:p>
  </w:footnote>
  <w:footnote w:id="131">
    <w:p w14:paraId="0A8E6A3A" w14:textId="275E3D63" w:rsidR="001D1C68" w:rsidRPr="002D2962" w:rsidRDefault="001D1C68" w:rsidP="007D76F7">
      <w:pPr>
        <w:pStyle w:val="FootnoteText"/>
      </w:pPr>
      <w:r w:rsidRPr="002D2962">
        <w:rPr>
          <w:rStyle w:val="FootnoteReference"/>
          <w:szCs w:val="20"/>
        </w:rPr>
        <w:footnoteRef/>
      </w:r>
      <w:r w:rsidRPr="002D2962">
        <w:t xml:space="preserve"> </w:t>
      </w:r>
      <w:r w:rsidRPr="00195598">
        <w:t>ParentChild</w:t>
      </w:r>
      <w:r>
        <w:t>+.</w:t>
      </w:r>
      <w:hyperlink r:id="rId101" w:history="1">
        <w:r>
          <w:rPr>
            <w:rStyle w:val="Hyperlink"/>
          </w:rPr>
          <w:t>[LINK]</w:t>
        </w:r>
      </w:hyperlink>
    </w:p>
  </w:footnote>
  <w:footnote w:id="132">
    <w:p w14:paraId="7B7CA418" w14:textId="77777777" w:rsidR="001D1C68" w:rsidRPr="002D2962" w:rsidRDefault="001D1C68" w:rsidP="007D76F7">
      <w:pPr>
        <w:pStyle w:val="FootnoteText"/>
      </w:pPr>
      <w:r w:rsidRPr="002D2962">
        <w:rPr>
          <w:rStyle w:val="FootnoteReference"/>
          <w:szCs w:val="20"/>
        </w:rPr>
        <w:footnoteRef/>
      </w:r>
      <w:r w:rsidRPr="002D2962">
        <w:t xml:space="preserve"> The organizations that provide capacity-building support include: Emerging Design, Rainier Valley Corps, The Capacity Collective, NIRN, DSK CRES, YWCA.</w:t>
      </w:r>
    </w:p>
  </w:footnote>
  <w:footnote w:id="133">
    <w:p w14:paraId="72CAF94C" w14:textId="2D2CDC69" w:rsidR="001D1C68" w:rsidRDefault="001D1C68" w:rsidP="007D76F7">
      <w:pPr>
        <w:pStyle w:val="FootnoteText"/>
      </w:pPr>
      <w:r>
        <w:rPr>
          <w:rStyle w:val="FootnoteReference"/>
        </w:rPr>
        <w:footnoteRef/>
      </w:r>
      <w:r>
        <w:t xml:space="preserve"> The organizations that provide technical assistance include Early Start, United Way of King County, and Open Arms.</w:t>
      </w:r>
    </w:p>
  </w:footnote>
  <w:footnote w:id="134">
    <w:p w14:paraId="43B31269" w14:textId="1212546D" w:rsidR="001D1C68" w:rsidRPr="00897AB1" w:rsidRDefault="001D1C68" w:rsidP="00897AB1">
      <w:pPr>
        <w:rPr>
          <w:rFonts w:cs="Times New Roman"/>
          <w:sz w:val="20"/>
          <w:szCs w:val="18"/>
        </w:rPr>
      </w:pPr>
      <w:r>
        <w:rPr>
          <w:rStyle w:val="FootnoteReference"/>
        </w:rPr>
        <w:footnoteRef/>
      </w:r>
      <w:r>
        <w:rPr>
          <w:rFonts w:cs="Times New Roman"/>
          <w:sz w:val="20"/>
          <w:szCs w:val="18"/>
        </w:rPr>
        <w:t xml:space="preserve">Approximate scope of </w:t>
      </w:r>
      <w:r w:rsidRPr="00897AB1">
        <w:rPr>
          <w:rFonts w:cs="Times New Roman"/>
          <w:sz w:val="20"/>
          <w:szCs w:val="18"/>
        </w:rPr>
        <w:t xml:space="preserve">1,700 families includes </w:t>
      </w:r>
      <w:r>
        <w:rPr>
          <w:rFonts w:cs="Times New Roman"/>
          <w:sz w:val="20"/>
          <w:szCs w:val="18"/>
        </w:rPr>
        <w:t xml:space="preserve">those served via </w:t>
      </w:r>
      <w:r w:rsidRPr="00897AB1">
        <w:rPr>
          <w:rFonts w:cs="Times New Roman"/>
          <w:sz w:val="20"/>
          <w:szCs w:val="18"/>
        </w:rPr>
        <w:t xml:space="preserve">braided funding </w:t>
      </w:r>
      <w:r>
        <w:rPr>
          <w:rFonts w:cs="Times New Roman"/>
          <w:sz w:val="20"/>
          <w:szCs w:val="18"/>
        </w:rPr>
        <w:t xml:space="preserve">for ParentChild+ </w:t>
      </w:r>
      <w:r w:rsidRPr="00897AB1">
        <w:rPr>
          <w:rFonts w:cs="Times New Roman"/>
          <w:sz w:val="20"/>
          <w:szCs w:val="18"/>
        </w:rPr>
        <w:t>with UWKC and City of Seattle</w:t>
      </w:r>
      <w:r>
        <w:rPr>
          <w:rFonts w:cs="Times New Roman"/>
          <w:sz w:val="20"/>
          <w:szCs w:val="18"/>
        </w:rPr>
        <w:t xml:space="preserve">. </w:t>
      </w:r>
    </w:p>
    <w:p w14:paraId="06BFA5E5" w14:textId="47D62D2C" w:rsidR="001D1C68" w:rsidRDefault="001D1C68" w:rsidP="007D76F7">
      <w:pPr>
        <w:pStyle w:val="FootnoteText"/>
      </w:pPr>
    </w:p>
  </w:footnote>
  <w:footnote w:id="135">
    <w:p w14:paraId="03E6745D" w14:textId="2726C09B" w:rsidR="001D1C68" w:rsidRDefault="001D1C68" w:rsidP="007D76F7">
      <w:pPr>
        <w:pStyle w:val="FootnoteText"/>
      </w:pPr>
      <w:r>
        <w:rPr>
          <w:rStyle w:val="FootnoteReference"/>
        </w:rPr>
        <w:footnoteRef/>
      </w:r>
      <w:r>
        <w:t xml:space="preserve"> Child Care Resources: Kaleidoscope Play and Learn. [</w:t>
      </w:r>
      <w:hyperlink r:id="rId102" w:history="1">
        <w:r>
          <w:rPr>
            <w:rStyle w:val="Hyperlink"/>
          </w:rPr>
          <w:t>LINK</w:t>
        </w:r>
      </w:hyperlink>
      <w:r>
        <w:rPr>
          <w:rStyle w:val="Hyperlink"/>
        </w:rPr>
        <w:t>]</w:t>
      </w:r>
    </w:p>
  </w:footnote>
  <w:footnote w:id="136">
    <w:p w14:paraId="02743693" w14:textId="59716CAF" w:rsidR="001D1C68" w:rsidRPr="00FA4769" w:rsidRDefault="001D1C68" w:rsidP="007D76F7">
      <w:pPr>
        <w:pStyle w:val="FootnoteText"/>
        <w:rPr>
          <w:lang w:val="en"/>
        </w:rPr>
      </w:pPr>
      <w:r>
        <w:rPr>
          <w:rStyle w:val="FootnoteReference"/>
        </w:rPr>
        <w:footnoteRef/>
      </w:r>
      <w:r>
        <w:t xml:space="preserve"> </w:t>
      </w:r>
      <w:r w:rsidRPr="00FA4769">
        <w:rPr>
          <w:lang w:val="en"/>
        </w:rPr>
        <w:t>Community-based peer supports </w:t>
      </w:r>
      <w:r>
        <w:rPr>
          <w:lang w:val="en"/>
        </w:rPr>
        <w:t>aim to</w:t>
      </w:r>
      <w:r w:rsidRPr="00FA4769">
        <w:rPr>
          <w:lang w:val="en"/>
        </w:rPr>
        <w:t xml:space="preserve"> reduce risk factors such as parental distress and isolation and increase protective factors such as parental resilience, social supports, nurturing attachments between caregiver and child, and knowledge of parenting and child development</w:t>
      </w:r>
      <w:r>
        <w:rPr>
          <w:lang w:val="en"/>
        </w:rPr>
        <w:t>.</w:t>
      </w:r>
    </w:p>
  </w:footnote>
  <w:footnote w:id="137">
    <w:p w14:paraId="3F5E6504" w14:textId="21DAD546" w:rsidR="001D1C68" w:rsidRDefault="001D1C68" w:rsidP="007D76F7">
      <w:pPr>
        <w:pStyle w:val="FootnoteText"/>
      </w:pPr>
      <w:r>
        <w:rPr>
          <w:rStyle w:val="FootnoteReference"/>
        </w:rPr>
        <w:footnoteRef/>
      </w:r>
      <w:r>
        <w:t xml:space="preserve"> Model-specific technical assistance will likely include Kaleidoscope Play and Learn and Supportive Pregnancy and may be adjusted based on funded programs.</w:t>
      </w:r>
    </w:p>
  </w:footnote>
  <w:footnote w:id="138">
    <w:p w14:paraId="2F66DCD5" w14:textId="1E5E0625" w:rsidR="001D1C68" w:rsidRPr="001827BC" w:rsidRDefault="001D1C68" w:rsidP="007D76F7">
      <w:pPr>
        <w:pStyle w:val="FootnoteText"/>
        <w:rPr>
          <w:highlight w:val="yellow"/>
        </w:rPr>
      </w:pPr>
      <w:r>
        <w:rPr>
          <w:rStyle w:val="FootnoteReference"/>
        </w:rPr>
        <w:footnoteRef/>
      </w:r>
      <w:r>
        <w:t xml:space="preserve"> The King County Council Ordinance 18373. [</w:t>
      </w:r>
      <w:hyperlink r:id="rId103" w:history="1">
        <w:r w:rsidRPr="00B215CD">
          <w:rPr>
            <w:rStyle w:val="Hyperlink"/>
          </w:rPr>
          <w:t>LINK</w:t>
        </w:r>
      </w:hyperlink>
      <w:r>
        <w:t>]</w:t>
      </w:r>
    </w:p>
  </w:footnote>
  <w:footnote w:id="139">
    <w:p w14:paraId="426D0C85" w14:textId="67D02D0B" w:rsidR="001D1C68" w:rsidRPr="00906C47" w:rsidRDefault="001D1C68" w:rsidP="00FB35CC">
      <w:pPr>
        <w:rPr>
          <w:sz w:val="20"/>
          <w:szCs w:val="20"/>
        </w:rPr>
      </w:pPr>
      <w:r w:rsidRPr="00906C47">
        <w:rPr>
          <w:rStyle w:val="FootnoteReference"/>
          <w:sz w:val="20"/>
          <w:szCs w:val="20"/>
        </w:rPr>
        <w:footnoteRef/>
      </w:r>
      <w:r w:rsidRPr="00906C47">
        <w:rPr>
          <w:sz w:val="20"/>
          <w:szCs w:val="20"/>
        </w:rPr>
        <w:t xml:space="preserve"> Individuals with Disabilities Education Act (IDEA), Part C. </w:t>
      </w:r>
      <w:bookmarkStart w:id="55" w:name="_Hlk74257672"/>
      <w:r w:rsidRPr="00906C47">
        <w:rPr>
          <w:sz w:val="20"/>
          <w:szCs w:val="20"/>
        </w:rPr>
        <w:t>[</w:t>
      </w:r>
      <w:hyperlink r:id="rId104" w:history="1">
        <w:r w:rsidRPr="00906C47">
          <w:rPr>
            <w:rStyle w:val="Hyperlink"/>
            <w:sz w:val="20"/>
            <w:szCs w:val="20"/>
          </w:rPr>
          <w:t>LINK</w:t>
        </w:r>
      </w:hyperlink>
      <w:r w:rsidRPr="00906C47">
        <w:rPr>
          <w:sz w:val="20"/>
          <w:szCs w:val="20"/>
        </w:rPr>
        <w:t>]</w:t>
      </w:r>
    </w:p>
    <w:bookmarkEnd w:id="55"/>
  </w:footnote>
  <w:footnote w:id="140">
    <w:p w14:paraId="7333A9A6" w14:textId="77777777" w:rsidR="001D1C68" w:rsidRPr="00141B40" w:rsidRDefault="001D1C68" w:rsidP="007D76F7">
      <w:pPr>
        <w:pStyle w:val="FootnoteText"/>
      </w:pPr>
      <w:r w:rsidRPr="005C6FE6">
        <w:rPr>
          <w:rStyle w:val="FootnoteReference"/>
        </w:rPr>
        <w:footnoteRef/>
      </w:r>
      <w:r w:rsidRPr="005C6FE6">
        <w:t xml:space="preserve"> Data Source:  Washington State Department of Children, Youth and Families, Early Support for Infants and </w:t>
      </w:r>
      <w:r w:rsidRPr="00141B40">
        <w:t xml:space="preserve">Toddlers Data Management System Reports. </w:t>
      </w:r>
    </w:p>
  </w:footnote>
  <w:footnote w:id="141">
    <w:p w14:paraId="20002B22" w14:textId="41E784F9" w:rsidR="001D1C68" w:rsidRPr="00141B40" w:rsidRDefault="001D1C68" w:rsidP="00E03A27">
      <w:pPr>
        <w:rPr>
          <w:sz w:val="20"/>
          <w:szCs w:val="20"/>
        </w:rPr>
      </w:pPr>
      <w:r w:rsidRPr="00141B40">
        <w:rPr>
          <w:rStyle w:val="FootnoteReference"/>
          <w:sz w:val="20"/>
          <w:szCs w:val="20"/>
        </w:rPr>
        <w:footnoteRef/>
      </w:r>
      <w:r w:rsidRPr="00141B40">
        <w:rPr>
          <w:sz w:val="20"/>
          <w:szCs w:val="20"/>
        </w:rPr>
        <w:t xml:space="preserve"> Based on several considerations including, the growth rate during </w:t>
      </w:r>
      <w:r w:rsidRPr="00141B40">
        <w:rPr>
          <w:rFonts w:eastAsia="Times New Roman" w:cs="Calibri"/>
          <w:i/>
          <w:iCs/>
          <w:color w:val="1D1D1D"/>
          <w:sz w:val="20"/>
          <w:szCs w:val="20"/>
        </w:rPr>
        <w:t>the Best Start</w:t>
      </w:r>
      <w:r>
        <w:rPr>
          <w:rFonts w:eastAsia="Times New Roman" w:cs="Calibri"/>
          <w:i/>
          <w:iCs/>
          <w:color w:val="1D1D1D"/>
          <w:sz w:val="20"/>
          <w:szCs w:val="20"/>
        </w:rPr>
        <w:t>s</w:t>
      </w:r>
      <w:r w:rsidRPr="00141B40">
        <w:rPr>
          <w:rFonts w:eastAsia="Times New Roman" w:cs="Calibri"/>
          <w:i/>
          <w:iCs/>
          <w:color w:val="1D1D1D"/>
          <w:sz w:val="20"/>
          <w:szCs w:val="20"/>
        </w:rPr>
        <w:t xml:space="preserve"> for Kids 2016-2027 levy</w:t>
      </w:r>
      <w:r w:rsidRPr="00141B40">
        <w:rPr>
          <w:sz w:val="20"/>
          <w:szCs w:val="20"/>
        </w:rPr>
        <w:t>, the decrease due to COVID, and the federal requirements that all children who are referred and found eligible must be provided services. </w:t>
      </w:r>
    </w:p>
  </w:footnote>
  <w:footnote w:id="142">
    <w:p w14:paraId="27E0A27E" w14:textId="11AF2345" w:rsidR="001D1C68" w:rsidRDefault="001D1C68" w:rsidP="007D76F7">
      <w:pPr>
        <w:pStyle w:val="FootnoteText"/>
      </w:pPr>
      <w:r w:rsidRPr="00141B40">
        <w:rPr>
          <w:rStyle w:val="FootnoteReference"/>
        </w:rPr>
        <w:footnoteRef/>
      </w:r>
      <w:r w:rsidRPr="00141B40">
        <w:t xml:space="preserve"> Request for Proposal or Request for Application or Request for Qualifications</w:t>
      </w:r>
      <w:r w:rsidRPr="00141B40" w:rsidDel="00791013">
        <w:t xml:space="preserve">. </w:t>
      </w:r>
      <w:r w:rsidRPr="00141B40">
        <w:t>RFPs, RFAs, RFQs are solicitation</w:t>
      </w:r>
      <w:r>
        <w:t xml:space="preserve"> notifications to apply for funding.</w:t>
      </w:r>
    </w:p>
  </w:footnote>
  <w:footnote w:id="143">
    <w:p w14:paraId="5C794EF3" w14:textId="41C53F33" w:rsidR="001D1C68" w:rsidRDefault="001D1C68" w:rsidP="007D76F7">
      <w:pPr>
        <w:pStyle w:val="FootnoteText"/>
      </w:pPr>
      <w:r>
        <w:rPr>
          <w:rStyle w:val="FootnoteReference"/>
        </w:rPr>
        <w:footnoteRef/>
      </w:r>
      <w:r>
        <w:t xml:space="preserve"> Universal Developmental Screening Analysis [</w:t>
      </w:r>
      <w:hyperlink r:id="rId105" w:history="1">
        <w:r>
          <w:rPr>
            <w:rStyle w:val="Hyperlink"/>
            <w:rFonts w:eastAsia="Times New Roman"/>
          </w:rPr>
          <w:t>LINK</w:t>
        </w:r>
      </w:hyperlink>
      <w:r>
        <w:t>]</w:t>
      </w:r>
    </w:p>
  </w:footnote>
  <w:footnote w:id="144">
    <w:p w14:paraId="2D073701" w14:textId="42F17695" w:rsidR="001D1C68" w:rsidRPr="00222A91" w:rsidRDefault="001D1C68" w:rsidP="007D76F7">
      <w:pPr>
        <w:pStyle w:val="FootnoteText"/>
      </w:pPr>
      <w:r>
        <w:rPr>
          <w:rStyle w:val="FootnoteReference"/>
        </w:rPr>
        <w:footnoteRef/>
      </w:r>
      <w:r>
        <w:t xml:space="preserve"> </w:t>
      </w:r>
      <w:r>
        <w:rPr>
          <w:i/>
          <w:iCs/>
        </w:rPr>
        <w:t xml:space="preserve">Best Starts for Kids </w:t>
      </w:r>
      <w:r>
        <w:t>Child Care Health Consultation Evaluation by Cardea.[</w:t>
      </w:r>
      <w:hyperlink r:id="rId106" w:history="1">
        <w:r w:rsidRPr="00222A91">
          <w:rPr>
            <w:rStyle w:val="Hyperlink"/>
          </w:rPr>
          <w:t>LINK</w:t>
        </w:r>
      </w:hyperlink>
      <w:r>
        <w:t>]</w:t>
      </w:r>
    </w:p>
  </w:footnote>
  <w:footnote w:id="145">
    <w:p w14:paraId="2980CC25" w14:textId="77777777" w:rsidR="001D1C68" w:rsidRDefault="001D1C68" w:rsidP="007D76F7">
      <w:pPr>
        <w:pStyle w:val="FootnoteText"/>
      </w:pPr>
      <w:r>
        <w:rPr>
          <w:rStyle w:val="FootnoteReference"/>
        </w:rPr>
        <w:footnoteRef/>
      </w:r>
      <w:r>
        <w:t xml:space="preserve"> </w:t>
      </w:r>
      <w:r w:rsidRPr="00354EFE">
        <w:rPr>
          <w:i/>
        </w:rPr>
        <w:t>Best Starts</w:t>
      </w:r>
      <w:r>
        <w:t xml:space="preserve">-funded </w:t>
      </w:r>
      <w:r w:rsidRPr="00D03F1F">
        <w:t xml:space="preserve">CCHC </w:t>
      </w:r>
      <w:r>
        <w:t>programs are</w:t>
      </w:r>
      <w:r w:rsidRPr="00D03F1F">
        <w:t xml:space="preserve"> customized to Black/African American, Chinese, Eritrean, Ethiopian-Oromo, and Somali communities, and services are available in nine languages and/or dialects.</w:t>
      </w:r>
    </w:p>
  </w:footnote>
  <w:footnote w:id="146">
    <w:p w14:paraId="4B5CDAF8" w14:textId="77777777" w:rsidR="001D1C68" w:rsidRDefault="001D1C68" w:rsidP="007D76F7">
      <w:pPr>
        <w:pStyle w:val="FootnoteText"/>
      </w:pPr>
      <w:r>
        <w:rPr>
          <w:rStyle w:val="FootnoteReference"/>
        </w:rPr>
        <w:footnoteRef/>
      </w:r>
      <w:r>
        <w:t xml:space="preserve"> PHSKC program model consists of a multi-disciplinary team of Public Health Nurses</w:t>
      </w:r>
      <w:r w:rsidRPr="003D10A1">
        <w:t xml:space="preserve">, Mental Health Consultants, Registered Dietitian (Nutritionist), and Community Health Professionals </w:t>
      </w:r>
      <w:r>
        <w:t xml:space="preserve">who </w:t>
      </w:r>
      <w:r w:rsidRPr="003D10A1">
        <w:t>consult with the teachers, directors, cooks, and other E</w:t>
      </w:r>
      <w:r>
        <w:t xml:space="preserve">arly </w:t>
      </w:r>
      <w:r w:rsidRPr="003D10A1">
        <w:t>L</w:t>
      </w:r>
      <w:r>
        <w:t xml:space="preserve">earning </w:t>
      </w:r>
      <w:r w:rsidRPr="003D10A1">
        <w:t>P</w:t>
      </w:r>
      <w:r>
        <w:t>rogram</w:t>
      </w:r>
      <w:r w:rsidRPr="003D10A1">
        <w:t xml:space="preserve"> staff on matters of child health, behavior, and safety.</w:t>
      </w:r>
    </w:p>
  </w:footnote>
  <w:footnote w:id="147">
    <w:p w14:paraId="0BF67F0A" w14:textId="28625895" w:rsidR="001D1C68" w:rsidRDefault="001D1C68" w:rsidP="007D76F7">
      <w:pPr>
        <w:pStyle w:val="FootnoteText"/>
      </w:pPr>
      <w:r>
        <w:rPr>
          <w:rStyle w:val="FootnoteReference"/>
        </w:rPr>
        <w:footnoteRef/>
      </w:r>
      <w:r>
        <w:t xml:space="preserve"> Community-informed pilot programs are innovative solutions designed by communities to bring CCHC services to child care providers in their specific cultural, language, or geographic community and meet their unique needs. Some programs are developed with a specific focus on serving FFN and informal care providers.</w:t>
      </w:r>
    </w:p>
  </w:footnote>
  <w:footnote w:id="148">
    <w:p w14:paraId="1478BC9D" w14:textId="15E24413" w:rsidR="001D1C68" w:rsidRDefault="001D1C68" w:rsidP="007D76F7">
      <w:pPr>
        <w:pStyle w:val="FootnoteText"/>
      </w:pPr>
      <w:r>
        <w:rPr>
          <w:rStyle w:val="FootnoteReference"/>
        </w:rPr>
        <w:footnoteRef/>
      </w:r>
      <w:r>
        <w:t xml:space="preserve"> </w:t>
      </w:r>
      <w:r w:rsidRPr="00793186">
        <w:t xml:space="preserve">Reflective supervision/consultation is a practice emerging from the multidisciplinary field of infant mental health, which acknowledges that very young children have unique developmental and relational needs and that all early learning occurs in the context of relationships. </w:t>
      </w:r>
    </w:p>
  </w:footnote>
  <w:footnote w:id="149">
    <w:p w14:paraId="426F2249" w14:textId="1581EBEE" w:rsidR="001D1C68" w:rsidRDefault="001D1C68" w:rsidP="007D76F7">
      <w:pPr>
        <w:pStyle w:val="FootnoteText"/>
      </w:pPr>
      <w:r>
        <w:rPr>
          <w:rStyle w:val="FootnoteReference"/>
        </w:rPr>
        <w:footnoteRef/>
      </w:r>
      <w:r>
        <w:t xml:space="preserve"> </w:t>
      </w:r>
      <w:r w:rsidRPr="00064B6D">
        <w:rPr>
          <w:rFonts w:eastAsia="Calibri" w:cs="Calibri"/>
          <w:color w:val="1D1D1D"/>
        </w:rPr>
        <w:t xml:space="preserve">America’s Babies: Making Their Potential Our Priority </w:t>
      </w:r>
      <w:r>
        <w:rPr>
          <w:rFonts w:eastAsia="Calibri" w:cs="Calibri"/>
          <w:color w:val="1D1D1D"/>
        </w:rPr>
        <w:t>Report [</w:t>
      </w:r>
      <w:hyperlink r:id="rId107" w:history="1">
        <w:r w:rsidRPr="001E7D63">
          <w:rPr>
            <w:rStyle w:val="Hyperlink"/>
            <w:rFonts w:eastAsia="Calibri" w:cs="Calibri"/>
          </w:rPr>
          <w:t>LINK</w:t>
        </w:r>
      </w:hyperlink>
      <w:r>
        <w:rPr>
          <w:rFonts w:eastAsia="Calibri" w:cs="Calibri"/>
          <w:color w:val="1D1D1D"/>
        </w:rPr>
        <w:t xml:space="preserve">] </w:t>
      </w:r>
    </w:p>
  </w:footnote>
  <w:footnote w:id="150">
    <w:p w14:paraId="3C833585" w14:textId="1EACC008" w:rsidR="001D1C68" w:rsidRDefault="001D1C68" w:rsidP="007D76F7">
      <w:pPr>
        <w:pStyle w:val="FootnoteText"/>
      </w:pPr>
      <w:r>
        <w:rPr>
          <w:rStyle w:val="FootnoteReference"/>
        </w:rPr>
        <w:footnoteRef/>
      </w:r>
      <w:r>
        <w:t xml:space="preserve"> </w:t>
      </w:r>
      <w:r w:rsidRPr="009D5C1F">
        <w:t>The potential impact of the COVID-19 pandemic on child growth and development: a systematic review</w:t>
      </w:r>
      <w:r>
        <w:t>. [</w:t>
      </w:r>
      <w:hyperlink r:id="rId108" w:history="1">
        <w:r w:rsidRPr="00DD208F">
          <w:rPr>
            <w:rStyle w:val="Hyperlink"/>
          </w:rPr>
          <w:t>LINK</w:t>
        </w:r>
      </w:hyperlink>
      <w:r>
        <w:t>]</w:t>
      </w:r>
    </w:p>
  </w:footnote>
  <w:footnote w:id="151">
    <w:p w14:paraId="0B0D0234" w14:textId="0261D16B" w:rsidR="001D1C68" w:rsidRDefault="001D1C68" w:rsidP="007D76F7">
      <w:pPr>
        <w:pStyle w:val="FootnoteText"/>
      </w:pPr>
      <w:r>
        <w:rPr>
          <w:rStyle w:val="FootnoteReference"/>
        </w:rPr>
        <w:footnoteRef/>
      </w:r>
      <w:r>
        <w:t xml:space="preserve"> Work group hosted by King County and includes experts in Infant Mental Health and local providers. </w:t>
      </w:r>
    </w:p>
  </w:footnote>
  <w:footnote w:id="152">
    <w:p w14:paraId="4AEF2ACE" w14:textId="77777777" w:rsidR="001D1C68" w:rsidRDefault="001D1C68" w:rsidP="007D76F7">
      <w:pPr>
        <w:pStyle w:val="FootnoteText"/>
      </w:pPr>
      <w:r>
        <w:rPr>
          <w:rStyle w:val="FootnoteReference"/>
        </w:rPr>
        <w:footnoteRef/>
      </w:r>
      <w:r>
        <w:t xml:space="preserve"> Early childhood practitioners may </w:t>
      </w:r>
      <w:r w:rsidRPr="00662C58">
        <w:t>includ</w:t>
      </w:r>
      <w:r>
        <w:t>e</w:t>
      </w:r>
      <w:r w:rsidRPr="00662C58">
        <w:t xml:space="preserve"> home visitors, child-care providers, doulas, social workers, mental health providers</w:t>
      </w:r>
      <w:r>
        <w:t>, and others.</w:t>
      </w:r>
    </w:p>
  </w:footnote>
  <w:footnote w:id="153">
    <w:p w14:paraId="60911510" w14:textId="22FCC747" w:rsidR="001D1C68" w:rsidRDefault="001D1C68" w:rsidP="007D76F7">
      <w:pPr>
        <w:pStyle w:val="FootnoteText"/>
      </w:pPr>
      <w:r>
        <w:rPr>
          <w:rStyle w:val="FootnoteReference"/>
        </w:rPr>
        <w:footnoteRef/>
      </w:r>
      <w:r>
        <w:t xml:space="preserve"> </w:t>
      </w:r>
      <w:r w:rsidRPr="00662C58">
        <w:rPr>
          <w:rFonts w:eastAsia="Times New Roman" w:cs="Calibri"/>
          <w:color w:val="1D1D1D"/>
        </w:rPr>
        <w:t>Frontiers of Innovation Equity by Design</w:t>
      </w:r>
      <w:r>
        <w:rPr>
          <w:rFonts w:eastAsia="Times New Roman" w:cs="Calibri"/>
          <w:color w:val="1D1D1D"/>
        </w:rPr>
        <w:t>. [</w:t>
      </w:r>
      <w:hyperlink r:id="rId109" w:history="1">
        <w:r w:rsidRPr="00997C8F">
          <w:rPr>
            <w:rStyle w:val="Hyperlink"/>
            <w:rFonts w:eastAsia="Times New Roman" w:cs="Calibri"/>
          </w:rPr>
          <w:t>LINK</w:t>
        </w:r>
      </w:hyperlink>
      <w:r>
        <w:rPr>
          <w:rFonts w:eastAsia="Times New Roman" w:cs="Calibri"/>
          <w:color w:val="1D1D1D"/>
        </w:rPr>
        <w:t>]</w:t>
      </w:r>
    </w:p>
  </w:footnote>
  <w:footnote w:id="154">
    <w:p w14:paraId="7D88CEE2" w14:textId="44DBF83B" w:rsidR="001D1C68" w:rsidRDefault="001D1C68" w:rsidP="007D76F7">
      <w:pPr>
        <w:pStyle w:val="FootnoteText"/>
      </w:pPr>
      <w:r>
        <w:rPr>
          <w:rStyle w:val="FootnoteReference"/>
        </w:rPr>
        <w:footnoteRef/>
      </w:r>
      <w:r>
        <w:t xml:space="preserve"> </w:t>
      </w:r>
      <w:r w:rsidRPr="00662C58">
        <w:rPr>
          <w:rFonts w:eastAsia="Times New Roman" w:cs="Calibri"/>
          <w:color w:val="1D1D1D"/>
        </w:rPr>
        <w:t>Creative Reactions Lab</w:t>
      </w:r>
      <w:r>
        <w:rPr>
          <w:rFonts w:eastAsia="Times New Roman" w:cs="Calibri"/>
          <w:color w:val="1D1D1D"/>
        </w:rPr>
        <w:t>. [</w:t>
      </w:r>
      <w:hyperlink r:id="rId110" w:history="1">
        <w:r w:rsidRPr="00BB1427">
          <w:rPr>
            <w:rStyle w:val="Hyperlink"/>
            <w:rFonts w:eastAsia="Times New Roman" w:cs="Calibri"/>
          </w:rPr>
          <w:t>LINK</w:t>
        </w:r>
      </w:hyperlink>
      <w:r>
        <w:rPr>
          <w:rFonts w:eastAsia="Times New Roman" w:cs="Calibri"/>
          <w:color w:val="1D1D1D"/>
        </w:rPr>
        <w:t>]</w:t>
      </w:r>
    </w:p>
  </w:footnote>
  <w:footnote w:id="155">
    <w:p w14:paraId="47386D6A" w14:textId="5A6C7CB8" w:rsidR="001D1C68" w:rsidRDefault="001D1C68" w:rsidP="007D76F7">
      <w:pPr>
        <w:pStyle w:val="FootnoteText"/>
      </w:pPr>
      <w:r>
        <w:rPr>
          <w:rStyle w:val="FootnoteReference"/>
        </w:rPr>
        <w:footnoteRef/>
      </w:r>
      <w:r>
        <w:t xml:space="preserve"> </w:t>
      </w:r>
      <w:r>
        <w:rPr>
          <w:rFonts w:eastAsia="Times New Roman" w:cs="Calibri"/>
          <w:color w:val="1D1D1D"/>
        </w:rPr>
        <w:t>T</w:t>
      </w:r>
      <w:r w:rsidRPr="00662C58">
        <w:rPr>
          <w:rFonts w:eastAsia="Times New Roman" w:cs="Calibri"/>
          <w:color w:val="1D1D1D"/>
        </w:rPr>
        <w:t>he National Implementation Research Network</w:t>
      </w:r>
      <w:r>
        <w:rPr>
          <w:rFonts w:eastAsia="Times New Roman" w:cs="Calibri"/>
          <w:color w:val="1D1D1D"/>
        </w:rPr>
        <w:t>. [</w:t>
      </w:r>
      <w:hyperlink r:id="rId111" w:history="1">
        <w:r w:rsidRPr="008E1376">
          <w:rPr>
            <w:rStyle w:val="Hyperlink"/>
            <w:rFonts w:eastAsia="Times New Roman" w:cs="Calibri"/>
          </w:rPr>
          <w:t>LINK</w:t>
        </w:r>
      </w:hyperlink>
      <w:r>
        <w:rPr>
          <w:rFonts w:eastAsia="Times New Roman" w:cs="Calibri"/>
          <w:color w:val="1D1D1D"/>
        </w:rPr>
        <w:t>]</w:t>
      </w:r>
    </w:p>
  </w:footnote>
  <w:footnote w:id="156">
    <w:p w14:paraId="46FFFC5F" w14:textId="4965B09A" w:rsidR="001D1C68" w:rsidRDefault="001D1C68" w:rsidP="007D76F7">
      <w:pPr>
        <w:pStyle w:val="FootnoteText"/>
      </w:pPr>
      <w:r>
        <w:rPr>
          <w:rStyle w:val="FootnoteReference"/>
        </w:rPr>
        <w:footnoteRef/>
      </w:r>
      <w:r w:rsidRPr="00741DB7">
        <w:t>THE HMG SYSTEM MODEL</w:t>
      </w:r>
      <w:r>
        <w:t xml:space="preserve"> </w:t>
      </w:r>
      <w:hyperlink r:id="rId112" w:tgtFrame="_blank" w:history="1">
        <w:r w:rsidRPr="00662C58">
          <w:rPr>
            <w:rFonts w:eastAsia="Times New Roman" w:cs="Calibri"/>
            <w:color w:val="0563C1"/>
            <w:u w:val="single"/>
          </w:rPr>
          <w:t>Help Me Grow</w:t>
        </w:r>
      </w:hyperlink>
      <w:r>
        <w:rPr>
          <w:rFonts w:eastAsia="Times New Roman" w:cs="Calibri"/>
          <w:color w:val="0563C1"/>
          <w:u w:val="single"/>
        </w:rPr>
        <w:t>.</w:t>
      </w:r>
      <w:r w:rsidRPr="00662C58">
        <w:rPr>
          <w:rFonts w:eastAsia="Times New Roman" w:cs="Calibri"/>
        </w:rPr>
        <w:t> </w:t>
      </w:r>
    </w:p>
  </w:footnote>
  <w:footnote w:id="157">
    <w:p w14:paraId="4494715E" w14:textId="77777777" w:rsidR="001D1C68" w:rsidRDefault="001D1C68" w:rsidP="007D76F7">
      <w:pPr>
        <w:pStyle w:val="FootnoteText"/>
      </w:pPr>
      <w:r>
        <w:rPr>
          <w:rStyle w:val="FootnoteReference"/>
        </w:rPr>
        <w:footnoteRef/>
      </w:r>
      <w:r>
        <w:t xml:space="preserve"> </w:t>
      </w:r>
      <w:r w:rsidRPr="00662C58">
        <w:t>WA Department of Children, Youth and Families</w:t>
      </w:r>
      <w:r>
        <w:t xml:space="preserve">, </w:t>
      </w:r>
      <w:r w:rsidRPr="00662C58">
        <w:t>Within Reac</w:t>
      </w:r>
      <w:r>
        <w:t xml:space="preserve">h, </w:t>
      </w:r>
      <w:r w:rsidRPr="00662C58">
        <w:t>and Washington Communities for Children</w:t>
      </w:r>
      <w:r>
        <w:rPr>
          <w:sz w:val="13"/>
          <w:szCs w:val="13"/>
          <w:vertAlign w:val="superscript"/>
        </w:rPr>
        <w:t xml:space="preserve"> </w:t>
      </w:r>
      <w:r w:rsidRPr="00662C58">
        <w:t>work together to form the Help Me Grow Washington (HMG WA)</w:t>
      </w:r>
      <w:r>
        <w:rPr>
          <w:sz w:val="13"/>
          <w:szCs w:val="13"/>
          <w:vertAlign w:val="superscript"/>
        </w:rPr>
        <w:t xml:space="preserve"> </w:t>
      </w:r>
      <w:r w:rsidRPr="00662C58">
        <w:t>leadership team.</w:t>
      </w:r>
    </w:p>
  </w:footnote>
  <w:footnote w:id="158">
    <w:p w14:paraId="0B5521D8" w14:textId="77777777" w:rsidR="001D1C68" w:rsidRDefault="001D1C68" w:rsidP="007D76F7">
      <w:pPr>
        <w:pStyle w:val="FootnoteText"/>
      </w:pPr>
      <w:r>
        <w:rPr>
          <w:rStyle w:val="FootnoteReference"/>
        </w:rPr>
        <w:footnoteRef/>
      </w:r>
      <w:r>
        <w:t xml:space="preserve"> Vroom </w:t>
      </w:r>
      <w:hyperlink r:id="rId113" w:history="1">
        <w:r w:rsidRPr="00053BA1">
          <w:rPr>
            <w:rStyle w:val="Hyperlink"/>
          </w:rPr>
          <w:t>LINK</w:t>
        </w:r>
      </w:hyperlink>
    </w:p>
  </w:footnote>
  <w:footnote w:id="159">
    <w:p w14:paraId="540FC843" w14:textId="09EE7F45" w:rsidR="001D1C68" w:rsidRDefault="001D1C68" w:rsidP="007D76F7">
      <w:pPr>
        <w:pStyle w:val="FootnoteText"/>
      </w:pPr>
      <w:r>
        <w:rPr>
          <w:rStyle w:val="FootnoteReference"/>
        </w:rPr>
        <w:footnoteRef/>
      </w:r>
      <w:r>
        <w:t xml:space="preserve"> Assessment Report Motion 15769. [</w:t>
      </w:r>
      <w:hyperlink r:id="rId114">
        <w:r w:rsidRPr="52A98439">
          <w:rPr>
            <w:rStyle w:val="Hyperlink"/>
          </w:rPr>
          <w:t>LINK</w:t>
        </w:r>
      </w:hyperlink>
      <w:r>
        <w:t>]</w:t>
      </w:r>
    </w:p>
  </w:footnote>
  <w:footnote w:id="160">
    <w:p w14:paraId="10EF53C7" w14:textId="55526017" w:rsidR="001D1C68" w:rsidRDefault="001D1C68" w:rsidP="007D76F7">
      <w:pPr>
        <w:pStyle w:val="FootnoteText"/>
      </w:pPr>
      <w:r>
        <w:rPr>
          <w:rStyle w:val="FootnoteReference"/>
        </w:rPr>
        <w:footnoteRef/>
      </w:r>
      <w:r>
        <w:t xml:space="preserve"> </w:t>
      </w:r>
      <w:r w:rsidRPr="005D23F4">
        <w:rPr>
          <w:shd w:val="clear" w:color="auto" w:fill="FFFFFF"/>
        </w:rPr>
        <w:t>Browne, C., Notkin, S., Schneider-Muñoz, A., &amp; Zimmerman, F. (2015).</w:t>
      </w:r>
      <w:r>
        <w:rPr>
          <w:shd w:val="clear" w:color="auto" w:fill="FFFFFF"/>
        </w:rPr>
        <w:t>[</w:t>
      </w:r>
      <w:hyperlink r:id="rId115" w:history="1">
        <w:r w:rsidRPr="00107056">
          <w:rPr>
            <w:rStyle w:val="Hyperlink"/>
            <w:shd w:val="clear" w:color="auto" w:fill="FFFFFF"/>
          </w:rPr>
          <w:t>LINK</w:t>
        </w:r>
      </w:hyperlink>
      <w:r>
        <w:rPr>
          <w:shd w:val="clear" w:color="auto" w:fill="FFFFFF"/>
        </w:rPr>
        <w:t>]</w:t>
      </w:r>
    </w:p>
  </w:footnote>
  <w:footnote w:id="161">
    <w:p w14:paraId="11683020" w14:textId="1077C5E7"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16" w:history="1">
        <w:r w:rsidRPr="005D58F9">
          <w:rPr>
            <w:rStyle w:val="Hyperlink"/>
          </w:rPr>
          <w:t>LINK</w:t>
        </w:r>
      </w:hyperlink>
      <w:r w:rsidRPr="00D92E05">
        <w:t>]</w:t>
      </w:r>
    </w:p>
  </w:footnote>
  <w:footnote w:id="162">
    <w:p w14:paraId="06F6873E" w14:textId="25D18A74" w:rsidR="001D1C68" w:rsidRDefault="001D1C68" w:rsidP="007D76F7">
      <w:pPr>
        <w:pStyle w:val="FootnoteText"/>
      </w:pPr>
      <w:r>
        <w:rPr>
          <w:rStyle w:val="FootnoteReference"/>
        </w:rPr>
        <w:footnoteRef/>
      </w:r>
      <w:r>
        <w:t xml:space="preserve"> </w:t>
      </w:r>
      <w:r w:rsidRPr="00B20346">
        <w:rPr>
          <w:rFonts w:cs="Calibri"/>
          <w:szCs w:val="20"/>
          <w:shd w:val="clear" w:color="auto" w:fill="FFFFFF"/>
        </w:rPr>
        <w:t>Ordinance 19267. [</w:t>
      </w:r>
      <w:hyperlink r:id="rId117" w:tgtFrame="_blank" w:history="1">
        <w:r w:rsidRPr="00B20346">
          <w:rPr>
            <w:rFonts w:cs="Calibri"/>
            <w:color w:val="0000FF"/>
            <w:szCs w:val="20"/>
            <w:u w:val="single"/>
            <w:shd w:val="clear" w:color="auto" w:fill="FFFFFF"/>
          </w:rPr>
          <w:t>LINK</w:t>
        </w:r>
      </w:hyperlink>
      <w:r w:rsidRPr="00B20346">
        <w:rPr>
          <w:rFonts w:cs="Calibri"/>
          <w:szCs w:val="20"/>
          <w:shd w:val="clear" w:color="auto" w:fill="FFFFFF"/>
        </w:rPr>
        <w:t>] </w:t>
      </w:r>
    </w:p>
  </w:footnote>
  <w:footnote w:id="163">
    <w:p w14:paraId="710E36B7" w14:textId="77777777" w:rsidR="001D1C68" w:rsidRDefault="001D1C68" w:rsidP="007D76F7">
      <w:pPr>
        <w:pStyle w:val="FootnoteText"/>
      </w:pPr>
      <w:r>
        <w:rPr>
          <w:rStyle w:val="FootnoteReference"/>
        </w:rPr>
        <w:footnoteRef/>
      </w:r>
      <w:r>
        <w:t xml:space="preserve"> </w:t>
      </w:r>
      <w:r w:rsidRPr="004A109C">
        <w:rPr>
          <w:szCs w:val="20"/>
        </w:rPr>
        <w:t xml:space="preserve">Forum for </w:t>
      </w:r>
      <w:r>
        <w:rPr>
          <w:szCs w:val="20"/>
        </w:rPr>
        <w:t>Y</w:t>
      </w:r>
      <w:r w:rsidRPr="004A109C">
        <w:rPr>
          <w:szCs w:val="20"/>
        </w:rPr>
        <w:t>outh Investment</w:t>
      </w:r>
      <w:r>
        <w:rPr>
          <w:szCs w:val="20"/>
        </w:rPr>
        <w:t>.</w:t>
      </w:r>
      <w:r w:rsidRPr="004A109C">
        <w:rPr>
          <w:szCs w:val="20"/>
        </w:rPr>
        <w:t xml:space="preserve"> [</w:t>
      </w:r>
      <w:hyperlink r:id="rId118" w:history="1">
        <w:r w:rsidRPr="004A109C">
          <w:rPr>
            <w:rStyle w:val="Hyperlink"/>
            <w:szCs w:val="20"/>
          </w:rPr>
          <w:t>LINK</w:t>
        </w:r>
      </w:hyperlink>
      <w:r w:rsidRPr="004A109C">
        <w:rPr>
          <w:szCs w:val="20"/>
        </w:rPr>
        <w:t>]</w:t>
      </w:r>
    </w:p>
  </w:footnote>
  <w:footnote w:id="164">
    <w:p w14:paraId="4955EF09" w14:textId="77777777"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19" w:history="1">
        <w:r w:rsidRPr="005D58F9">
          <w:rPr>
            <w:rStyle w:val="Hyperlink"/>
          </w:rPr>
          <w:t>LINK</w:t>
        </w:r>
      </w:hyperlink>
      <w:r w:rsidRPr="00D92E05">
        <w:t>]</w:t>
      </w:r>
    </w:p>
  </w:footnote>
  <w:footnote w:id="165">
    <w:p w14:paraId="00BFFD1F" w14:textId="057ED5C8" w:rsidR="001D1C68" w:rsidRDefault="001D1C68" w:rsidP="007D76F7">
      <w:pPr>
        <w:pStyle w:val="FootnoteText"/>
      </w:pPr>
      <w:r>
        <w:rPr>
          <w:rStyle w:val="FootnoteReference"/>
        </w:rPr>
        <w:footnoteRef/>
      </w:r>
      <w:r>
        <w:t xml:space="preserve"> DCHS Behavioral Health and Recovery Division. </w:t>
      </w:r>
      <w:r w:rsidRPr="00D92E05">
        <w:t>[</w:t>
      </w:r>
      <w:hyperlink r:id="rId120" w:history="1">
        <w:r w:rsidRPr="005D58F9">
          <w:rPr>
            <w:rStyle w:val="Hyperlink"/>
          </w:rPr>
          <w:t>LINK</w:t>
        </w:r>
      </w:hyperlink>
      <w:r w:rsidRPr="00D92E05">
        <w:t>]</w:t>
      </w:r>
      <w:r>
        <w:t xml:space="preserve"> </w:t>
      </w:r>
    </w:p>
  </w:footnote>
  <w:footnote w:id="166">
    <w:p w14:paraId="605E415C" w14:textId="77777777" w:rsidR="001D1C68" w:rsidRDefault="001D1C68" w:rsidP="007D76F7">
      <w:pPr>
        <w:pStyle w:val="FootnoteText"/>
      </w:pPr>
      <w:r>
        <w:rPr>
          <w:rStyle w:val="FootnoteReference"/>
        </w:rPr>
        <w:footnoteRef/>
      </w:r>
      <w:r>
        <w:t xml:space="preserve"> MIDD Behavioral Health Sales Tax Fund. [</w:t>
      </w:r>
      <w:hyperlink r:id="rId121" w:anchor=":~:text=The%20King%20County%20MIDD%20is,risk%20of%20behavioral%20health%20conditions." w:history="1">
        <w:r w:rsidRPr="004820D4">
          <w:rPr>
            <w:rStyle w:val="Hyperlink"/>
          </w:rPr>
          <w:t>LINK</w:t>
        </w:r>
      </w:hyperlink>
      <w:r>
        <w:t>]</w:t>
      </w:r>
    </w:p>
  </w:footnote>
  <w:footnote w:id="167">
    <w:p w14:paraId="4B390AAF" w14:textId="77777777" w:rsidR="001D1C68" w:rsidRDefault="001D1C68" w:rsidP="007D76F7">
      <w:pPr>
        <w:pStyle w:val="FootnoteText"/>
      </w:pPr>
      <w:r>
        <w:rPr>
          <w:rStyle w:val="FootnoteReference"/>
        </w:rPr>
        <w:footnoteRef/>
      </w:r>
      <w:r>
        <w:t xml:space="preserve"> Youth Program Quality Initiative. [</w:t>
      </w:r>
      <w:hyperlink r:id="rId122" w:history="1">
        <w:r w:rsidRPr="00C847F0">
          <w:rPr>
            <w:rStyle w:val="Hyperlink"/>
          </w:rPr>
          <w:t>LINK</w:t>
        </w:r>
      </w:hyperlink>
      <w:r>
        <w:t>]</w:t>
      </w:r>
    </w:p>
  </w:footnote>
  <w:footnote w:id="168">
    <w:p w14:paraId="339DC414" w14:textId="4B2B282A" w:rsidR="001D1C68" w:rsidRDefault="001D1C68" w:rsidP="007D76F7">
      <w:pPr>
        <w:pStyle w:val="FootnoteText"/>
      </w:pPr>
      <w:r>
        <w:rPr>
          <w:rStyle w:val="FootnoteReference"/>
        </w:rPr>
        <w:footnoteRef/>
      </w:r>
      <w:r>
        <w:t xml:space="preserve"> School’s Out Washington Social Emotional Learning. [</w:t>
      </w:r>
      <w:hyperlink r:id="rId123" w:history="1">
        <w:r w:rsidRPr="00C847F0">
          <w:rPr>
            <w:rStyle w:val="Hyperlink"/>
          </w:rPr>
          <w:t>LINK</w:t>
        </w:r>
      </w:hyperlink>
      <w:r>
        <w:t>]</w:t>
      </w:r>
    </w:p>
  </w:footnote>
  <w:footnote w:id="169">
    <w:p w14:paraId="71AE862F" w14:textId="13486FA3" w:rsidR="001D1C68" w:rsidRDefault="001D1C68" w:rsidP="007D76F7">
      <w:pPr>
        <w:pStyle w:val="FootnoteText"/>
      </w:pPr>
      <w:r>
        <w:rPr>
          <w:rStyle w:val="FootnoteReference"/>
        </w:rPr>
        <w:footnoteRef/>
      </w:r>
      <w:r>
        <w:t xml:space="preserve"> Youth Program Quality Assessment [</w:t>
      </w:r>
      <w:hyperlink r:id="rId124" w:history="1">
        <w:r>
          <w:rPr>
            <w:rStyle w:val="Hyperlink"/>
          </w:rPr>
          <w:t>LINK</w:t>
        </w:r>
      </w:hyperlink>
      <w:r>
        <w:rPr>
          <w:rStyle w:val="Hyperlink"/>
        </w:rPr>
        <w:t>]</w:t>
      </w:r>
    </w:p>
  </w:footnote>
  <w:footnote w:id="170">
    <w:p w14:paraId="0664F8F1" w14:textId="672722BB" w:rsidR="001D1C68" w:rsidRPr="009D2F36" w:rsidRDefault="001D1C68" w:rsidP="007D76F7">
      <w:pPr>
        <w:pStyle w:val="FootnoteText"/>
      </w:pPr>
      <w:r w:rsidRPr="009D2F36">
        <w:rPr>
          <w:rStyle w:val="FootnoteReference"/>
        </w:rPr>
        <w:footnoteRef/>
      </w:r>
      <w:r w:rsidRPr="009D2F36">
        <w:t xml:space="preserve"> </w:t>
      </w:r>
      <w:r>
        <w:t>The Forum for Youth Investment, Karen Pittman</w:t>
      </w:r>
      <w:r w:rsidRPr="003522CB">
        <w:t>. (2020, May 15). What Happens When Out-of-School Time is All the Time?</w:t>
      </w:r>
      <w:r>
        <w:t xml:space="preserve"> </w:t>
      </w:r>
      <w:r w:rsidRPr="009D2F36">
        <w:t>[</w:t>
      </w:r>
      <w:hyperlink r:id="rId125" w:history="1">
        <w:r w:rsidRPr="009D2F36">
          <w:rPr>
            <w:rStyle w:val="Hyperlink"/>
          </w:rPr>
          <w:t>LINK</w:t>
        </w:r>
      </w:hyperlink>
      <w:r w:rsidRPr="009D2F36">
        <w:t>]</w:t>
      </w:r>
    </w:p>
  </w:footnote>
  <w:footnote w:id="171">
    <w:p w14:paraId="501EA2C1" w14:textId="4FB17CD7" w:rsidR="001D1C68" w:rsidRDefault="001D1C68" w:rsidP="007D76F7">
      <w:pPr>
        <w:pStyle w:val="FootnoteText"/>
      </w:pPr>
    </w:p>
    <w:p w14:paraId="41B9768F" w14:textId="316E64FC" w:rsidR="001D1C68" w:rsidRDefault="001D1C68" w:rsidP="007D76F7">
      <w:pPr>
        <w:pStyle w:val="FootnoteText"/>
      </w:pPr>
      <w:r>
        <w:rPr>
          <w:rStyle w:val="FootnoteReference"/>
        </w:rPr>
        <w:footnoteRef/>
      </w:r>
      <w:r>
        <w:t xml:space="preserve"> </w:t>
      </w:r>
      <w:r w:rsidRPr="006F7044">
        <w:t>Ordinance 19267. [</w:t>
      </w:r>
      <w:hyperlink r:id="rId126" w:history="1">
        <w:r w:rsidRPr="006F7044">
          <w:rPr>
            <w:rStyle w:val="Hyperlink"/>
          </w:rPr>
          <w:t>LINK</w:t>
        </w:r>
      </w:hyperlink>
      <w:r w:rsidRPr="006F7044">
        <w:t>]</w:t>
      </w:r>
    </w:p>
  </w:footnote>
  <w:footnote w:id="172">
    <w:p w14:paraId="6686C547" w14:textId="77777777" w:rsidR="001D1C68" w:rsidRPr="004C3F52" w:rsidRDefault="001D1C68" w:rsidP="007D76F7">
      <w:pPr>
        <w:pStyle w:val="FootnoteText"/>
        <w:rPr>
          <w:szCs w:val="20"/>
        </w:rPr>
      </w:pPr>
      <w:r w:rsidRPr="00166FFD">
        <w:rPr>
          <w:rStyle w:val="FootnoteReference"/>
          <w:szCs w:val="20"/>
        </w:rPr>
        <w:footnoteRef/>
      </w:r>
      <w:r w:rsidRPr="00166FFD">
        <w:rPr>
          <w:szCs w:val="20"/>
        </w:rPr>
        <w:t xml:space="preserve"> King County Council, Amendment 15888</w:t>
      </w:r>
      <w:r w:rsidRPr="004C3F52">
        <w:rPr>
          <w:szCs w:val="20"/>
        </w:rPr>
        <w:t xml:space="preserve"> [</w:t>
      </w:r>
      <w:hyperlink r:id="rId127">
        <w:r w:rsidRPr="00166FFD">
          <w:rPr>
            <w:rStyle w:val="Hyperlink"/>
            <w:szCs w:val="20"/>
          </w:rPr>
          <w:t>LIN</w:t>
        </w:r>
        <w:r w:rsidRPr="004C3F52">
          <w:rPr>
            <w:rStyle w:val="Hyperlink"/>
            <w:szCs w:val="20"/>
          </w:rPr>
          <w:t>K</w:t>
        </w:r>
      </w:hyperlink>
      <w:r w:rsidRPr="00166FFD">
        <w:rPr>
          <w:szCs w:val="20"/>
        </w:rPr>
        <w:t xml:space="preserve">] </w:t>
      </w:r>
    </w:p>
  </w:footnote>
  <w:footnote w:id="173">
    <w:p w14:paraId="5B4B147A" w14:textId="77777777" w:rsidR="001D1C68" w:rsidRPr="00354EFE" w:rsidRDefault="001D1C68" w:rsidP="00E24924">
      <w:pPr>
        <w:rPr>
          <w:rFonts w:asciiTheme="minorHAnsi" w:hAnsiTheme="minorHAnsi"/>
          <w:sz w:val="20"/>
          <w:szCs w:val="20"/>
        </w:rPr>
      </w:pPr>
      <w:r w:rsidRPr="00354EFE">
        <w:rPr>
          <w:rStyle w:val="FootnoteReference"/>
          <w:sz w:val="20"/>
          <w:szCs w:val="20"/>
        </w:rPr>
        <w:footnoteRef/>
      </w:r>
      <w:r w:rsidRPr="00354EFE">
        <w:rPr>
          <w:sz w:val="20"/>
          <w:szCs w:val="20"/>
        </w:rPr>
        <w:t xml:space="preserve"> Key Substance Use and Mental Health Indicators in the United States: Results from the 2019 National Survey on Drug Use and Health. SAMSA [</w:t>
      </w:r>
      <w:hyperlink r:id="rId128" w:history="1">
        <w:r w:rsidRPr="00354EFE">
          <w:rPr>
            <w:rStyle w:val="Hyperlink"/>
            <w:sz w:val="20"/>
            <w:szCs w:val="20"/>
          </w:rPr>
          <w:t>LINK</w:t>
        </w:r>
      </w:hyperlink>
      <w:r w:rsidRPr="00354EFE">
        <w:rPr>
          <w:sz w:val="20"/>
          <w:szCs w:val="20"/>
        </w:rPr>
        <w:t>]</w:t>
      </w:r>
    </w:p>
  </w:footnote>
  <w:footnote w:id="174">
    <w:p w14:paraId="6A5D646F" w14:textId="77777777" w:rsidR="001D1C68" w:rsidRPr="00166FFD" w:rsidRDefault="001D1C68" w:rsidP="007D76F7">
      <w:pPr>
        <w:pStyle w:val="FootnoteText"/>
      </w:pPr>
      <w:r w:rsidRPr="00166FFD">
        <w:rPr>
          <w:rStyle w:val="FootnoteReference"/>
          <w:szCs w:val="20"/>
        </w:rPr>
        <w:footnoteRef/>
      </w:r>
      <w:r w:rsidRPr="00166FFD">
        <w:t xml:space="preserve"> Weist MD, Eber L, Horner R, et a</w:t>
      </w:r>
      <w:r w:rsidRPr="004C3F52">
        <w:t>l. I</w:t>
      </w:r>
      <w:r w:rsidRPr="00354EFE">
        <w:t>mproving Multitiered Systems of Support for Students With “Internalizing” Emotional/Behavioral Problems. Journal of Positive Behavior Interventions. 2018;20(3):172-184. doi:10.1177/1098300717753832 [</w:t>
      </w:r>
      <w:hyperlink r:id="rId129">
        <w:r w:rsidRPr="00166FFD">
          <w:rPr>
            <w:rStyle w:val="Hyperlink"/>
            <w:szCs w:val="20"/>
          </w:rPr>
          <w:t>LINK</w:t>
        </w:r>
      </w:hyperlink>
      <w:r w:rsidRPr="00166FFD">
        <w:t>]</w:t>
      </w:r>
    </w:p>
  </w:footnote>
  <w:footnote w:id="175">
    <w:p w14:paraId="59822DEC" w14:textId="77777777" w:rsidR="001D1C68" w:rsidRDefault="001D1C68" w:rsidP="007D76F7">
      <w:pPr>
        <w:pStyle w:val="FootnoteText"/>
      </w:pPr>
      <w:r>
        <w:rPr>
          <w:rStyle w:val="FootnoteReference"/>
        </w:rPr>
        <w:footnoteRef/>
      </w:r>
      <w:r>
        <w:t xml:space="preserve"> </w:t>
      </w:r>
      <w:r w:rsidRPr="001800F4">
        <w:rPr>
          <w:rFonts w:cs="Calibri"/>
          <w:i/>
          <w:iCs/>
          <w:color w:val="000000"/>
          <w:szCs w:val="20"/>
          <w:shd w:val="clear" w:color="auto" w:fill="FFFFFF"/>
        </w:rPr>
        <w:t>Best Starts for Kids Implementation Plan</w:t>
      </w:r>
      <w:r w:rsidRPr="001800F4">
        <w:rPr>
          <w:rFonts w:cs="Calibri"/>
          <w:color w:val="000000"/>
          <w:szCs w:val="20"/>
          <w:shd w:val="clear" w:color="auto" w:fill="FFFFFF"/>
        </w:rPr>
        <w:t>, pg. 73. [</w:t>
      </w:r>
      <w:hyperlink r:id="rId130" w:tgtFrame="_blank" w:history="1">
        <w:r w:rsidRPr="001800F4">
          <w:rPr>
            <w:rFonts w:cs="Calibri"/>
            <w:color w:val="0563C1"/>
            <w:szCs w:val="20"/>
            <w:u w:val="single"/>
            <w:shd w:val="clear" w:color="auto" w:fill="FFFFFF"/>
          </w:rPr>
          <w:t>LINK</w:t>
        </w:r>
      </w:hyperlink>
      <w:r w:rsidRPr="001800F4">
        <w:rPr>
          <w:rFonts w:cs="Calibri"/>
          <w:color w:val="0563C1"/>
          <w:szCs w:val="20"/>
          <w:u w:val="single"/>
          <w:shd w:val="clear" w:color="auto" w:fill="FFFFFF"/>
        </w:rPr>
        <w:t>]</w:t>
      </w:r>
    </w:p>
  </w:footnote>
  <w:footnote w:id="176">
    <w:p w14:paraId="4E727421" w14:textId="258C5181"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31" w:history="1">
        <w:r w:rsidRPr="005D58F9">
          <w:rPr>
            <w:rStyle w:val="Hyperlink"/>
          </w:rPr>
          <w:t>LINK</w:t>
        </w:r>
      </w:hyperlink>
      <w:r w:rsidRPr="00D92E05">
        <w:t>]</w:t>
      </w:r>
    </w:p>
  </w:footnote>
  <w:footnote w:id="177">
    <w:p w14:paraId="18E25308" w14:textId="52331724" w:rsidR="001D1C68" w:rsidRDefault="001D1C68" w:rsidP="007D76F7">
      <w:pPr>
        <w:pStyle w:val="FootnoteText"/>
      </w:pPr>
      <w:r>
        <w:rPr>
          <w:rStyle w:val="FootnoteReference"/>
        </w:rPr>
        <w:footnoteRef/>
      </w:r>
      <w:r>
        <w:t xml:space="preserve"> </w:t>
      </w:r>
      <w:r w:rsidRPr="006F7044">
        <w:t>Ordinance 19267. [</w:t>
      </w:r>
      <w:hyperlink r:id="rId132" w:history="1">
        <w:r w:rsidRPr="006F7044">
          <w:rPr>
            <w:rStyle w:val="Hyperlink"/>
          </w:rPr>
          <w:t>LINK</w:t>
        </w:r>
      </w:hyperlink>
      <w:r w:rsidRPr="006F7044">
        <w:t>]</w:t>
      </w:r>
    </w:p>
  </w:footnote>
  <w:footnote w:id="178">
    <w:p w14:paraId="30D2B3B1" w14:textId="73FD201E" w:rsidR="001D1C68" w:rsidRDefault="001D1C68" w:rsidP="007D76F7">
      <w:pPr>
        <w:pStyle w:val="FootnoteText"/>
      </w:pPr>
      <w:r>
        <w:rPr>
          <w:rStyle w:val="FootnoteReference"/>
        </w:rPr>
        <w:footnoteRef/>
      </w:r>
      <w:r>
        <w:t xml:space="preserve"> School-Based Health Centers to Advance Health Equity. A Community Guide Systematic Review. [</w:t>
      </w:r>
      <w:hyperlink r:id="rId133" w:history="1">
        <w:r w:rsidRPr="00ED4D98">
          <w:rPr>
            <w:rStyle w:val="Hyperlink"/>
          </w:rPr>
          <w:t>LINK</w:t>
        </w:r>
      </w:hyperlink>
      <w:r>
        <w:t>]</w:t>
      </w:r>
    </w:p>
  </w:footnote>
  <w:footnote w:id="179">
    <w:p w14:paraId="1ECA9E7C" w14:textId="7F50B096"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34" w:history="1">
        <w:r w:rsidRPr="005D58F9">
          <w:rPr>
            <w:rStyle w:val="Hyperlink"/>
          </w:rPr>
          <w:t>LINK</w:t>
        </w:r>
      </w:hyperlink>
      <w:r w:rsidRPr="00D92E05">
        <w:t>]</w:t>
      </w:r>
    </w:p>
  </w:footnote>
  <w:footnote w:id="180">
    <w:p w14:paraId="70EE40B4" w14:textId="02416F6B" w:rsidR="001D1C68" w:rsidRDefault="001D1C68" w:rsidP="007D76F7">
      <w:pPr>
        <w:pStyle w:val="FootnoteText"/>
      </w:pPr>
      <w:r>
        <w:rPr>
          <w:rStyle w:val="FootnoteReference"/>
        </w:rPr>
        <w:footnoteRef/>
      </w:r>
      <w:r>
        <w:t xml:space="preserve"> </w:t>
      </w:r>
      <w:r w:rsidRPr="001177D7">
        <w:t>Emily M. Lund (2020) Even more to handle: Additional sources of stress and trauma for clients from marginalized racial and ethnic groups in the United States during the COVID-19 pandemic, Counselling Psychology Quarterly</w:t>
      </w:r>
      <w:r>
        <w:t>. [</w:t>
      </w:r>
      <w:hyperlink r:id="rId135" w:history="1">
        <w:r w:rsidRPr="008416C3">
          <w:rPr>
            <w:rStyle w:val="Hyperlink"/>
          </w:rPr>
          <w:t>LINK</w:t>
        </w:r>
      </w:hyperlink>
      <w:r>
        <w:t>]</w:t>
      </w:r>
    </w:p>
  </w:footnote>
  <w:footnote w:id="181">
    <w:p w14:paraId="78A56763" w14:textId="2CB43AE9" w:rsidR="001D1C68" w:rsidRDefault="001D1C68" w:rsidP="007D76F7">
      <w:pPr>
        <w:pStyle w:val="FootnoteText"/>
      </w:pPr>
      <w:r>
        <w:rPr>
          <w:rStyle w:val="FootnoteReference"/>
        </w:rPr>
        <w:footnoteRef/>
      </w:r>
      <w:r>
        <w:t xml:space="preserve"> Seattle Family, Education, and Preschool and Promise levy [</w:t>
      </w:r>
      <w:hyperlink r:id="rId136" w:history="1">
        <w:r>
          <w:rPr>
            <w:rStyle w:val="Hyperlink"/>
          </w:rPr>
          <w:t>LINK</w:t>
        </w:r>
      </w:hyperlink>
      <w:r>
        <w:rPr>
          <w:rStyle w:val="Hyperlink"/>
        </w:rPr>
        <w:t>]</w:t>
      </w:r>
    </w:p>
    <w:p w14:paraId="0319DA34" w14:textId="013F5EE9" w:rsidR="001D1C68" w:rsidRPr="00964156" w:rsidRDefault="001D1C68" w:rsidP="007D76F7">
      <w:pPr>
        <w:pStyle w:val="FootnoteText"/>
      </w:pPr>
    </w:p>
  </w:footnote>
  <w:footnote w:id="182">
    <w:p w14:paraId="39E0723C" w14:textId="538E3199" w:rsidR="001D1C68" w:rsidRPr="00934B25" w:rsidRDefault="001D1C68" w:rsidP="00934B25">
      <w:pPr>
        <w:pStyle w:val="Heading5"/>
        <w:rPr>
          <w:rFonts w:asciiTheme="minorHAnsi" w:eastAsia="Times New Roman" w:hAnsiTheme="minorHAnsi" w:cstheme="minorHAnsi"/>
          <w:color w:val="auto"/>
          <w:sz w:val="16"/>
          <w:szCs w:val="16"/>
        </w:rPr>
      </w:pPr>
      <w:r w:rsidRPr="000F67A6">
        <w:rPr>
          <w:rStyle w:val="FootnoteReference"/>
          <w:rFonts w:asciiTheme="minorHAnsi" w:hAnsiTheme="minorHAnsi" w:cstheme="minorHAnsi"/>
          <w:color w:val="auto"/>
          <w:sz w:val="16"/>
          <w:szCs w:val="16"/>
        </w:rPr>
        <w:footnoteRef/>
      </w:r>
      <w:r w:rsidRPr="000F67A6">
        <w:rPr>
          <w:rFonts w:asciiTheme="minorHAnsi" w:hAnsiTheme="minorHAnsi" w:cstheme="minorHAnsi"/>
          <w:color w:val="auto"/>
          <w:sz w:val="16"/>
          <w:szCs w:val="16"/>
        </w:rPr>
        <w:t xml:space="preserve"> The Liberated Village steering committee definitions: </w:t>
      </w:r>
      <w:r w:rsidRPr="000F67A6">
        <w:rPr>
          <w:rFonts w:asciiTheme="minorHAnsi" w:eastAsia="Times New Roman" w:hAnsiTheme="minorHAnsi" w:cstheme="minorHAnsi"/>
          <w:b/>
          <w:bCs/>
          <w:color w:val="auto"/>
          <w:sz w:val="16"/>
          <w:szCs w:val="16"/>
        </w:rPr>
        <w:t xml:space="preserve">Trauma-Informed: </w:t>
      </w:r>
      <w:r w:rsidRPr="000F67A6">
        <w:rPr>
          <w:rFonts w:asciiTheme="minorHAnsi" w:eastAsia="Times New Roman" w:hAnsiTheme="minorHAnsi" w:cstheme="minorHAnsi"/>
          <w:color w:val="auto"/>
          <w:sz w:val="16"/>
          <w:szCs w:val="16"/>
        </w:rPr>
        <w:t xml:space="preserve">An understanding of the social, political, and socio-economic conditions that impact scholar’s esteem, learning and functioning, and include acute, chronic, and historical racial trauma often exacerbated by the personal biases of educators and internalized oppression that impact marginalized scholars. </w:t>
      </w:r>
      <w:r w:rsidRPr="000F67A6">
        <w:rPr>
          <w:rFonts w:asciiTheme="minorHAnsi" w:eastAsia="Times New Roman" w:hAnsiTheme="minorHAnsi" w:cstheme="minorHAnsi"/>
          <w:b/>
          <w:bCs/>
          <w:color w:val="auto"/>
          <w:sz w:val="16"/>
          <w:szCs w:val="16"/>
        </w:rPr>
        <w:t xml:space="preserve">Restorative Practices: </w:t>
      </w:r>
      <w:r w:rsidRPr="000F67A6">
        <w:rPr>
          <w:rFonts w:asciiTheme="minorHAnsi" w:eastAsia="Times New Roman" w:hAnsiTheme="minorHAnsi" w:cstheme="minorHAnsi"/>
          <w:color w:val="auto"/>
          <w:sz w:val="16"/>
          <w:szCs w:val="16"/>
        </w:rPr>
        <w:t>Creating a climate that allows for scholars and educators to address and heal from harms committed by and against them (racial trauma and racism) by focusing on practices that include: honest and difficult dialogue, trust-building, management of emotions, holding space for healing; Eliminating punitive and disproportionate exclusionary discipline practices affecting BIPOC scholars, bias education for staff and administrators; collaborative partnership and decision-making with families of BIPOC communities to insure unbiased solutions to their scholar's academic success.</w:t>
      </w:r>
    </w:p>
  </w:footnote>
  <w:footnote w:id="183">
    <w:p w14:paraId="61AF5E7C" w14:textId="5C984413" w:rsidR="001D1C68" w:rsidRDefault="001D1C68" w:rsidP="007D76F7">
      <w:pPr>
        <w:pStyle w:val="FootnoteText"/>
      </w:pPr>
      <w:r w:rsidRPr="1BF2F0B1">
        <w:rPr>
          <w:rStyle w:val="FootnoteReference"/>
        </w:rPr>
        <w:footnoteRef/>
      </w:r>
      <w:r>
        <w:t xml:space="preserve"> King County Council, Motion 15888 [</w:t>
      </w:r>
      <w:hyperlink r:id="rId137">
        <w:r w:rsidRPr="1BF2F0B1">
          <w:rPr>
            <w:rStyle w:val="Hyperlink"/>
          </w:rPr>
          <w:t>LINK</w:t>
        </w:r>
      </w:hyperlink>
      <w:r>
        <w:t>]</w:t>
      </w:r>
    </w:p>
  </w:footnote>
  <w:footnote w:id="184">
    <w:p w14:paraId="098B3C43" w14:textId="57C44E93" w:rsidR="001D1C68" w:rsidRDefault="001D1C68" w:rsidP="007D76F7">
      <w:pPr>
        <w:pStyle w:val="FootnoteText"/>
      </w:pPr>
      <w:r>
        <w:rPr>
          <w:rStyle w:val="FootnoteReference"/>
        </w:rPr>
        <w:footnoteRef/>
      </w:r>
      <w:r>
        <w:t xml:space="preserve"> </w:t>
      </w:r>
      <w:r w:rsidRPr="00107F25">
        <w:rPr>
          <w:rFonts w:cs="Calibri"/>
          <w:szCs w:val="20"/>
          <w:shd w:val="clear" w:color="auto" w:fill="FFFFFF"/>
        </w:rPr>
        <w:t>Ordinance 19267. [</w:t>
      </w:r>
      <w:hyperlink r:id="rId138" w:tgtFrame="_blank" w:history="1">
        <w:r w:rsidRPr="00107F25">
          <w:rPr>
            <w:rFonts w:cs="Calibri"/>
            <w:color w:val="0000FF"/>
            <w:szCs w:val="20"/>
            <w:u w:val="single"/>
            <w:shd w:val="clear" w:color="auto" w:fill="FFFFFF"/>
          </w:rPr>
          <w:t>LINK</w:t>
        </w:r>
      </w:hyperlink>
      <w:r w:rsidRPr="00107F25">
        <w:rPr>
          <w:rFonts w:cs="Calibri"/>
          <w:szCs w:val="20"/>
          <w:shd w:val="clear" w:color="auto" w:fill="FFFFFF"/>
        </w:rPr>
        <w:t>] </w:t>
      </w:r>
    </w:p>
  </w:footnote>
  <w:footnote w:id="185">
    <w:p w14:paraId="1FC8B7F4" w14:textId="77777777" w:rsidR="001D1C68" w:rsidRDefault="001D1C68" w:rsidP="007D76F7">
      <w:pPr>
        <w:pStyle w:val="FootnoteText"/>
      </w:pPr>
      <w:r w:rsidRPr="1BF2F0B1">
        <w:rPr>
          <w:rStyle w:val="FootnoteReference"/>
        </w:rPr>
        <w:footnoteRef/>
      </w:r>
      <w:r>
        <w:t xml:space="preserve"> BSK Community Conversations Report [</w:t>
      </w:r>
      <w:hyperlink r:id="rId139">
        <w:r w:rsidRPr="1BF2F0B1">
          <w:rPr>
            <w:rStyle w:val="Hyperlink"/>
          </w:rPr>
          <w:t>LINK</w:t>
        </w:r>
      </w:hyperlink>
      <w:r>
        <w:t>]</w:t>
      </w:r>
    </w:p>
  </w:footnote>
  <w:footnote w:id="186">
    <w:p w14:paraId="4CE7FE50" w14:textId="2D7F514C" w:rsidR="001D1C68" w:rsidRDefault="001D1C68" w:rsidP="007D76F7">
      <w:pPr>
        <w:pStyle w:val="FootnoteText"/>
      </w:pPr>
      <w:r w:rsidRPr="1BF2F0B1">
        <w:rPr>
          <w:rStyle w:val="FootnoteReference"/>
        </w:rPr>
        <w:footnoteRef/>
      </w:r>
      <w:r>
        <w:t xml:space="preserve"> National Academy of Medicine. [</w:t>
      </w:r>
      <w:hyperlink r:id="rId140">
        <w:r w:rsidRPr="1BF2F0B1">
          <w:rPr>
            <w:rStyle w:val="Hyperlink"/>
          </w:rPr>
          <w:t>LINK</w:t>
        </w:r>
      </w:hyperlink>
      <w:r>
        <w:t>]</w:t>
      </w:r>
    </w:p>
  </w:footnote>
  <w:footnote w:id="187">
    <w:p w14:paraId="48AEFCF3" w14:textId="2B26D6E7" w:rsidR="001D1C68" w:rsidRPr="00166FFD" w:rsidRDefault="001D1C68" w:rsidP="007D76F7">
      <w:pPr>
        <w:pStyle w:val="FootnoteText"/>
        <w:rPr>
          <w:szCs w:val="20"/>
        </w:rPr>
      </w:pPr>
      <w:r w:rsidRPr="004403F2">
        <w:rPr>
          <w:rStyle w:val="FootnoteReference"/>
        </w:rPr>
        <w:footnoteRef/>
      </w:r>
      <w:r w:rsidRPr="004403F2">
        <w:t xml:space="preserve"> </w:t>
      </w:r>
      <w:r w:rsidRPr="00166FFD">
        <w:rPr>
          <w:szCs w:val="20"/>
        </w:rPr>
        <w:t>Road Map Project</w:t>
      </w:r>
      <w:r>
        <w:rPr>
          <w:szCs w:val="20"/>
        </w:rPr>
        <w:t>.</w:t>
      </w:r>
      <w:r w:rsidRPr="00166FFD">
        <w:rPr>
          <w:szCs w:val="20"/>
        </w:rPr>
        <w:t xml:space="preserve"> [</w:t>
      </w:r>
      <w:hyperlink r:id="rId141">
        <w:r w:rsidRPr="00166FFD">
          <w:rPr>
            <w:rStyle w:val="Hyperlink"/>
            <w:szCs w:val="20"/>
          </w:rPr>
          <w:t>LINK</w:t>
        </w:r>
      </w:hyperlink>
      <w:r w:rsidRPr="00166FFD">
        <w:rPr>
          <w:szCs w:val="20"/>
        </w:rPr>
        <w:t>]</w:t>
      </w:r>
    </w:p>
  </w:footnote>
  <w:footnote w:id="188">
    <w:p w14:paraId="7C2AC014" w14:textId="2A15FFC6" w:rsidR="001D1C68" w:rsidRPr="00166FFD" w:rsidRDefault="001D1C68" w:rsidP="007D76F7">
      <w:pPr>
        <w:pStyle w:val="FootnoteText"/>
        <w:rPr>
          <w:szCs w:val="20"/>
        </w:rPr>
      </w:pPr>
      <w:r w:rsidRPr="00166FFD">
        <w:rPr>
          <w:rStyle w:val="FootnoteReference"/>
          <w:szCs w:val="20"/>
        </w:rPr>
        <w:footnoteRef/>
      </w:r>
      <w:r w:rsidRPr="00166FFD">
        <w:rPr>
          <w:szCs w:val="20"/>
        </w:rPr>
        <w:t xml:space="preserve"> </w:t>
      </w:r>
      <w:r w:rsidRPr="00354EFE">
        <w:rPr>
          <w:rStyle w:val="normaltextrun"/>
          <w:i/>
          <w:color w:val="000000"/>
          <w:sz w:val="20"/>
          <w:szCs w:val="20"/>
          <w:shd w:val="clear" w:color="auto" w:fill="FFFFFF"/>
        </w:rPr>
        <w:t>Best Starts</w:t>
      </w:r>
      <w:r w:rsidRPr="00354EFE">
        <w:rPr>
          <w:rStyle w:val="normaltextrun"/>
          <w:color w:val="000000"/>
          <w:sz w:val="20"/>
          <w:szCs w:val="20"/>
          <w:shd w:val="clear" w:color="auto" w:fill="FFFFFF"/>
        </w:rPr>
        <w:t> </w:t>
      </w:r>
      <w:r w:rsidRPr="00354EFE">
        <w:rPr>
          <w:rStyle w:val="normaltextrun"/>
          <w:i/>
          <w:color w:val="000000"/>
          <w:sz w:val="20"/>
          <w:szCs w:val="20"/>
          <w:shd w:val="clear" w:color="auto" w:fill="FFFFFF"/>
        </w:rPr>
        <w:t>Implementation Plan</w:t>
      </w:r>
      <w:r w:rsidRPr="00354EFE">
        <w:rPr>
          <w:rStyle w:val="normaltextrun"/>
          <w:color w:val="000000"/>
          <w:sz w:val="20"/>
          <w:szCs w:val="20"/>
          <w:shd w:val="clear" w:color="auto" w:fill="FFFFFF"/>
        </w:rPr>
        <w:t>, 2016, pg. 78. [</w:t>
      </w:r>
      <w:hyperlink r:id="rId142" w:history="1">
        <w:r w:rsidRPr="00354EFE">
          <w:rPr>
            <w:rStyle w:val="Hyperlink"/>
            <w:rFonts w:asciiTheme="minorHAnsi" w:hAnsiTheme="minorHAnsi"/>
            <w:szCs w:val="20"/>
            <w:shd w:val="clear" w:color="auto" w:fill="E1E3E6"/>
          </w:rPr>
          <w:t>LINK</w:t>
        </w:r>
      </w:hyperlink>
      <w:r w:rsidRPr="00354EFE">
        <w:rPr>
          <w:rStyle w:val="normaltextrun"/>
          <w:color w:val="000000"/>
          <w:sz w:val="20"/>
          <w:szCs w:val="20"/>
          <w:shd w:val="clear" w:color="auto" w:fill="E1E3E6"/>
        </w:rPr>
        <w:t>]</w:t>
      </w:r>
    </w:p>
  </w:footnote>
  <w:footnote w:id="189">
    <w:p w14:paraId="0F17BC40" w14:textId="61B7109E" w:rsidR="001D1C68" w:rsidRPr="005C6153" w:rsidRDefault="001D1C68" w:rsidP="007D76F7">
      <w:pPr>
        <w:pStyle w:val="FootnoteText"/>
        <w:rPr>
          <w:rFonts w:cs="Calibri"/>
          <w:color w:val="0563C1"/>
          <w:shd w:val="clear" w:color="auto" w:fill="FFFFFF"/>
        </w:rPr>
      </w:pPr>
      <w:r w:rsidRPr="00166FFD">
        <w:rPr>
          <w:rStyle w:val="FootnoteReference"/>
          <w:szCs w:val="20"/>
        </w:rPr>
        <w:footnoteRef/>
      </w:r>
      <w:r w:rsidRPr="00166FFD">
        <w:t xml:space="preserve"> </w:t>
      </w:r>
      <w:r w:rsidRPr="00166FFD">
        <w:rPr>
          <w:rStyle w:val="normaltextrun"/>
          <w:color w:val="000000"/>
          <w:sz w:val="20"/>
          <w:szCs w:val="20"/>
          <w:shd w:val="clear" w:color="auto" w:fill="FFFFFF"/>
        </w:rPr>
        <w:t>Wa</w:t>
      </w:r>
      <w:r w:rsidRPr="005C6153">
        <w:rPr>
          <w:rStyle w:val="normaltextrun"/>
          <w:color w:val="000000"/>
          <w:sz w:val="20"/>
          <w:szCs w:val="20"/>
          <w:shd w:val="clear" w:color="auto" w:fill="FFFFFF"/>
        </w:rPr>
        <w:t>shington STEM</w:t>
      </w:r>
      <w:r>
        <w:rPr>
          <w:rStyle w:val="normaltextrun"/>
          <w:color w:val="000000"/>
          <w:sz w:val="20"/>
          <w:szCs w:val="20"/>
          <w:shd w:val="clear" w:color="auto" w:fill="FFFFFF"/>
        </w:rPr>
        <w:t>. [</w:t>
      </w:r>
      <w:hyperlink r:id="rId143" w:history="1">
        <w:r w:rsidRPr="00004A0A">
          <w:rPr>
            <w:rStyle w:val="Hyperlink"/>
            <w:rFonts w:asciiTheme="minorHAnsi" w:hAnsiTheme="minorHAnsi"/>
            <w:szCs w:val="20"/>
            <w:shd w:val="clear" w:color="auto" w:fill="FFFFFF"/>
          </w:rPr>
          <w:t>LINK</w:t>
        </w:r>
      </w:hyperlink>
      <w:r>
        <w:rPr>
          <w:rStyle w:val="normaltextrun"/>
          <w:color w:val="000000"/>
          <w:sz w:val="20"/>
          <w:szCs w:val="20"/>
          <w:shd w:val="clear" w:color="auto" w:fill="FFFFFF"/>
        </w:rPr>
        <w:t>]</w:t>
      </w:r>
      <w:r w:rsidRPr="00166FFD">
        <w:rPr>
          <w:rStyle w:val="eop"/>
          <w:rFonts w:asciiTheme="minorHAnsi" w:hAnsiTheme="minorHAnsi" w:cs="Calibri"/>
          <w:color w:val="0563C1"/>
          <w:szCs w:val="20"/>
          <w:shd w:val="clear" w:color="auto" w:fill="FFFFFF"/>
        </w:rPr>
        <w:t> </w:t>
      </w:r>
    </w:p>
  </w:footnote>
  <w:footnote w:id="190">
    <w:p w14:paraId="592D66F3" w14:textId="0357D7C0" w:rsidR="001D1C68" w:rsidRPr="001247C1" w:rsidRDefault="001D1C68" w:rsidP="007D76F7">
      <w:pPr>
        <w:pStyle w:val="FootnoteText"/>
        <w:rPr>
          <w:rFonts w:asciiTheme="minorHAnsi" w:hAnsiTheme="minorHAnsi"/>
          <w:szCs w:val="20"/>
        </w:rPr>
      </w:pPr>
      <w:r w:rsidRPr="00166FFD">
        <w:rPr>
          <w:rStyle w:val="FootnoteReference"/>
          <w:rFonts w:asciiTheme="minorHAnsi" w:eastAsia="Calibri" w:hAnsiTheme="minorHAnsi"/>
          <w:szCs w:val="20"/>
        </w:rPr>
        <w:footnoteRef/>
      </w:r>
      <w:r w:rsidRPr="00166FFD">
        <w:rPr>
          <w:rFonts w:asciiTheme="minorHAnsi" w:eastAsia="Calibri" w:hAnsiTheme="minorHAnsi"/>
          <w:szCs w:val="20"/>
        </w:rPr>
        <w:t xml:space="preserve"> Puget Sound Taxpayer Accountability Implementation</w:t>
      </w:r>
      <w:r w:rsidRPr="001247C1">
        <w:rPr>
          <w:rFonts w:asciiTheme="minorHAnsi" w:eastAsia="Calibri" w:hAnsiTheme="minorHAnsi"/>
          <w:szCs w:val="20"/>
        </w:rPr>
        <w:t xml:space="preserve"> Plan [</w:t>
      </w:r>
      <w:hyperlink r:id="rId144">
        <w:r w:rsidRPr="001247C1">
          <w:rPr>
            <w:rStyle w:val="Hyperlink"/>
            <w:rFonts w:asciiTheme="minorHAnsi" w:eastAsia="Calibri" w:hAnsiTheme="minorHAnsi"/>
            <w:szCs w:val="20"/>
          </w:rPr>
          <w:t>LINK</w:t>
        </w:r>
      </w:hyperlink>
      <w:r w:rsidRPr="001247C1">
        <w:rPr>
          <w:rFonts w:asciiTheme="minorHAnsi" w:eastAsia="Calibri" w:hAnsiTheme="minorHAnsi"/>
          <w:szCs w:val="20"/>
        </w:rPr>
        <w:t>]</w:t>
      </w:r>
    </w:p>
  </w:footnote>
  <w:footnote w:id="191">
    <w:p w14:paraId="5344D912" w14:textId="60035C74" w:rsidR="001D1C68" w:rsidRDefault="001D1C68" w:rsidP="007D76F7">
      <w:pPr>
        <w:pStyle w:val="FootnoteText"/>
      </w:pPr>
      <w:r>
        <w:rPr>
          <w:rStyle w:val="FootnoteReference"/>
        </w:rPr>
        <w:footnoteRef/>
      </w:r>
      <w:r>
        <w:t xml:space="preserve"> Includes both private and public health care providers, government agencies and CBOs. </w:t>
      </w:r>
    </w:p>
  </w:footnote>
  <w:footnote w:id="192">
    <w:p w14:paraId="28E313B5" w14:textId="0E510C88" w:rsidR="001D1C68" w:rsidRDefault="001D1C68" w:rsidP="007D76F7">
      <w:pPr>
        <w:pStyle w:val="FootnoteText"/>
      </w:pPr>
      <w:r>
        <w:rPr>
          <w:rStyle w:val="FootnoteReference"/>
        </w:rPr>
        <w:footnoteRef/>
      </w:r>
      <w:r>
        <w:t xml:space="preserve"> Includes both private and public health care providers.  </w:t>
      </w:r>
    </w:p>
  </w:footnote>
  <w:footnote w:id="193">
    <w:p w14:paraId="14278F93" w14:textId="77777777" w:rsidR="001D1C68" w:rsidRDefault="001D1C68" w:rsidP="007D76F7">
      <w:pPr>
        <w:pStyle w:val="FootnoteText"/>
        <w:rPr>
          <w:szCs w:val="20"/>
        </w:rPr>
      </w:pPr>
      <w:r w:rsidRPr="351B1C68">
        <w:rPr>
          <w:rStyle w:val="FootnoteReference"/>
          <w:rFonts w:eastAsia="Calibri"/>
          <w:szCs w:val="20"/>
        </w:rPr>
        <w:footnoteRef/>
      </w:r>
      <w:r w:rsidRPr="351B1C68">
        <w:rPr>
          <w:szCs w:val="20"/>
        </w:rPr>
        <w:t xml:space="preserve"> </w:t>
      </w:r>
      <w:r w:rsidRPr="351B1C68">
        <w:t>The WACHIP learning collaborative aims to improve coverage rates for HPV, Tdap and Meningococcal vaccines among King County adolescents.</w:t>
      </w:r>
    </w:p>
  </w:footnote>
  <w:footnote w:id="194">
    <w:p w14:paraId="76EABC89" w14:textId="464A7EA7" w:rsidR="001D1C68" w:rsidRDefault="001D1C68" w:rsidP="007D76F7">
      <w:pPr>
        <w:pStyle w:val="FootnoteText"/>
        <w:rPr>
          <w:szCs w:val="20"/>
        </w:rPr>
      </w:pPr>
      <w:r w:rsidRPr="351B1C68">
        <w:rPr>
          <w:rStyle w:val="FootnoteReference"/>
          <w:rFonts w:eastAsia="Calibri"/>
          <w:szCs w:val="20"/>
        </w:rPr>
        <w:footnoteRef/>
      </w:r>
      <w:r w:rsidRPr="351B1C68">
        <w:rPr>
          <w:szCs w:val="20"/>
        </w:rPr>
        <w:t xml:space="preserve"> </w:t>
      </w:r>
      <w:r w:rsidRPr="351B1C68">
        <w:t>A PIP is a durable state or regional collaboration of public and private partners who work together to address systemic barriers to quality health care for children and adolescents, and who collaborate to advance quality improvement efforts within pediatric healthcare settings.</w:t>
      </w:r>
    </w:p>
  </w:footnote>
  <w:footnote w:id="195">
    <w:p w14:paraId="06897ACF" w14:textId="12D7EB70" w:rsidR="001D1C68" w:rsidRDefault="001D1C68" w:rsidP="007D76F7">
      <w:pPr>
        <w:pStyle w:val="FootnoteText"/>
      </w:pPr>
      <w:r w:rsidRPr="351B1C68">
        <w:rPr>
          <w:rStyle w:val="FootnoteReference"/>
          <w:rFonts w:eastAsia="Calibri"/>
          <w:szCs w:val="20"/>
        </w:rPr>
        <w:footnoteRef/>
      </w:r>
      <w:r w:rsidRPr="351B1C68">
        <w:t xml:space="preserve"> </w:t>
      </w:r>
      <w:r>
        <w:t>King County School Immunization Records. [</w:t>
      </w:r>
      <w:hyperlink r:id="rId145" w:history="1">
        <w:r w:rsidRPr="00B46B70">
          <w:rPr>
            <w:rStyle w:val="Hyperlink"/>
            <w:rFonts w:eastAsia="Calibri"/>
            <w:szCs w:val="20"/>
          </w:rPr>
          <w:t>LINK</w:t>
        </w:r>
      </w:hyperlink>
      <w:r>
        <w:t>]</w:t>
      </w:r>
    </w:p>
  </w:footnote>
  <w:footnote w:id="196">
    <w:p w14:paraId="5FEE0560" w14:textId="3B1D3576" w:rsidR="001D1C68" w:rsidRDefault="001D1C68" w:rsidP="007D76F7">
      <w:pPr>
        <w:pStyle w:val="FootnoteText"/>
      </w:pPr>
      <w:r>
        <w:rPr>
          <w:rStyle w:val="FootnoteReference"/>
        </w:rPr>
        <w:footnoteRef/>
      </w:r>
      <w:r>
        <w:t xml:space="preserve"> Lab for Economic Opportunities [</w:t>
      </w:r>
      <w:hyperlink r:id="rId146" w:history="1">
        <w:r w:rsidRPr="00461145">
          <w:rPr>
            <w:rStyle w:val="Hyperlink"/>
          </w:rPr>
          <w:t>LINK</w:t>
        </w:r>
      </w:hyperlink>
      <w:r>
        <w:t>]</w:t>
      </w:r>
    </w:p>
  </w:footnote>
  <w:footnote w:id="197">
    <w:p w14:paraId="0DF27594" w14:textId="77777777" w:rsidR="001D1C68" w:rsidRDefault="001D1C68" w:rsidP="007D76F7">
      <w:pPr>
        <w:pStyle w:val="FootnoteText"/>
      </w:pPr>
      <w:r>
        <w:rPr>
          <w:rStyle w:val="FootnoteReference"/>
        </w:rPr>
        <w:footnoteRef/>
      </w:r>
      <w:r>
        <w:t xml:space="preserve"> King County Prevention Database, January 2021. [</w:t>
      </w:r>
      <w:hyperlink r:id="rId147" w:history="1">
        <w:r w:rsidRPr="008F3670">
          <w:rPr>
            <w:rStyle w:val="Hyperlink"/>
          </w:rPr>
          <w:t>LINK</w:t>
        </w:r>
      </w:hyperlink>
      <w:r>
        <w:t>]</w:t>
      </w:r>
    </w:p>
  </w:footnote>
  <w:footnote w:id="198">
    <w:p w14:paraId="29956A2F" w14:textId="77777777" w:rsidR="001D1C68" w:rsidRDefault="001D1C68" w:rsidP="007D76F7">
      <w:pPr>
        <w:pStyle w:val="FootnoteText"/>
      </w:pPr>
      <w:r>
        <w:rPr>
          <w:rStyle w:val="FootnoteReference"/>
        </w:rPr>
        <w:footnoteRef/>
      </w:r>
      <w:r>
        <w:t xml:space="preserve"> Ibid.</w:t>
      </w:r>
    </w:p>
  </w:footnote>
  <w:footnote w:id="199">
    <w:p w14:paraId="0460A199" w14:textId="61BFD3E7" w:rsidR="001D1C68" w:rsidRDefault="001D1C68" w:rsidP="007D76F7">
      <w:pPr>
        <w:pStyle w:val="FootnoteText"/>
      </w:pPr>
      <w:r>
        <w:rPr>
          <w:rStyle w:val="FootnoteReference"/>
        </w:rPr>
        <w:footnoteRef/>
      </w:r>
      <w:r>
        <w:t xml:space="preserve"> </w:t>
      </w:r>
      <w:r w:rsidRPr="0049187C">
        <w:t>Ordinance 18442</w:t>
      </w:r>
      <w:r>
        <w:t>.</w:t>
      </w:r>
      <w:r w:rsidRPr="0049187C">
        <w:t xml:space="preserve"> [</w:t>
      </w:r>
      <w:hyperlink r:id="rId148" w:history="1">
        <w:r w:rsidRPr="007967C0">
          <w:rPr>
            <w:rStyle w:val="Hyperlink"/>
          </w:rPr>
          <w:t>LINK</w:t>
        </w:r>
      </w:hyperlink>
      <w:r w:rsidRPr="0049187C">
        <w:t>]</w:t>
      </w:r>
    </w:p>
  </w:footnote>
  <w:footnote w:id="200">
    <w:p w14:paraId="7E6A936B" w14:textId="3F812D15" w:rsidR="001D1C68" w:rsidRPr="00A119DE" w:rsidRDefault="001D1C68" w:rsidP="00C10B4B">
      <w:pPr>
        <w:rPr>
          <w:rFonts w:eastAsia="Calibri" w:cs="Calibri"/>
          <w:color w:val="000000" w:themeColor="text1"/>
        </w:rPr>
      </w:pPr>
      <w:r w:rsidRPr="1A2C1129">
        <w:rPr>
          <w:rStyle w:val="FootnoteReference"/>
        </w:rPr>
        <w:footnoteRef/>
      </w:r>
      <w:r w:rsidRPr="00A119DE">
        <w:rPr>
          <w:sz w:val="20"/>
          <w:szCs w:val="20"/>
        </w:rPr>
        <w:t xml:space="preserve">COO </w:t>
      </w:r>
      <w:r>
        <w:rPr>
          <w:sz w:val="20"/>
          <w:szCs w:val="20"/>
        </w:rPr>
        <w:t xml:space="preserve">index is </w:t>
      </w:r>
      <w:r w:rsidRPr="00A119DE">
        <w:rPr>
          <w:sz w:val="20"/>
          <w:szCs w:val="20"/>
        </w:rPr>
        <w:t>a composite index combining 10 indicators of health and well-being (a composite scoring that is mapped by Census Tracts)</w:t>
      </w:r>
      <w:r>
        <w:rPr>
          <w:sz w:val="20"/>
          <w:szCs w:val="20"/>
        </w:rPr>
        <w:t xml:space="preserve">. </w:t>
      </w:r>
      <w:r w:rsidRPr="002D7A5C">
        <w:rPr>
          <w:rFonts w:eastAsia="Calibri" w:cs="Calibri"/>
          <w:color w:val="000000" w:themeColor="text1"/>
        </w:rPr>
        <w:t xml:space="preserve"> </w:t>
      </w:r>
    </w:p>
  </w:footnote>
  <w:footnote w:id="201">
    <w:p w14:paraId="316403C9" w14:textId="77777777" w:rsidR="001D1C68" w:rsidRDefault="001D1C68" w:rsidP="007D76F7">
      <w:pPr>
        <w:pStyle w:val="FootnoteText"/>
      </w:pPr>
      <w:r>
        <w:rPr>
          <w:rStyle w:val="FootnoteReference"/>
        </w:rPr>
        <w:footnoteRef/>
      </w:r>
      <w:r>
        <w:t xml:space="preserve"> Ibid. </w:t>
      </w:r>
    </w:p>
  </w:footnote>
  <w:footnote w:id="202">
    <w:p w14:paraId="59A671DF" w14:textId="0EDFABDA" w:rsidR="001D1C68" w:rsidRDefault="001D1C68" w:rsidP="007D76F7">
      <w:pPr>
        <w:pStyle w:val="FootnoteText"/>
      </w:pPr>
      <w:r>
        <w:rPr>
          <w:rStyle w:val="FootnoteReference"/>
        </w:rPr>
        <w:footnoteRef/>
      </w:r>
      <w:r>
        <w:t xml:space="preserve"> COO’s Learning Community responded to the public health crises of COVID-19 and systemic racism by making resources available to support emergent needs and opportunities. This included providing funding for technology grants to enable nonprofit staff to work effectively and safely during the pandemic, and for systems and policy grants designed to increase civic engagement for post-pandemic recovery and during a period of increased awareness for racial equity.</w:t>
      </w:r>
    </w:p>
  </w:footnote>
  <w:footnote w:id="203">
    <w:p w14:paraId="41A5BE0D" w14:textId="7A459894" w:rsidR="001D1C68" w:rsidRDefault="001D1C68" w:rsidP="007D76F7">
      <w:pPr>
        <w:pStyle w:val="FootnoteText"/>
      </w:pPr>
      <w:r>
        <w:rPr>
          <w:rStyle w:val="FootnoteReference"/>
        </w:rPr>
        <w:footnoteRef/>
      </w:r>
      <w:r>
        <w:t xml:space="preserve"> </w:t>
      </w:r>
      <w:r w:rsidRPr="00C22BB0">
        <w:t>The Office of Economic and Financial Analysis</w:t>
      </w:r>
      <w:r>
        <w:t xml:space="preserve">  [</w:t>
      </w:r>
      <w:hyperlink r:id="rId149" w:history="1">
        <w:r w:rsidRPr="00CA19A3">
          <w:rPr>
            <w:rStyle w:val="Hyperlink"/>
          </w:rPr>
          <w:t>LINK</w:t>
        </w:r>
      </w:hyperlink>
      <w:r>
        <w:t>]</w:t>
      </w:r>
    </w:p>
  </w:footnote>
  <w:footnote w:id="204">
    <w:p w14:paraId="50F3242D" w14:textId="375ECB84" w:rsidR="001D1C68" w:rsidRDefault="001D1C68" w:rsidP="008461D8">
      <w:r w:rsidRPr="4BD402C6">
        <w:rPr>
          <w:rStyle w:val="FootnoteReference"/>
        </w:rPr>
        <w:footnoteRef/>
      </w:r>
      <w:r>
        <w:t xml:space="preserve"> </w:t>
      </w:r>
      <w:r w:rsidRPr="00B21853">
        <w:rPr>
          <w:sz w:val="20"/>
          <w:szCs w:val="20"/>
        </w:rPr>
        <w:t>ECEAP Facilities Needs Assessments Findings. [</w:t>
      </w:r>
      <w:hyperlink r:id="rId150" w:history="1">
        <w:r w:rsidRPr="00B21853">
          <w:rPr>
            <w:rStyle w:val="Hyperlink"/>
            <w:sz w:val="20"/>
            <w:szCs w:val="20"/>
          </w:rPr>
          <w:t>L</w:t>
        </w:r>
        <w:r>
          <w:rPr>
            <w:rStyle w:val="Hyperlink"/>
            <w:sz w:val="20"/>
            <w:szCs w:val="20"/>
          </w:rPr>
          <w:t>INK</w:t>
        </w:r>
      </w:hyperlink>
      <w:r w:rsidRPr="00B21853">
        <w:rPr>
          <w:sz w:val="20"/>
          <w:szCs w:val="20"/>
        </w:rPr>
        <w:t>]</w:t>
      </w:r>
      <w:r>
        <w:t xml:space="preserve"> </w:t>
      </w:r>
    </w:p>
  </w:footnote>
  <w:footnote w:id="205">
    <w:p w14:paraId="1560A4CB" w14:textId="68E50E7D" w:rsidR="001D1C68" w:rsidRDefault="001D1C68" w:rsidP="007D76F7">
      <w:pPr>
        <w:pStyle w:val="FootnoteText"/>
        <w:rPr>
          <w:rStyle w:val="Hyperlink"/>
          <w:rFonts w:eastAsia="Calibri"/>
          <w:szCs w:val="20"/>
        </w:rPr>
      </w:pPr>
      <w:r w:rsidRPr="65049D61">
        <w:rPr>
          <w:rStyle w:val="FootnoteReference"/>
          <w:rFonts w:eastAsia="Calibri"/>
          <w:szCs w:val="20"/>
        </w:rPr>
        <w:footnoteRef/>
      </w:r>
      <w:r w:rsidRPr="65049D61">
        <w:t xml:space="preserve"> </w:t>
      </w:r>
      <w:r w:rsidRPr="00FF3BBB">
        <w:t>After</w:t>
      </w:r>
      <w:r>
        <w:t xml:space="preserve"> </w:t>
      </w:r>
      <w:r w:rsidRPr="00FF3BBB">
        <w:t>school programs keep kids safe, inspire them to learn, and give working parents peace of mind. They help children learn, grow, and reach their full potential, offering new learning opportunities that help students do better in school and in life.</w:t>
      </w:r>
      <w:r>
        <w:t xml:space="preserve"> </w:t>
      </w:r>
      <w:hyperlink r:id="rId151" w:history="1">
        <w:r>
          <w:rPr>
            <w:rStyle w:val="Hyperlink"/>
          </w:rPr>
          <w:t>[LINK]</w:t>
        </w:r>
      </w:hyperlink>
    </w:p>
  </w:footnote>
  <w:footnote w:id="206">
    <w:p w14:paraId="49755BB9" w14:textId="21D1A464" w:rsidR="001D1C68" w:rsidRDefault="001D1C68" w:rsidP="007D76F7">
      <w:pPr>
        <w:pStyle w:val="FootnoteText"/>
      </w:pPr>
      <w:r>
        <w:rPr>
          <w:rStyle w:val="FootnoteReference"/>
        </w:rPr>
        <w:footnoteRef/>
      </w:r>
      <w:r>
        <w:t xml:space="preserve"> The Centers for Disease Control:</w:t>
      </w:r>
      <w:r w:rsidRPr="0001270D">
        <w:t xml:space="preserve"> Out of School Time Supports Student Health and Learning</w:t>
      </w:r>
      <w:r>
        <w:t xml:space="preserve">. </w:t>
      </w:r>
      <w:hyperlink r:id="rId152">
        <w:r w:rsidRPr="00220A4A">
          <w:rPr>
            <w:rStyle w:val="Hyperlink"/>
            <w:rFonts w:eastAsia="Times New Roman"/>
          </w:rPr>
          <w:t>[LINK]</w:t>
        </w:r>
      </w:hyperlink>
    </w:p>
  </w:footnote>
  <w:footnote w:id="207">
    <w:p w14:paraId="49E0219E" w14:textId="4E1BA499" w:rsidR="001D1C68" w:rsidRDefault="001D1C68" w:rsidP="007D76F7">
      <w:pPr>
        <w:pStyle w:val="FootnoteText"/>
      </w:pPr>
      <w:r>
        <w:rPr>
          <w:rStyle w:val="FootnoteReference"/>
        </w:rPr>
        <w:footnoteRef/>
      </w:r>
      <w:r>
        <w:t xml:space="preserve"> </w:t>
      </w:r>
      <w:r w:rsidRPr="00BE7AA2">
        <w:t>McKenzie, T. L., Moody, J. S., Carlson, J. A., Lopez, N. V., &amp; Elder, J. P. (2013). Neighborhood Income Matters: Disparities in Community Recreation Facilities, Amenities, and Programs. Journal of park and recreation administration, 31(4), 12–22.</w:t>
      </w:r>
      <w:r>
        <w:t xml:space="preserve"> </w:t>
      </w:r>
      <w:hyperlink r:id="rId153">
        <w:r w:rsidRPr="00220A4A">
          <w:rPr>
            <w:rStyle w:val="Hyperlink"/>
            <w:rFonts w:eastAsia="Times New Roman"/>
          </w:rPr>
          <w:t>[LINK]</w:t>
        </w:r>
      </w:hyperlink>
    </w:p>
  </w:footnote>
  <w:footnote w:id="208">
    <w:p w14:paraId="290C9AC3" w14:textId="77777777" w:rsidR="001D1C68" w:rsidDel="004833A4" w:rsidRDefault="001D1C68" w:rsidP="007D76F7">
      <w:pPr>
        <w:pStyle w:val="FootnoteText"/>
      </w:pPr>
      <w:r w:rsidRPr="4BD402C6">
        <w:rPr>
          <w:rStyle w:val="FootnoteReference"/>
        </w:rPr>
        <w:footnoteRef/>
      </w:r>
      <w:r>
        <w:t xml:space="preserve">The Rationale for Recreation Services for Youth: An Evidenced Based Approach </w:t>
      </w:r>
      <w:hyperlink r:id="rId154">
        <w:r w:rsidRPr="4BD402C6">
          <w:rPr>
            <w:rStyle w:val="Hyperlink"/>
          </w:rPr>
          <w:t>[LINK]</w:t>
        </w:r>
      </w:hyperlink>
    </w:p>
  </w:footnote>
  <w:footnote w:id="209">
    <w:p w14:paraId="58B9A868" w14:textId="663F975F" w:rsidR="001D1C68" w:rsidRDefault="001D1C68" w:rsidP="007D76F7">
      <w:pPr>
        <w:pStyle w:val="FootnoteText"/>
      </w:pPr>
      <w:r w:rsidRPr="65049D61">
        <w:rPr>
          <w:rStyle w:val="FootnoteReference"/>
          <w:rFonts w:eastAsia="Calibri"/>
          <w:szCs w:val="20"/>
        </w:rPr>
        <w:footnoteRef/>
      </w:r>
      <w:r w:rsidRPr="65049D61">
        <w:t xml:space="preserve"> </w:t>
      </w:r>
      <w:r w:rsidRPr="00584906">
        <w:t xml:space="preserve">Impact of the COVID-19 Pandemic on Children, Youth and Families IMPROVING CARE. CHANGING LIVES. </w:t>
      </w:r>
      <w:r>
        <w:t xml:space="preserve">Evidence-Based Policy Institute, </w:t>
      </w:r>
      <w:r w:rsidRPr="00584906">
        <w:t>September 2020</w:t>
      </w:r>
      <w:r>
        <w:t>. [</w:t>
      </w:r>
      <w:hyperlink r:id="rId155" w:history="1">
        <w:r w:rsidRPr="00A80233">
          <w:rPr>
            <w:rStyle w:val="Hyperlink"/>
            <w:rFonts w:eastAsia="Calibri"/>
            <w:szCs w:val="20"/>
          </w:rPr>
          <w:t>LINK</w:t>
        </w:r>
      </w:hyperlink>
      <w:r>
        <w:t>]</w:t>
      </w:r>
    </w:p>
  </w:footnote>
  <w:footnote w:id="210">
    <w:p w14:paraId="657E899A" w14:textId="556ABB0E" w:rsidR="001D1C68" w:rsidRDefault="001D1C68" w:rsidP="007D76F7">
      <w:pPr>
        <w:pStyle w:val="FootnoteText"/>
        <w:rPr>
          <w:rFonts w:eastAsia="Calibri"/>
          <w:szCs w:val="20"/>
        </w:rPr>
      </w:pPr>
      <w:r w:rsidRPr="65049D61">
        <w:rPr>
          <w:rStyle w:val="FootnoteReference"/>
          <w:rFonts w:eastAsia="Calibri"/>
          <w:szCs w:val="20"/>
        </w:rPr>
        <w:footnoteRef/>
      </w:r>
      <w:r w:rsidRPr="65049D61">
        <w:rPr>
          <w:rFonts w:eastAsia="Calibri"/>
          <w:szCs w:val="20"/>
        </w:rPr>
        <w:t xml:space="preserve"> </w:t>
      </w:r>
      <w:r w:rsidRPr="003909AF">
        <w:t>Benefits for Youth, Families, &amp; Communities | Youth.gov</w:t>
      </w:r>
      <w:r>
        <w:t>. [</w:t>
      </w:r>
      <w:hyperlink r:id="rId156" w:history="1">
        <w:r w:rsidRPr="00C50B23">
          <w:rPr>
            <w:rStyle w:val="Hyperlink"/>
          </w:rPr>
          <w:t>LINK</w:t>
        </w:r>
      </w:hyperlink>
      <w:r>
        <w:t>]</w:t>
      </w:r>
    </w:p>
  </w:footnote>
  <w:footnote w:id="211">
    <w:p w14:paraId="5284457C" w14:textId="3B921190" w:rsidR="001D1C68" w:rsidRDefault="001D1C68" w:rsidP="007D76F7">
      <w:pPr>
        <w:pStyle w:val="FootnoteText"/>
      </w:pPr>
      <w:r>
        <w:rPr>
          <w:rStyle w:val="FootnoteReference"/>
        </w:rPr>
        <w:footnoteRef/>
      </w:r>
      <w:r>
        <w:t xml:space="preserve"> PSTAA Implementation Plan [</w:t>
      </w:r>
      <w:hyperlink r:id="rId157" w:history="1">
        <w:r w:rsidRPr="00EC1111">
          <w:rPr>
            <w:rStyle w:val="Hyperlink"/>
          </w:rPr>
          <w:t>LINK</w:t>
        </w:r>
      </w:hyperlink>
      <w:r>
        <w:t>], approved by Motion 15673 in 2020, [</w:t>
      </w:r>
      <w:hyperlink r:id="rId158" w:history="1">
        <w:r w:rsidRPr="007A7604">
          <w:rPr>
            <w:rStyle w:val="Hyperlink"/>
          </w:rPr>
          <w:t>LINK</w:t>
        </w:r>
      </w:hyperlink>
      <w:r>
        <w:t>]</w:t>
      </w:r>
    </w:p>
  </w:footnote>
  <w:footnote w:id="212">
    <w:p w14:paraId="535BD1C3" w14:textId="794ED82A" w:rsidR="001D1C68" w:rsidRDefault="001D1C68" w:rsidP="007D76F7">
      <w:pPr>
        <w:pStyle w:val="FootnoteText"/>
      </w:pPr>
      <w:r>
        <w:rPr>
          <w:rStyle w:val="FootnoteReference"/>
        </w:rPr>
        <w:footnoteRef/>
      </w:r>
      <w:r>
        <w:t xml:space="preserve"> King County Housing Finance Program. [</w:t>
      </w:r>
      <w:hyperlink r:id="rId159" w:history="1">
        <w:r w:rsidRPr="00B4704B">
          <w:rPr>
            <w:rStyle w:val="Hyperlink"/>
          </w:rPr>
          <w:t>LINK</w:t>
        </w:r>
      </w:hyperlink>
      <w:r>
        <w:t>]</w:t>
      </w:r>
    </w:p>
  </w:footnote>
  <w:footnote w:id="213">
    <w:p w14:paraId="209586CE" w14:textId="3B16DD74" w:rsidR="001D1C68" w:rsidRDefault="001D1C68" w:rsidP="007D76F7">
      <w:pPr>
        <w:pStyle w:val="FootnoteText"/>
      </w:pPr>
      <w:r>
        <w:rPr>
          <w:rStyle w:val="FootnoteReference"/>
        </w:rPr>
        <w:footnoteRef/>
      </w:r>
      <w:r>
        <w:t xml:space="preserve"> Seattle Equitable Development Initiative. [</w:t>
      </w:r>
      <w:hyperlink r:id="rId160" w:history="1">
        <w:r w:rsidRPr="00ED06BB">
          <w:rPr>
            <w:rStyle w:val="Hyperlink"/>
          </w:rPr>
          <w:t>LINK</w:t>
        </w:r>
      </w:hyperlink>
      <w:r>
        <w:t>]</w:t>
      </w:r>
    </w:p>
  </w:footnote>
  <w:footnote w:id="214">
    <w:p w14:paraId="3DD73898" w14:textId="46D60334" w:rsidR="001D1C68" w:rsidRDefault="001D1C68" w:rsidP="007D76F7">
      <w:pPr>
        <w:pStyle w:val="FootnoteText"/>
      </w:pPr>
      <w:r>
        <w:rPr>
          <w:rStyle w:val="FootnoteReference"/>
        </w:rPr>
        <w:footnoteRef/>
      </w:r>
      <w:r>
        <w:t xml:space="preserve"> King County Housing, Homelessness, and Community Development Division. </w:t>
      </w:r>
      <w:hyperlink r:id="rId161" w:history="1">
        <w:r>
          <w:rPr>
            <w:rStyle w:val="Hyperlink"/>
          </w:rPr>
          <w:t>[LINK]</w:t>
        </w:r>
      </w:hyperlink>
    </w:p>
    <w:p w14:paraId="67200E1C" w14:textId="77777777" w:rsidR="001D1C68" w:rsidRDefault="001D1C68" w:rsidP="007D76F7">
      <w:pPr>
        <w:pStyle w:val="FootnoteText"/>
      </w:pPr>
    </w:p>
  </w:footnote>
  <w:footnote w:id="215">
    <w:p w14:paraId="516168C1" w14:textId="12207EDF" w:rsidR="001D1C68" w:rsidRDefault="001D1C68" w:rsidP="007D76F7">
      <w:pPr>
        <w:pStyle w:val="FootnoteText"/>
      </w:pPr>
      <w:r>
        <w:rPr>
          <w:rStyle w:val="FootnoteReference"/>
        </w:rPr>
        <w:footnoteRef/>
      </w:r>
      <w:r>
        <w:t xml:space="preserve"> Ibid.</w:t>
      </w:r>
    </w:p>
  </w:footnote>
  <w:footnote w:id="216">
    <w:p w14:paraId="0C49088E" w14:textId="2609900B" w:rsidR="001D1C68" w:rsidRDefault="001D1C68" w:rsidP="007D76F7">
      <w:pPr>
        <w:pStyle w:val="FootnoteText"/>
      </w:pPr>
      <w:r>
        <w:rPr>
          <w:rStyle w:val="FootnoteReference"/>
        </w:rPr>
        <w:footnoteRef/>
      </w:r>
      <w:r>
        <w:t xml:space="preserve"> </w:t>
      </w:r>
      <w:r w:rsidRPr="00F76727">
        <w:t xml:space="preserve">See </w:t>
      </w:r>
      <w:hyperlink w:anchor="_Procurement_and_Financial" w:history="1">
        <w:r w:rsidRPr="009D5E4A">
          <w:rPr>
            <w:rStyle w:val="Hyperlink"/>
          </w:rPr>
          <w:t>Appendix I</w:t>
        </w:r>
      </w:hyperlink>
      <w:r w:rsidRPr="00F76727">
        <w:t xml:space="preserve">, </w:t>
      </w:r>
      <w:r w:rsidRPr="00680DE1">
        <w:t>Procurement and Fiscal Policies</w:t>
      </w:r>
      <w:r>
        <w:t>.</w:t>
      </w:r>
    </w:p>
  </w:footnote>
  <w:footnote w:id="217">
    <w:p w14:paraId="22ED44B4" w14:textId="34F69059" w:rsidR="001D1C68" w:rsidRDefault="001D1C68" w:rsidP="007D76F7">
      <w:pPr>
        <w:pStyle w:val="FootnoteText"/>
      </w:pPr>
      <w:r>
        <w:rPr>
          <w:rStyle w:val="FootnoteReference"/>
        </w:rPr>
        <w:footnoteRef/>
      </w:r>
      <w:r>
        <w:t xml:space="preserve"> Ordinance 19267.[</w:t>
      </w:r>
      <w:hyperlink r:id="rId162" w:history="1">
        <w:r w:rsidRPr="003F2B8E">
          <w:rPr>
            <w:rStyle w:val="Hyperlink"/>
          </w:rPr>
          <w:t>LINK</w:t>
        </w:r>
      </w:hyperlink>
      <w:r>
        <w:t>]</w:t>
      </w:r>
    </w:p>
  </w:footnote>
  <w:footnote w:id="218">
    <w:p w14:paraId="5CD53831" w14:textId="70EBBB55" w:rsidR="001D1C68" w:rsidRDefault="001D1C68" w:rsidP="007D76F7">
      <w:pPr>
        <w:pStyle w:val="FootnoteText"/>
        <w:rPr>
          <w:rFonts w:asciiTheme="minorHAnsi" w:hAnsiTheme="minorHAnsi" w:cstheme="minorBidi"/>
        </w:rPr>
      </w:pPr>
      <w:r w:rsidRPr="241420B3">
        <w:rPr>
          <w:rStyle w:val="FootnoteReference"/>
        </w:rPr>
        <w:footnoteRef/>
      </w:r>
      <w:r>
        <w:t xml:space="preserve"> </w:t>
      </w:r>
      <w:r w:rsidRPr="241420B3">
        <w:rPr>
          <w:rFonts w:asciiTheme="minorHAnsi" w:hAnsiTheme="minorHAnsi" w:cstheme="minorBidi"/>
        </w:rPr>
        <w:t>Ordinance 19267. [</w:t>
      </w:r>
      <w:hyperlink r:id="rId163">
        <w:r w:rsidRPr="241420B3">
          <w:rPr>
            <w:rStyle w:val="Hyperlink"/>
            <w:rFonts w:asciiTheme="minorHAnsi" w:hAnsiTheme="minorHAnsi" w:cstheme="minorBidi"/>
          </w:rPr>
          <w:t>LINK</w:t>
        </w:r>
      </w:hyperlink>
      <w:r w:rsidRPr="241420B3">
        <w:rPr>
          <w:rFonts w:asciiTheme="minorHAnsi" w:hAnsiTheme="minorHAnsi" w:cstheme="minorBidi"/>
        </w:rPr>
        <w:t>]</w:t>
      </w:r>
    </w:p>
  </w:footnote>
  <w:footnote w:id="219">
    <w:p w14:paraId="408A5D1D" w14:textId="77777777" w:rsidR="001D1C68" w:rsidRPr="00354EFE" w:rsidRDefault="001D1C68" w:rsidP="007D76F7">
      <w:pPr>
        <w:pStyle w:val="FootnoteText"/>
        <w:rPr>
          <w:rFonts w:asciiTheme="minorHAnsi" w:hAnsiTheme="minorHAnsi" w:cstheme="minorHAnsi"/>
          <w:szCs w:val="20"/>
        </w:rPr>
      </w:pPr>
      <w:r w:rsidRPr="00354EFE">
        <w:rPr>
          <w:rStyle w:val="FootnoteReference"/>
          <w:rFonts w:asciiTheme="minorHAnsi" w:hAnsiTheme="minorHAnsi" w:cstheme="minorHAnsi"/>
          <w:szCs w:val="20"/>
        </w:rPr>
        <w:footnoteRef/>
      </w:r>
      <w:r w:rsidRPr="00354EFE">
        <w:rPr>
          <w:rFonts w:asciiTheme="minorHAnsi" w:hAnsiTheme="minorHAnsi" w:cstheme="minorHAnsi"/>
          <w:szCs w:val="20"/>
        </w:rPr>
        <w:t xml:space="preserve"> </w:t>
      </w:r>
      <w:r w:rsidRPr="00354EFE">
        <w:rPr>
          <w:rFonts w:asciiTheme="minorHAnsi" w:hAnsiTheme="minorHAnsi" w:cstheme="minorHAnsi"/>
          <w:i/>
          <w:szCs w:val="20"/>
        </w:rPr>
        <w:t>Best Starts</w:t>
      </w:r>
      <w:r w:rsidRPr="00354EFE">
        <w:rPr>
          <w:rFonts w:asciiTheme="minorHAnsi" w:hAnsiTheme="minorHAnsi" w:cstheme="minorHAnsi"/>
          <w:szCs w:val="20"/>
        </w:rPr>
        <w:t xml:space="preserve"> Evaluation Dashboard [</w:t>
      </w:r>
      <w:hyperlink r:id="rId164">
        <w:r w:rsidRPr="00354EFE">
          <w:rPr>
            <w:rStyle w:val="Hyperlink"/>
            <w:rFonts w:asciiTheme="minorHAnsi" w:hAnsiTheme="minorHAnsi" w:cstheme="minorHAnsi"/>
            <w:szCs w:val="20"/>
          </w:rPr>
          <w:t>LINK</w:t>
        </w:r>
      </w:hyperlink>
      <w:r w:rsidRPr="00354EFE">
        <w:rPr>
          <w:rFonts w:asciiTheme="minorHAnsi" w:hAnsiTheme="minorHAnsi" w:cstheme="minorHAnsi"/>
          <w:szCs w:val="20"/>
        </w:rPr>
        <w:t>]</w:t>
      </w:r>
    </w:p>
  </w:footnote>
  <w:footnote w:id="220">
    <w:p w14:paraId="1903618E" w14:textId="431C0AA6" w:rsidR="001D1C68" w:rsidRDefault="001D1C68" w:rsidP="007D76F7">
      <w:pPr>
        <w:pStyle w:val="FootnoteText"/>
      </w:pPr>
      <w:r w:rsidRPr="00354EFE">
        <w:rPr>
          <w:rStyle w:val="FootnoteReference"/>
          <w:rFonts w:asciiTheme="minorHAnsi" w:hAnsiTheme="minorHAnsi" w:cstheme="minorHAnsi"/>
          <w:szCs w:val="20"/>
        </w:rPr>
        <w:footnoteRef/>
      </w:r>
      <w:r w:rsidRPr="00354EFE">
        <w:rPr>
          <w:rFonts w:asciiTheme="minorHAnsi" w:hAnsiTheme="minorHAnsi" w:cstheme="minorHAnsi"/>
          <w:szCs w:val="20"/>
        </w:rPr>
        <w:t xml:space="preserve"> Evaluation </w:t>
      </w:r>
      <w:r>
        <w:rPr>
          <w:rFonts w:asciiTheme="minorHAnsi" w:hAnsiTheme="minorHAnsi" w:cstheme="minorHAnsi"/>
          <w:szCs w:val="20"/>
        </w:rPr>
        <w:t>R</w:t>
      </w:r>
      <w:r w:rsidRPr="00354EFE">
        <w:rPr>
          <w:rFonts w:asciiTheme="minorHAnsi" w:hAnsiTheme="minorHAnsi" w:cstheme="minorHAnsi"/>
          <w:szCs w:val="20"/>
        </w:rPr>
        <w:t xml:space="preserve">eport for </w:t>
      </w:r>
      <w:r w:rsidRPr="00354EFE">
        <w:rPr>
          <w:rFonts w:asciiTheme="minorHAnsi" w:hAnsiTheme="minorHAnsi" w:cstheme="minorHAnsi"/>
          <w:i/>
          <w:szCs w:val="20"/>
        </w:rPr>
        <w:t>Best Starts for Kids</w:t>
      </w:r>
      <w:r w:rsidRPr="00354EFE">
        <w:rPr>
          <w:rFonts w:asciiTheme="minorHAnsi" w:hAnsiTheme="minorHAnsi" w:cstheme="minorHAnsi"/>
          <w:szCs w:val="20"/>
        </w:rPr>
        <w:t xml:space="preserve"> Technical</w:t>
      </w:r>
      <w:r>
        <w:t xml:space="preserve"> Assistance. [</w:t>
      </w:r>
      <w:hyperlink r:id="rId165" w:history="1">
        <w:r w:rsidRPr="003924DC">
          <w:rPr>
            <w:rStyle w:val="Hyperlink"/>
          </w:rPr>
          <w:t>LINK</w:t>
        </w:r>
      </w:hyperlink>
      <w:r>
        <w:t>]</w:t>
      </w:r>
    </w:p>
  </w:footnote>
  <w:footnote w:id="221">
    <w:p w14:paraId="0C789562" w14:textId="282DA0A0" w:rsidR="001D1C68" w:rsidRDefault="001D1C68" w:rsidP="007D76F7">
      <w:pPr>
        <w:pStyle w:val="FootnoteText"/>
      </w:pPr>
      <w:r>
        <w:rPr>
          <w:rStyle w:val="FootnoteReference"/>
        </w:rPr>
        <w:footnoteRef/>
      </w:r>
      <w:r>
        <w:t xml:space="preserve"> </w:t>
      </w:r>
      <w:r w:rsidRPr="7F28C585">
        <w:rPr>
          <w:i/>
          <w:iCs/>
        </w:rPr>
        <w:t xml:space="preserve">Best Starts </w:t>
      </w:r>
      <w:r w:rsidRPr="7F28C585">
        <w:t xml:space="preserve">Evaluation and Performance Measurement Plan, </w:t>
      </w:r>
      <w:r>
        <w:t>Motion 14979. [</w:t>
      </w:r>
      <w:hyperlink r:id="rId166" w:history="1">
        <w:r w:rsidRPr="00B377DB">
          <w:rPr>
            <w:rStyle w:val="Hyperlink"/>
          </w:rPr>
          <w:t>LINK</w:t>
        </w:r>
      </w:hyperlink>
      <w:r>
        <w:t>]</w:t>
      </w:r>
    </w:p>
  </w:footnote>
  <w:footnote w:id="222">
    <w:p w14:paraId="2EB790E2" w14:textId="53AC8D89" w:rsidR="001D1C68" w:rsidRDefault="001D1C68" w:rsidP="007D76F7">
      <w:pPr>
        <w:pStyle w:val="FootnoteText"/>
      </w:pPr>
      <w:r>
        <w:rPr>
          <w:rStyle w:val="FootnoteReference"/>
        </w:rPr>
        <w:footnoteRef/>
      </w:r>
      <w:r>
        <w:t xml:space="preserve"> The community engagement process is described in Section III.E and </w:t>
      </w:r>
      <w:r w:rsidRPr="003420B4">
        <w:t>Appendix J</w:t>
      </w:r>
      <w:r>
        <w:t>. [</w:t>
      </w:r>
      <w:hyperlink w:anchor="_E.__Community" w:history="1">
        <w:r w:rsidRPr="00317EF7">
          <w:rPr>
            <w:rStyle w:val="Hyperlink"/>
          </w:rPr>
          <w:t>LINK</w:t>
        </w:r>
      </w:hyperlink>
      <w:r>
        <w:t>]</w:t>
      </w:r>
    </w:p>
  </w:footnote>
  <w:footnote w:id="223">
    <w:p w14:paraId="129D4573" w14:textId="5B50945F" w:rsidR="001D1C68" w:rsidRDefault="001D1C68" w:rsidP="007D76F7">
      <w:pPr>
        <w:pStyle w:val="FootnoteText"/>
      </w:pPr>
      <w:r>
        <w:rPr>
          <w:rStyle w:val="FootnoteReference"/>
        </w:rPr>
        <w:footnoteRef/>
      </w:r>
      <w:r>
        <w:t xml:space="preserve"> Children and Youth Advisory Board. Statement on Equity. [</w:t>
      </w:r>
      <w:hyperlink r:id="rId167" w:history="1">
        <w:r w:rsidRPr="0032354A">
          <w:rPr>
            <w:rStyle w:val="Hyperlink"/>
          </w:rPr>
          <w:t>LINK</w:t>
        </w:r>
      </w:hyperlink>
      <w:r>
        <w:t>]</w:t>
      </w:r>
    </w:p>
  </w:footnote>
  <w:footnote w:id="224">
    <w:p w14:paraId="36F805F4" w14:textId="0B3D5100" w:rsidR="001D1C68" w:rsidRDefault="001D1C68" w:rsidP="007D76F7">
      <w:pPr>
        <w:pStyle w:val="FootnoteText"/>
      </w:pPr>
      <w:r>
        <w:rPr>
          <w:rStyle w:val="FootnoteReference"/>
        </w:rPr>
        <w:footnoteRef/>
      </w:r>
      <w:r>
        <w:t xml:space="preserve"> Communities of Opportunity. Governance Grounding. [</w:t>
      </w:r>
      <w:hyperlink r:id="rId168" w:history="1">
        <w:r w:rsidRPr="004F7CFE">
          <w:rPr>
            <w:rStyle w:val="Hyperlink"/>
          </w:rPr>
          <w:t>LINK</w:t>
        </w:r>
      </w:hyperlink>
      <w:r>
        <w:t>]</w:t>
      </w:r>
    </w:p>
  </w:footnote>
  <w:footnote w:id="225">
    <w:p w14:paraId="2DAB4E10" w14:textId="29969E17" w:rsidR="001D1C68" w:rsidRDefault="001D1C68" w:rsidP="007D76F7">
      <w:pPr>
        <w:pStyle w:val="FootnoteText"/>
      </w:pPr>
      <w:r>
        <w:rPr>
          <w:rStyle w:val="FootnoteReference"/>
        </w:rPr>
        <w:footnoteRef/>
      </w:r>
      <w:r>
        <w:t xml:space="preserve"> Principles include: systemic inquiry, integrity, respect for people, and common good. American Evaluation Association Guiding Principles. [</w:t>
      </w:r>
      <w:hyperlink r:id="rId169" w:history="1">
        <w:r w:rsidRPr="004E538C">
          <w:rPr>
            <w:rStyle w:val="Hyperlink"/>
          </w:rPr>
          <w:t>LINK</w:t>
        </w:r>
      </w:hyperlink>
      <w:r>
        <w:t>]</w:t>
      </w:r>
    </w:p>
  </w:footnote>
  <w:footnote w:id="226">
    <w:p w14:paraId="55D4BAF9" w14:textId="77777777" w:rsidR="001D1C68" w:rsidRDefault="001D1C68" w:rsidP="007D76F7">
      <w:pPr>
        <w:pStyle w:val="FootnoteText"/>
      </w:pPr>
      <w:r>
        <w:rPr>
          <w:rStyle w:val="FootnoteReference"/>
        </w:rPr>
        <w:footnoteRef/>
      </w:r>
      <w:r>
        <w:t xml:space="preserve"> WestEd for the Annie E. Casey Foundation. Reflections on Applying Principles of Equitable Evaluation. [</w:t>
      </w:r>
      <w:hyperlink r:id="rId170" w:history="1">
        <w:r w:rsidRPr="00480F57">
          <w:rPr>
            <w:rStyle w:val="Hyperlink"/>
          </w:rPr>
          <w:t>LINK</w:t>
        </w:r>
      </w:hyperlink>
      <w:r>
        <w:t>]</w:t>
      </w:r>
    </w:p>
  </w:footnote>
  <w:footnote w:id="227">
    <w:p w14:paraId="39C84F32" w14:textId="23C26F56" w:rsidR="001D1C68" w:rsidRDefault="001D1C68" w:rsidP="007D76F7">
      <w:pPr>
        <w:pStyle w:val="FootnoteText"/>
      </w:pPr>
      <w:r>
        <w:rPr>
          <w:rStyle w:val="FootnoteReference"/>
        </w:rPr>
        <w:footnoteRef/>
      </w:r>
      <w:r w:rsidRPr="00FE7BCA">
        <w:t xml:space="preserve">Decolonizing data means that the community itself </w:t>
      </w:r>
      <w:r>
        <w:t>determines</w:t>
      </w:r>
      <w:r w:rsidRPr="00FE7BCA">
        <w:t xml:space="preserve"> </w:t>
      </w:r>
      <w:r>
        <w:t>the data that is collected, the interpretation, and</w:t>
      </w:r>
      <w:r w:rsidRPr="00FE7BCA">
        <w:t xml:space="preserve"> </w:t>
      </w:r>
      <w:r>
        <w:t xml:space="preserve">the </w:t>
      </w:r>
      <w:r w:rsidRPr="00FE7BCA">
        <w:t>decision</w:t>
      </w:r>
      <w:r>
        <w:t xml:space="preserve"> making based on the data. [</w:t>
      </w:r>
      <w:hyperlink r:id="rId171" w:history="1">
        <w:r w:rsidRPr="007E3C26">
          <w:rPr>
            <w:rStyle w:val="Hyperlink"/>
          </w:rPr>
          <w:t>LINK</w:t>
        </w:r>
      </w:hyperlink>
      <w:r>
        <w:t>]</w:t>
      </w:r>
    </w:p>
  </w:footnote>
  <w:footnote w:id="228">
    <w:p w14:paraId="1EA3BB3C" w14:textId="49D91F67" w:rsidR="001D1C68" w:rsidRDefault="001D1C68" w:rsidP="007D76F7">
      <w:pPr>
        <w:pStyle w:val="FootnoteText"/>
      </w:pPr>
      <w:r>
        <w:rPr>
          <w:rStyle w:val="FootnoteReference"/>
        </w:rPr>
        <w:footnoteRef/>
      </w:r>
      <w:r>
        <w:t xml:space="preserve"> Montana Budget and Policy Center. [</w:t>
      </w:r>
      <w:hyperlink r:id="rId172" w:history="1">
        <w:r w:rsidRPr="00176738">
          <w:rPr>
            <w:rStyle w:val="Hyperlink"/>
          </w:rPr>
          <w:t>LINK</w:t>
        </w:r>
      </w:hyperlink>
      <w:r>
        <w:t xml:space="preserve">] </w:t>
      </w:r>
    </w:p>
  </w:footnote>
  <w:footnote w:id="229">
    <w:p w14:paraId="63DBE46C" w14:textId="7BCB85CE" w:rsidR="001D1C68" w:rsidRDefault="001D1C68" w:rsidP="007D76F7">
      <w:pPr>
        <w:pStyle w:val="FootnoteText"/>
      </w:pPr>
      <w:r>
        <w:rPr>
          <w:rStyle w:val="FootnoteReference"/>
        </w:rPr>
        <w:footnoteRef/>
      </w:r>
      <w:r>
        <w:t xml:space="preserve"> Center for Evaluation Innovation. Evaluation for Strategic Learning: Assessing Readiness and Results. [</w:t>
      </w:r>
      <w:hyperlink r:id="rId173" w:history="1">
        <w:r w:rsidRPr="006C1A55">
          <w:rPr>
            <w:rStyle w:val="Hyperlink"/>
          </w:rPr>
          <w:t>LINK</w:t>
        </w:r>
      </w:hyperlink>
      <w:r>
        <w:t>]</w:t>
      </w:r>
    </w:p>
  </w:footnote>
  <w:footnote w:id="230">
    <w:p w14:paraId="65838F54" w14:textId="221D1B1F" w:rsidR="001D1C68" w:rsidRDefault="001D1C68" w:rsidP="007D76F7">
      <w:pPr>
        <w:pStyle w:val="FootnoteText"/>
      </w:pPr>
      <w:r>
        <w:rPr>
          <w:rStyle w:val="FootnoteReference"/>
        </w:rPr>
        <w:footnoteRef/>
      </w:r>
      <w:r>
        <w:t xml:space="preserve"> Clear Impact. What is Results Based Accountability? [</w:t>
      </w:r>
      <w:hyperlink r:id="rId174" w:history="1">
        <w:r w:rsidRPr="006C1A55">
          <w:rPr>
            <w:rStyle w:val="Hyperlink"/>
          </w:rPr>
          <w:t>LINK</w:t>
        </w:r>
      </w:hyperlink>
      <w:r>
        <w:t>]</w:t>
      </w:r>
    </w:p>
  </w:footnote>
  <w:footnote w:id="231">
    <w:p w14:paraId="600E2026" w14:textId="6D4B0EAD" w:rsidR="001D1C68" w:rsidRPr="00D339F2" w:rsidRDefault="001D1C68" w:rsidP="007D76F7">
      <w:pPr>
        <w:pStyle w:val="FootnoteText"/>
        <w:rPr>
          <w:rStyle w:val="Hyperlink"/>
          <w:color w:val="auto"/>
          <w:u w:val="none"/>
        </w:rPr>
      </w:pPr>
      <w:r w:rsidRPr="5605244A">
        <w:rPr>
          <w:rStyle w:val="FootnoteReference"/>
        </w:rPr>
        <w:footnoteRef/>
      </w:r>
      <w:r w:rsidRPr="5605244A">
        <w:t xml:space="preserve">Best Starts for Kids Evaluation and Performance Measurement Plan, </w:t>
      </w:r>
      <w:r>
        <w:t>Motion 14979.</w:t>
      </w:r>
      <w:r w:rsidRPr="00D339F2">
        <w:t xml:space="preserve"> </w:t>
      </w:r>
      <w:hyperlink r:id="rId175" w:history="1">
        <w:r>
          <w:rPr>
            <w:rStyle w:val="Hyperlink"/>
          </w:rPr>
          <w:t>[LINK]</w:t>
        </w:r>
      </w:hyperlink>
    </w:p>
  </w:footnote>
  <w:footnote w:id="232">
    <w:p w14:paraId="1184B816" w14:textId="11914C02" w:rsidR="001D1C68" w:rsidRDefault="001D1C68">
      <w:pPr>
        <w:pStyle w:val="FootnoteText"/>
      </w:pPr>
      <w:r>
        <w:rPr>
          <w:rStyle w:val="FootnoteReference"/>
        </w:rPr>
        <w:footnoteRef/>
      </w:r>
      <w:r>
        <w:t xml:space="preserve"> Applying the Results Based Accountability evaluation framework (see Section IV.K), </w:t>
      </w:r>
      <w:r>
        <w:rPr>
          <w:i/>
          <w:iCs/>
        </w:rPr>
        <w:t xml:space="preserve">Best Starts </w:t>
      </w:r>
      <w:r>
        <w:t>uses these county-wide, population level headline and secondary indicators in Appendix E to identify needs, understand baseline conditions, and track trends.</w:t>
      </w:r>
    </w:p>
  </w:footnote>
  <w:footnote w:id="233">
    <w:p w14:paraId="46DBF6A3" w14:textId="5512A4BF" w:rsidR="001D1C68" w:rsidRDefault="001D1C68" w:rsidP="007D76F7">
      <w:pPr>
        <w:pStyle w:val="FootnoteText"/>
      </w:pPr>
      <w:r>
        <w:rPr>
          <w:rStyle w:val="FootnoteReference"/>
        </w:rPr>
        <w:footnoteRef/>
      </w:r>
      <w:r>
        <w:t xml:space="preserve"> </w:t>
      </w:r>
      <w:r w:rsidRPr="00354EFE">
        <w:rPr>
          <w:i/>
        </w:rPr>
        <w:t>Best Starts for Kids</w:t>
      </w:r>
      <w:r>
        <w:t xml:space="preserve"> Health Survey Recognized with National Equity Award. [</w:t>
      </w:r>
      <w:hyperlink r:id="rId176" w:history="1">
        <w:r w:rsidRPr="007778FE">
          <w:rPr>
            <w:rStyle w:val="Hyperlink"/>
          </w:rPr>
          <w:t>LINK</w:t>
        </w:r>
      </w:hyperlink>
      <w:r>
        <w:t>]</w:t>
      </w:r>
    </w:p>
  </w:footnote>
  <w:footnote w:id="234">
    <w:p w14:paraId="34BCE234" w14:textId="1758BB43" w:rsidR="001D1C68" w:rsidRDefault="001D1C68" w:rsidP="007D76F7">
      <w:pPr>
        <w:pStyle w:val="FootnoteText"/>
      </w:pPr>
      <w:r w:rsidRPr="410FC72A">
        <w:rPr>
          <w:rStyle w:val="FootnoteReference"/>
          <w:rFonts w:eastAsia="Calibri"/>
        </w:rPr>
        <w:footnoteRef/>
      </w:r>
      <w:r w:rsidRPr="410FC72A">
        <w:t xml:space="preserve"> </w:t>
      </w:r>
      <w:r w:rsidRPr="0FE866D8">
        <w:t>Washington State Department of Health, Birth Certificate and Infant Mortality data; Pregnancy Risk Assessment Monitoring System.</w:t>
      </w:r>
    </w:p>
  </w:footnote>
  <w:footnote w:id="235">
    <w:p w14:paraId="2EEB5627" w14:textId="2A6285FA" w:rsidR="001D1C68" w:rsidRDefault="001D1C68" w:rsidP="007D76F7">
      <w:pPr>
        <w:pStyle w:val="FootnoteText"/>
      </w:pPr>
      <w:r w:rsidRPr="6A90DE2B">
        <w:rPr>
          <w:rStyle w:val="FootnoteReference"/>
          <w:rFonts w:eastAsia="Calibri"/>
        </w:rPr>
        <w:footnoteRef/>
      </w:r>
      <w:r w:rsidRPr="6A90DE2B">
        <w:t xml:space="preserve"> </w:t>
      </w:r>
      <w:r w:rsidRPr="0FE866D8">
        <w:t>Washington State Healthy Youth Survey; Office of the Superintendent</w:t>
      </w:r>
      <w:r w:rsidRPr="3DCE31AC">
        <w:t xml:space="preserve"> of Public Instruction</w:t>
      </w:r>
      <w:r w:rsidRPr="0FE866D8">
        <w:t>; US Census Bureau, American Community Survey.</w:t>
      </w:r>
    </w:p>
  </w:footnote>
  <w:footnote w:id="236">
    <w:p w14:paraId="4D059967" w14:textId="299FD3E6" w:rsidR="001D1C68" w:rsidRDefault="001D1C68" w:rsidP="007D76F7">
      <w:pPr>
        <w:pStyle w:val="FootnoteText"/>
      </w:pPr>
      <w:r>
        <w:rPr>
          <w:rStyle w:val="FootnoteReference"/>
        </w:rPr>
        <w:footnoteRef/>
      </w:r>
      <w:r>
        <w:t xml:space="preserve"> See </w:t>
      </w:r>
      <w:hyperlink w:anchor="_Evaluation_Plan_Example_1" w:history="1">
        <w:r w:rsidRPr="0078353B">
          <w:rPr>
            <w:rStyle w:val="Hyperlink"/>
          </w:rPr>
          <w:t>Appendix K</w:t>
        </w:r>
      </w:hyperlink>
      <w:r>
        <w:t xml:space="preserve"> for an example </w:t>
      </w:r>
      <w:r>
        <w:rPr>
          <w:rFonts w:cs="Calibri"/>
        </w:rPr>
        <w:t xml:space="preserve">of an evaluation plan from </w:t>
      </w:r>
      <w:r w:rsidRPr="006F7389">
        <w:rPr>
          <w:rFonts w:cs="Calibri"/>
          <w:i/>
          <w:iCs/>
        </w:rPr>
        <w:t>Best Starts for Kids</w:t>
      </w:r>
      <w:r w:rsidRPr="00831327">
        <w:rPr>
          <w:rFonts w:cs="Calibri"/>
        </w:rPr>
        <w:t xml:space="preserve"> 2016-2021</w:t>
      </w:r>
      <w:r>
        <w:rPr>
          <w:rFonts w:cs="Calibri"/>
        </w:rPr>
        <w:t>.</w:t>
      </w:r>
      <w:r w:rsidDel="00754B25">
        <w:t xml:space="preserve"> </w:t>
      </w:r>
      <w:r>
        <w:t>[</w:t>
      </w:r>
      <w:hyperlink w:anchor="_Evaluation_Plan_Example_1" w:history="1">
        <w:r w:rsidRPr="00AF04AC">
          <w:rPr>
            <w:rStyle w:val="Hyperlink"/>
          </w:rPr>
          <w:t>LINK</w:t>
        </w:r>
      </w:hyperlink>
      <w:r>
        <w:t>]</w:t>
      </w:r>
    </w:p>
  </w:footnote>
  <w:footnote w:id="237">
    <w:p w14:paraId="581A0FF1" w14:textId="540F2C0A" w:rsidR="001D1C68" w:rsidRPr="006321E3" w:rsidRDefault="001D1C68" w:rsidP="007D76F7">
      <w:pPr>
        <w:pStyle w:val="FootnoteText"/>
      </w:pPr>
      <w:r>
        <w:rPr>
          <w:rStyle w:val="FootnoteReference"/>
        </w:rPr>
        <w:footnoteRef/>
      </w:r>
      <w:r>
        <w:t xml:space="preserve"> See sections VI E. and F of this report and </w:t>
      </w:r>
      <w:r>
        <w:rPr>
          <w:i/>
          <w:iCs/>
        </w:rPr>
        <w:t xml:space="preserve">Best Starts for Kids Implementation Plan, </w:t>
      </w:r>
      <w:r>
        <w:t>Ordinance 18373.</w:t>
      </w:r>
      <w:r w:rsidRPr="006575F9">
        <w:t xml:space="preserve"> </w:t>
      </w:r>
      <w:r>
        <w:t>[</w:t>
      </w:r>
      <w:hyperlink r:id="rId177" w:history="1">
        <w:r w:rsidRPr="003D78AF">
          <w:rPr>
            <w:rStyle w:val="Hyperlink"/>
          </w:rPr>
          <w:t>LINK</w:t>
        </w:r>
      </w:hyperlink>
      <w:r>
        <w:rPr>
          <w:rStyle w:val="Hyperlink"/>
        </w:rPr>
        <w:t>]</w:t>
      </w:r>
    </w:p>
  </w:footnote>
  <w:footnote w:id="238">
    <w:p w14:paraId="369C2224" w14:textId="7B8C42D0" w:rsidR="001D1C68" w:rsidRDefault="001D1C68" w:rsidP="007D76F7">
      <w:pPr>
        <w:pStyle w:val="FootnoteText"/>
      </w:pPr>
      <w:r>
        <w:rPr>
          <w:rStyle w:val="FootnoteReference"/>
        </w:rPr>
        <w:footnoteRef/>
      </w:r>
      <w:r>
        <w:t xml:space="preserve"> Ordinance 19267. [</w:t>
      </w:r>
      <w:hyperlink r:id="rId178" w:history="1">
        <w:r w:rsidRPr="003F2B8E">
          <w:rPr>
            <w:rStyle w:val="Hyperlink"/>
          </w:rPr>
          <w:t>LINK</w:t>
        </w:r>
      </w:hyperlink>
      <w:r>
        <w:t>]</w:t>
      </w:r>
    </w:p>
  </w:footnote>
  <w:footnote w:id="239">
    <w:p w14:paraId="3DE855F0" w14:textId="3A0E0EB6" w:rsidR="001D1C68" w:rsidRPr="00A2261F" w:rsidRDefault="001D1C68" w:rsidP="007D76F7">
      <w:pPr>
        <w:pStyle w:val="FootnoteText"/>
      </w:pPr>
      <w:r w:rsidRPr="00A2261F">
        <w:rPr>
          <w:rStyle w:val="FootnoteReference"/>
        </w:rPr>
        <w:footnoteRef/>
      </w:r>
      <w:r w:rsidRPr="00A2261F">
        <w:t xml:space="preserve"> King County Veterans and Human Services Levy Evaluation Framewor</w:t>
      </w:r>
      <w:r>
        <w:t>k. [</w:t>
      </w:r>
      <w:hyperlink r:id="rId179" w:history="1">
        <w:r w:rsidRPr="001620F4">
          <w:rPr>
            <w:rStyle w:val="Hyperlink"/>
          </w:rPr>
          <w:t>LINK</w:t>
        </w:r>
      </w:hyperlink>
      <w:r>
        <w:t>]</w:t>
      </w:r>
    </w:p>
  </w:footnote>
  <w:footnote w:id="240">
    <w:p w14:paraId="2B91BD0B" w14:textId="7030C4E3" w:rsidR="001D1C68" w:rsidRDefault="001D1C68" w:rsidP="007D76F7">
      <w:pPr>
        <w:pStyle w:val="FootnoteText"/>
      </w:pPr>
      <w:r>
        <w:rPr>
          <w:rStyle w:val="FootnoteReference"/>
        </w:rPr>
        <w:footnoteRef/>
      </w:r>
      <w:r>
        <w:t xml:space="preserve"> Ordinance 19267. [</w:t>
      </w:r>
      <w:hyperlink r:id="rId180" w:history="1">
        <w:r w:rsidRPr="00732370">
          <w:rPr>
            <w:rStyle w:val="Hyperlink"/>
          </w:rPr>
          <w:t>LINK</w:t>
        </w:r>
      </w:hyperlink>
      <w:r>
        <w:t>]</w:t>
      </w:r>
    </w:p>
  </w:footnote>
  <w:footnote w:id="241">
    <w:p w14:paraId="12F983F7" w14:textId="77777777" w:rsidR="001D1C68" w:rsidRPr="00F400CB" w:rsidRDefault="001D1C68" w:rsidP="007D76F7">
      <w:pPr>
        <w:pStyle w:val="FootnoteText"/>
      </w:pPr>
      <w:r>
        <w:rPr>
          <w:rStyle w:val="FootnoteReference"/>
        </w:rPr>
        <w:footnoteRef/>
      </w:r>
      <w:r>
        <w:t xml:space="preserve"> For example, see </w:t>
      </w:r>
      <w:r>
        <w:rPr>
          <w:i/>
          <w:iCs/>
        </w:rPr>
        <w:t>Best Starts for Kids Impact</w:t>
      </w:r>
      <w:r>
        <w:t>[</w:t>
      </w:r>
      <w:hyperlink r:id="rId181" w:history="1">
        <w:r w:rsidRPr="00F400CB">
          <w:rPr>
            <w:rStyle w:val="Hyperlink"/>
          </w:rPr>
          <w:t>LINK</w:t>
        </w:r>
      </w:hyperlink>
      <w:r>
        <w:t>].</w:t>
      </w:r>
    </w:p>
  </w:footnote>
  <w:footnote w:id="242">
    <w:p w14:paraId="57CE0E59" w14:textId="454301B8" w:rsidR="001D1C68" w:rsidRDefault="001D1C68" w:rsidP="007D76F7">
      <w:pPr>
        <w:pStyle w:val="FootnoteText"/>
      </w:pPr>
      <w:r>
        <w:rPr>
          <w:rStyle w:val="FootnoteReference"/>
        </w:rPr>
        <w:footnoteRef/>
      </w:r>
      <w:r>
        <w:t xml:space="preserve"> Ordinance 19267. [</w:t>
      </w:r>
      <w:hyperlink r:id="rId182" w:history="1">
        <w:r w:rsidRPr="003F2B8E">
          <w:rPr>
            <w:rStyle w:val="Hyperlink"/>
          </w:rPr>
          <w:t>LINK</w:t>
        </w:r>
      </w:hyperlink>
      <w:r>
        <w:t>]</w:t>
      </w:r>
    </w:p>
  </w:footnote>
  <w:footnote w:id="243">
    <w:p w14:paraId="71E2B0F7" w14:textId="61115415" w:rsidR="001D1C68" w:rsidRDefault="001D1C68" w:rsidP="007D76F7">
      <w:pPr>
        <w:pStyle w:val="FootnoteText"/>
      </w:pPr>
      <w:r>
        <w:rPr>
          <w:rStyle w:val="FootnoteReference"/>
        </w:rPr>
        <w:footnoteRef/>
      </w:r>
      <w:r>
        <w:t xml:space="preserve"> Referred to in Ordinance 19267 as “program area.” [</w:t>
      </w:r>
      <w:hyperlink r:id="rId183" w:history="1">
        <w:r w:rsidRPr="003F2B8E">
          <w:rPr>
            <w:rStyle w:val="Hyperlink"/>
          </w:rPr>
          <w:t>LINK</w:t>
        </w:r>
      </w:hyperlink>
      <w:r>
        <w:t>]</w:t>
      </w:r>
    </w:p>
  </w:footnote>
  <w:footnote w:id="244">
    <w:p w14:paraId="1DAFC76E" w14:textId="0FDFE312" w:rsidR="001D1C68" w:rsidRDefault="001D1C68" w:rsidP="007D76F7">
      <w:pPr>
        <w:pStyle w:val="FootnoteText"/>
      </w:pPr>
      <w:r>
        <w:rPr>
          <w:rStyle w:val="FootnoteReference"/>
        </w:rPr>
        <w:footnoteRef/>
      </w:r>
      <w:r>
        <w:t xml:space="preserve"> Ordinance 19267. [</w:t>
      </w:r>
      <w:hyperlink r:id="rId184" w:history="1">
        <w:r w:rsidRPr="003F2B8E">
          <w:rPr>
            <w:rStyle w:val="Hyperlink"/>
          </w:rPr>
          <w:t>LINK</w:t>
        </w:r>
      </w:hyperlink>
      <w:r>
        <w:t>]</w:t>
      </w:r>
    </w:p>
  </w:footnote>
  <w:footnote w:id="245">
    <w:p w14:paraId="61DF9200" w14:textId="6E84210A" w:rsidR="001D1C68" w:rsidRDefault="001D1C68" w:rsidP="007D76F7">
      <w:pPr>
        <w:pStyle w:val="FootnoteText"/>
      </w:pPr>
      <w:r>
        <w:rPr>
          <w:rStyle w:val="FootnoteReference"/>
        </w:rPr>
        <w:footnoteRef/>
      </w:r>
      <w:r>
        <w:t xml:space="preserve"> Request for Proposal or Request for Application</w:t>
      </w:r>
      <w:r w:rsidDel="00791013">
        <w:t xml:space="preserve">. </w:t>
      </w:r>
      <w:r>
        <w:t xml:space="preserve">RFPs and RFAs are solicitation notifications to apply for funding. </w:t>
      </w:r>
    </w:p>
  </w:footnote>
  <w:footnote w:id="246">
    <w:p w14:paraId="7B828A65" w14:textId="25813106" w:rsidR="001D1C68" w:rsidRDefault="001D1C68" w:rsidP="007D76F7">
      <w:pPr>
        <w:pStyle w:val="FootnoteText"/>
      </w:pPr>
      <w:r>
        <w:rPr>
          <w:rStyle w:val="FootnoteReference"/>
        </w:rPr>
        <w:footnoteRef/>
      </w:r>
      <w:r>
        <w:t xml:space="preserve">Full description of technical assistance.  </w:t>
      </w:r>
      <w:hyperlink w:anchor="TA" w:history="1">
        <w:r>
          <w:rPr>
            <w:rStyle w:val="Hyperlink"/>
          </w:rPr>
          <w:t>[LINK]</w:t>
        </w:r>
      </w:hyperlink>
      <w:r>
        <w:t>.</w:t>
      </w:r>
    </w:p>
  </w:footnote>
  <w:footnote w:id="247">
    <w:p w14:paraId="471474F2" w14:textId="56556851" w:rsidR="001D1C68" w:rsidRPr="00AE335D" w:rsidRDefault="001D1C68" w:rsidP="007D76F7">
      <w:pPr>
        <w:pStyle w:val="FootnoteText"/>
      </w:pPr>
      <w:r>
        <w:rPr>
          <w:rStyle w:val="FootnoteReference"/>
        </w:rPr>
        <w:footnoteRef/>
      </w:r>
      <w:r>
        <w:t xml:space="preserve"> </w:t>
      </w:r>
      <w:r w:rsidRPr="005C5C9E">
        <w:t xml:space="preserve">See </w:t>
      </w:r>
      <w:hyperlink w:anchor="_Procurement_and_Financial" w:history="1">
        <w:r w:rsidRPr="0078353B">
          <w:rPr>
            <w:rStyle w:val="Hyperlink"/>
          </w:rPr>
          <w:t>Appendix I.</w:t>
        </w:r>
      </w:hyperlink>
    </w:p>
  </w:footnote>
  <w:footnote w:id="248">
    <w:p w14:paraId="32CCE35A" w14:textId="0F8D06C3" w:rsidR="001D1C68" w:rsidRPr="00AE335D" w:rsidRDefault="001D1C68" w:rsidP="007D76F7">
      <w:pPr>
        <w:pStyle w:val="FootnoteText"/>
      </w:pPr>
      <w:r w:rsidRPr="00AE335D">
        <w:rPr>
          <w:rStyle w:val="FootnoteReference"/>
        </w:rPr>
        <w:footnoteRef/>
      </w:r>
      <w:r>
        <w:t xml:space="preserve"> </w:t>
      </w:r>
      <w:r w:rsidRPr="005C5C9E">
        <w:t xml:space="preserve">See </w:t>
      </w:r>
      <w:hyperlink w:anchor="_Procurement_and_Financial" w:history="1">
        <w:r w:rsidRPr="0078353B">
          <w:rPr>
            <w:rStyle w:val="Hyperlink"/>
          </w:rPr>
          <w:t>Appendix I.</w:t>
        </w:r>
      </w:hyperlink>
    </w:p>
  </w:footnote>
  <w:footnote w:id="249">
    <w:p w14:paraId="47DA61AF" w14:textId="5F01A1A6" w:rsidR="001D1C68" w:rsidRDefault="001D1C68" w:rsidP="007D76F7">
      <w:pPr>
        <w:pStyle w:val="FootnoteText"/>
      </w:pPr>
      <w:r>
        <w:rPr>
          <w:rStyle w:val="FootnoteReference"/>
        </w:rPr>
        <w:footnoteRef/>
      </w:r>
      <w:r>
        <w:t xml:space="preserve"> </w:t>
      </w:r>
      <w:r w:rsidRPr="00AC0B12">
        <w:t>See Community Partnership Key Themes</w:t>
      </w:r>
      <w:r>
        <w:t xml:space="preserve"> in </w:t>
      </w:r>
      <w:hyperlink w:anchor="_E.__Community" w:history="1">
        <w:r w:rsidRPr="00A84288">
          <w:rPr>
            <w:rStyle w:val="Hyperlink"/>
          </w:rPr>
          <w:t>Section III.E.</w:t>
        </w:r>
      </w:hyperlink>
    </w:p>
  </w:footnote>
  <w:footnote w:id="250">
    <w:p w14:paraId="1832BADA" w14:textId="1749D8AD" w:rsidR="001D1C68" w:rsidRDefault="001D1C68" w:rsidP="007D76F7">
      <w:pPr>
        <w:pStyle w:val="FootnoteText"/>
      </w:pPr>
      <w:r>
        <w:rPr>
          <w:rStyle w:val="FootnoteReference"/>
        </w:rPr>
        <w:footnoteRef/>
      </w:r>
      <w:r>
        <w:t xml:space="preserve"> BSK COVID-19 Impacts Report. [</w:t>
      </w:r>
      <w:hyperlink r:id="rId185" w:history="1">
        <w:r w:rsidRPr="00486489">
          <w:rPr>
            <w:rStyle w:val="Hyperlink"/>
          </w:rPr>
          <w:t>LINK</w:t>
        </w:r>
      </w:hyperlink>
      <w:r>
        <w:t>]</w:t>
      </w:r>
    </w:p>
  </w:footnote>
  <w:footnote w:id="251">
    <w:p w14:paraId="30E0AE46" w14:textId="5694A66E" w:rsidR="001D1C68" w:rsidRDefault="001D1C68" w:rsidP="007D76F7">
      <w:pPr>
        <w:pStyle w:val="FootnoteText"/>
      </w:pPr>
      <w:r>
        <w:rPr>
          <w:rStyle w:val="FootnoteReference"/>
        </w:rPr>
        <w:footnoteRef/>
      </w:r>
      <w:r>
        <w:t xml:space="preserve"> Human Services Geographic Equity Plan (2019), as required by Ordinance 18835.  </w:t>
      </w:r>
    </w:p>
  </w:footnote>
  <w:footnote w:id="252">
    <w:p w14:paraId="2A7C4C58" w14:textId="100CFFA0" w:rsidR="001D1C68" w:rsidRPr="00321800" w:rsidRDefault="001D1C68" w:rsidP="007D76F7">
      <w:pPr>
        <w:pStyle w:val="FootnoteText"/>
        <w:rPr>
          <w:rStyle w:val="Hyperlink"/>
          <w:rFonts w:asciiTheme="minorHAnsi" w:eastAsia="Calibri" w:hAnsiTheme="minorHAnsi" w:cstheme="minorHAnsi"/>
          <w:sz w:val="22"/>
          <w:szCs w:val="20"/>
        </w:rPr>
      </w:pPr>
      <w:r w:rsidRPr="77E112F9">
        <w:rPr>
          <w:rStyle w:val="FootnoteReference"/>
          <w:rFonts w:asciiTheme="minorHAnsi" w:hAnsiTheme="minorHAnsi" w:cstheme="minorBidi"/>
        </w:rPr>
        <w:footnoteRef/>
      </w:r>
      <w:r w:rsidRPr="77E112F9">
        <w:t xml:space="preserve"> Office of Disease Prevention and Health Promotion, Social Determinants of Healt</w:t>
      </w:r>
      <w:r>
        <w:t>hy. [</w:t>
      </w:r>
      <w:hyperlink r:id="rId186" w:history="1">
        <w:r w:rsidRPr="00B75AEF">
          <w:rPr>
            <w:rStyle w:val="Hyperlink"/>
            <w:rFonts w:asciiTheme="minorHAnsi" w:eastAsia="Calibri" w:hAnsiTheme="minorHAnsi" w:cstheme="minorBidi"/>
          </w:rPr>
          <w:t>LINK</w:t>
        </w:r>
      </w:hyperlink>
      <w:r>
        <w:t>]</w:t>
      </w:r>
    </w:p>
  </w:footnote>
  <w:footnote w:id="253">
    <w:p w14:paraId="02CA95FC" w14:textId="27F6133B" w:rsidR="001D1C68" w:rsidRDefault="001D1C68" w:rsidP="007D76F7">
      <w:pPr>
        <w:pStyle w:val="FootnoteText"/>
        <w:rPr>
          <w:rFonts w:cs="Calibri"/>
        </w:rPr>
      </w:pPr>
      <w:r w:rsidRPr="77E112F9">
        <w:rPr>
          <w:rStyle w:val="FootnoteReference"/>
          <w:rFonts w:asciiTheme="minorHAnsi" w:hAnsiTheme="minorHAnsi" w:cstheme="minorBidi"/>
        </w:rPr>
        <w:footnoteRef/>
      </w:r>
      <w:r w:rsidRPr="77E112F9">
        <w:t xml:space="preserve"> </w:t>
      </w:r>
      <w:r w:rsidRPr="00321800">
        <w:rPr>
          <w:i/>
        </w:rPr>
        <w:t>Best Starts for Kids Implementation Plan</w:t>
      </w:r>
      <w:r w:rsidRPr="77E112F9">
        <w:t xml:space="preserve"> (2016), p</w:t>
      </w:r>
      <w:r>
        <w:t>ages</w:t>
      </w:r>
      <w:r w:rsidRPr="77E112F9">
        <w:t xml:space="preserve"> 37</w:t>
      </w:r>
      <w:r>
        <w:t>-</w:t>
      </w:r>
      <w:r w:rsidRPr="77E112F9">
        <w:t>38.</w:t>
      </w:r>
      <w:r>
        <w:t xml:space="preserve"> [</w:t>
      </w:r>
      <w:hyperlink r:id="rId187" w:history="1">
        <w:r w:rsidRPr="00B75AEF">
          <w:rPr>
            <w:rStyle w:val="Hyperlink"/>
            <w:rFonts w:asciiTheme="minorHAnsi" w:eastAsia="Calibri" w:hAnsiTheme="minorHAnsi" w:cstheme="minorBidi"/>
          </w:rPr>
          <w:t>LINK</w:t>
        </w:r>
      </w:hyperlink>
      <w:r>
        <w:t>]</w:t>
      </w:r>
    </w:p>
  </w:footnote>
  <w:footnote w:id="254">
    <w:p w14:paraId="7D899A57" w14:textId="391A58AD" w:rsidR="001D1C68" w:rsidRDefault="001D1C68" w:rsidP="007D76F7">
      <w:pPr>
        <w:pStyle w:val="FootnoteText"/>
      </w:pPr>
      <w:r>
        <w:rPr>
          <w:rStyle w:val="FootnoteReference"/>
        </w:rPr>
        <w:footnoteRef/>
      </w:r>
      <w:r>
        <w:t xml:space="preserve"> Othering and Belonging Institute. [</w:t>
      </w:r>
      <w:hyperlink r:id="rId188" w:history="1">
        <w:r w:rsidRPr="00A177F6">
          <w:rPr>
            <w:rStyle w:val="Hyperlink"/>
          </w:rPr>
          <w:t>LINK</w:t>
        </w:r>
      </w:hyperlink>
      <w:r>
        <w:t xml:space="preserve">] </w:t>
      </w:r>
    </w:p>
  </w:footnote>
  <w:footnote w:id="255">
    <w:p w14:paraId="1BF80778" w14:textId="778DD807" w:rsidR="001D1C68" w:rsidRDefault="001D1C68" w:rsidP="007D76F7">
      <w:pPr>
        <w:pStyle w:val="FootnoteText"/>
      </w:pPr>
      <w:r>
        <w:rPr>
          <w:rStyle w:val="FootnoteReference"/>
        </w:rPr>
        <w:footnoteRef/>
      </w:r>
      <w:r>
        <w:t xml:space="preserve"> MRSC Local Government Success (Property Tax in Washington State). [</w:t>
      </w:r>
      <w:hyperlink r:id="rId189" w:history="1">
        <w:r>
          <w:rPr>
            <w:rStyle w:val="Hyperlink"/>
          </w:rPr>
          <w:t>LINK</w:t>
        </w:r>
      </w:hyperlink>
      <w:r>
        <w:rPr>
          <w:rStyle w:val="Hyperlink"/>
        </w:rPr>
        <w:t>]</w:t>
      </w:r>
    </w:p>
  </w:footnote>
  <w:footnote w:id="256">
    <w:p w14:paraId="5DA19B46" w14:textId="4C36FD43" w:rsidR="001D1C68" w:rsidRDefault="001D1C68" w:rsidP="007D76F7">
      <w:pPr>
        <w:pStyle w:val="FootnoteText"/>
      </w:pPr>
      <w:r>
        <w:rPr>
          <w:rStyle w:val="FootnoteReference"/>
        </w:rPr>
        <w:footnoteRef/>
      </w:r>
      <w:r>
        <w:t xml:space="preserve"> </w:t>
      </w:r>
      <w:r w:rsidRPr="37491A2A">
        <w:t>RCW 84.52.043 defines “junior taxing districts” as including all taxing districts other than the state, counties, road districts, cities, towns, port districts and public utility districts</w:t>
      </w:r>
    </w:p>
  </w:footnote>
  <w:footnote w:id="257">
    <w:p w14:paraId="60E0E53D" w14:textId="46F65A8C" w:rsidR="001D1C68" w:rsidRDefault="001D1C68" w:rsidP="007D76F7">
      <w:pPr>
        <w:pStyle w:val="FootnoteText"/>
      </w:pPr>
      <w:r>
        <w:rPr>
          <w:rStyle w:val="FootnoteReference"/>
        </w:rPr>
        <w:footnoteRef/>
      </w:r>
      <w:r>
        <w:t xml:space="preserve"> </w:t>
      </w:r>
      <w:r w:rsidRPr="00D03F1F">
        <w:t>RCW 84.52.010 Taxes levied or voted in specific amounts – Effect of constitutional and statutory limitations. This RCW outlines a methodology for reducing the tax rate of taxing districts when the aggregate rate for jurisdictions (other than the state) is higher than the $5.90 limit required by RCW 84.52.043</w:t>
      </w:r>
      <w:r>
        <w:t>.[</w:t>
      </w:r>
      <w:hyperlink r:id="rId190" w:history="1">
        <w:r>
          <w:rPr>
            <w:rStyle w:val="Hyperlink"/>
          </w:rPr>
          <w:t>LINK</w:t>
        </w:r>
      </w:hyperlink>
      <w:r>
        <w:rPr>
          <w:rStyle w:val="Hyperlink"/>
        </w:rPr>
        <w:t>]</w:t>
      </w:r>
    </w:p>
  </w:footnote>
  <w:footnote w:id="258">
    <w:p w14:paraId="1E186AA2" w14:textId="77777777" w:rsidR="001D1C68" w:rsidRDefault="001D1C68" w:rsidP="007D76F7">
      <w:pPr>
        <w:pStyle w:val="FootnoteText"/>
      </w:pPr>
      <w:r>
        <w:rPr>
          <w:rStyle w:val="FootnoteReference"/>
        </w:rPr>
        <w:footnoteRef/>
      </w:r>
      <w:r>
        <w:t>Ibid.</w:t>
      </w:r>
    </w:p>
  </w:footnote>
  <w:footnote w:id="259">
    <w:p w14:paraId="7A0D346A" w14:textId="57683FA2" w:rsidR="001D1C68" w:rsidRDefault="001D1C68" w:rsidP="007D76F7">
      <w:pPr>
        <w:pStyle w:val="FootnoteText"/>
      </w:pPr>
      <w:r>
        <w:rPr>
          <w:rStyle w:val="FootnoteReference"/>
        </w:rPr>
        <w:footnoteRef/>
      </w:r>
      <w:r>
        <w:t xml:space="preserve"> Ordinance 19267. [</w:t>
      </w:r>
      <w:hyperlink r:id="rId191" w:history="1">
        <w:r w:rsidRPr="00732370">
          <w:rPr>
            <w:rStyle w:val="Hyperlink"/>
          </w:rPr>
          <w:t>LINK</w:t>
        </w:r>
      </w:hyperlink>
      <w:r>
        <w:t>]</w:t>
      </w:r>
    </w:p>
  </w:footnote>
  <w:footnote w:id="260">
    <w:p w14:paraId="74E6E2F6" w14:textId="77777777" w:rsidR="001D1C68" w:rsidRDefault="001D1C68" w:rsidP="007D76F7">
      <w:pPr>
        <w:pStyle w:val="FootnoteText"/>
      </w:pPr>
      <w:r>
        <w:rPr>
          <w:rStyle w:val="FootnoteReference"/>
        </w:rPr>
        <w:footnoteRef/>
      </w:r>
      <w:r>
        <w:t xml:space="preserve"> RCW 84.52.010</w:t>
      </w:r>
    </w:p>
  </w:footnote>
  <w:footnote w:id="261">
    <w:p w14:paraId="7E4D3043" w14:textId="0AB7756D" w:rsidR="001D1C68" w:rsidRDefault="001D1C68" w:rsidP="007D76F7">
      <w:pPr>
        <w:pStyle w:val="FootnoteText"/>
      </w:pPr>
      <w:r>
        <w:rPr>
          <w:rStyle w:val="FootnoteReference"/>
        </w:rPr>
        <w:footnoteRef/>
      </w:r>
      <w:r>
        <w:t xml:space="preserve"> </w:t>
      </w:r>
      <w:r>
        <w:rPr>
          <w:rFonts w:cs="Calibri"/>
        </w:rPr>
        <w:t xml:space="preserve">This calculation uses </w:t>
      </w:r>
      <w:r w:rsidRPr="002A1E36">
        <w:t>the Washington State Department of Revenue levy manual and worksheets to compare levy rates to statutory maximums</w:t>
      </w:r>
      <w:r>
        <w:t>.</w:t>
      </w:r>
    </w:p>
  </w:footnote>
  <w:footnote w:id="262">
    <w:p w14:paraId="33DE5B54" w14:textId="0C1A3A32" w:rsidR="001D1C68" w:rsidRDefault="001D1C68" w:rsidP="007D76F7">
      <w:pPr>
        <w:pStyle w:val="FootnoteText"/>
      </w:pPr>
      <w:r>
        <w:rPr>
          <w:rStyle w:val="FootnoteReference"/>
        </w:rPr>
        <w:footnoteRef/>
      </w:r>
      <w:r>
        <w:t xml:space="preserve"> </w:t>
      </w:r>
      <w:r w:rsidRPr="0015097D">
        <w:t>Assessment Report Motion 15769</w:t>
      </w:r>
      <w:r>
        <w:t>.</w:t>
      </w:r>
      <w:r w:rsidRPr="0015097D">
        <w:t xml:space="preserve"> [</w:t>
      </w:r>
      <w:hyperlink r:id="rId192" w:history="1">
        <w:r w:rsidRPr="00DE23FC">
          <w:rPr>
            <w:rStyle w:val="Hyperlink"/>
          </w:rPr>
          <w:t>LINK</w:t>
        </w:r>
      </w:hyperlink>
      <w:r w:rsidRPr="0015097D">
        <w:t>]</w:t>
      </w:r>
    </w:p>
  </w:footnote>
  <w:footnote w:id="263">
    <w:p w14:paraId="18856B34" w14:textId="0EEFA448" w:rsidR="001D1C68" w:rsidRDefault="001D1C68" w:rsidP="007D76F7">
      <w:pPr>
        <w:pStyle w:val="FootnoteText"/>
      </w:pPr>
      <w:r>
        <w:rPr>
          <w:rStyle w:val="FootnoteReference"/>
        </w:rPr>
        <w:footnoteRef/>
      </w:r>
      <w:r>
        <w:t xml:space="preserve"> The COO Governance Group is the Communities of Opportunity Best Starts for Kids Levy Advisory Board described in K.C.C. 2A.300.520 and referenced in Ordinance 19267.</w:t>
      </w:r>
    </w:p>
  </w:footnote>
  <w:footnote w:id="264">
    <w:p w14:paraId="1BA4DB4E" w14:textId="0F00213C" w:rsidR="001D1C68" w:rsidRDefault="001D1C68" w:rsidP="007D76F7">
      <w:pPr>
        <w:pStyle w:val="FootnoteText"/>
      </w:pPr>
      <w:r>
        <w:rPr>
          <w:rStyle w:val="FootnoteReference"/>
        </w:rPr>
        <w:footnoteRef/>
      </w:r>
      <w:r>
        <w:t xml:space="preserve"> Children and Youth Advisory Board. [</w:t>
      </w:r>
      <w:hyperlink r:id="rId193">
        <w:r w:rsidRPr="44C13F46">
          <w:rPr>
            <w:rStyle w:val="Hyperlink"/>
          </w:rPr>
          <w:t>LINK</w:t>
        </w:r>
      </w:hyperlink>
      <w:r>
        <w:rPr>
          <w:rStyle w:val="Hyperlink"/>
        </w:rPr>
        <w:t>]</w:t>
      </w:r>
    </w:p>
  </w:footnote>
  <w:footnote w:id="265">
    <w:p w14:paraId="110B8767" w14:textId="28C148F1" w:rsidR="001D1C68" w:rsidRDefault="001D1C68" w:rsidP="007D76F7">
      <w:pPr>
        <w:pStyle w:val="FootnoteText"/>
      </w:pPr>
      <w:r>
        <w:rPr>
          <w:rStyle w:val="FootnoteReference"/>
        </w:rPr>
        <w:footnoteRef/>
      </w:r>
      <w:r>
        <w:t xml:space="preserve"> Comprehensive Financial Management Policies, page 21. </w:t>
      </w:r>
      <w:r w:rsidRPr="002B379B">
        <w:t>Motion 15250. [</w:t>
      </w:r>
      <w:hyperlink r:id="rId194" w:history="1">
        <w:r w:rsidRPr="002B379B">
          <w:rPr>
            <w:rStyle w:val="Hyperlink"/>
          </w:rPr>
          <w:t>LINK</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5E45F" w14:textId="77777777" w:rsidR="00F1222E" w:rsidRDefault="00F122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ED2F8" w14:textId="341C8441" w:rsidR="001D1C68" w:rsidRDefault="001D1C68" w:rsidP="552321F1">
    <w:pPr>
      <w:pStyle w:val="xmsonormal"/>
      <w:rPr>
        <w:rFonts w:eastAsia="Calibri" w:cs="Calibri"/>
        <w:color w:val="000000" w:themeColor="text1"/>
        <w:szCs w:val="22"/>
      </w:rPr>
    </w:pPr>
    <w:r>
      <w:rPr>
        <w:rFonts w:ascii="Calibri Light" w:eastAsia="Calibri" w:hAnsi="Calibri Light" w:cs="Calibri"/>
        <w:iCs/>
        <w:color w:val="000000" w:themeColor="text1"/>
        <w:szCs w:val="22"/>
      </w:rPr>
      <w:t xml:space="preserve">Attachment A | </w:t>
    </w:r>
    <w:r w:rsidRPr="00604622">
      <w:rPr>
        <w:rFonts w:eastAsia="Calibri" w:cs="Calibri"/>
        <w:i/>
        <w:color w:val="000000" w:themeColor="text1"/>
        <w:szCs w:val="22"/>
      </w:rPr>
      <w:t>Best Starts for Kids</w:t>
    </w:r>
    <w:r w:rsidRPr="552321F1">
      <w:rPr>
        <w:rFonts w:eastAsia="Calibri" w:cs="Calibri"/>
        <w:color w:val="000000" w:themeColor="text1"/>
        <w:szCs w:val="22"/>
      </w:rPr>
      <w:t xml:space="preserve"> Implementation Plan</w:t>
    </w:r>
    <w:r>
      <w:rPr>
        <w:rFonts w:eastAsia="Calibri" w:cs="Calibri"/>
        <w:color w:val="000000" w:themeColor="text1"/>
        <w:szCs w:val="22"/>
      </w:rPr>
      <w:t>: 2022-2027</w:t>
    </w:r>
  </w:p>
  <w:p w14:paraId="5AB9BE29" w14:textId="5BD766A7" w:rsidR="001D1C68" w:rsidRDefault="001D1C68" w:rsidP="46E54C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001D1C68" w14:paraId="0875A973" w14:textId="77777777" w:rsidTr="552321F1">
      <w:tc>
        <w:tcPr>
          <w:tcW w:w="3600" w:type="dxa"/>
        </w:tcPr>
        <w:p w14:paraId="12523A61" w14:textId="3C5EC54D" w:rsidR="001D1C68" w:rsidRDefault="001D1C68" w:rsidP="46E54CBF">
          <w:pPr>
            <w:pStyle w:val="Header"/>
            <w:ind w:left="-115"/>
          </w:pPr>
        </w:p>
      </w:tc>
      <w:tc>
        <w:tcPr>
          <w:tcW w:w="3600" w:type="dxa"/>
        </w:tcPr>
        <w:p w14:paraId="4583EDE1" w14:textId="50EACECC" w:rsidR="001D1C68" w:rsidRDefault="001D1C68" w:rsidP="003D4308">
          <w:pPr>
            <w:pStyle w:val="Header"/>
          </w:pPr>
        </w:p>
      </w:tc>
      <w:tc>
        <w:tcPr>
          <w:tcW w:w="3600" w:type="dxa"/>
        </w:tcPr>
        <w:p w14:paraId="1D53D3DE" w14:textId="0B022243" w:rsidR="001D1C68" w:rsidRDefault="001D1C68" w:rsidP="46E54CBF">
          <w:pPr>
            <w:pStyle w:val="Header"/>
            <w:ind w:right="-115"/>
            <w:jc w:val="right"/>
          </w:pPr>
        </w:p>
      </w:tc>
    </w:tr>
  </w:tbl>
  <w:p w14:paraId="7FEA1BC6" w14:textId="20C35B92" w:rsidR="001D1C68" w:rsidRDefault="001D1C68" w:rsidP="46E54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724D"/>
    <w:multiLevelType w:val="hybridMultilevel"/>
    <w:tmpl w:val="9CC8176E"/>
    <w:lvl w:ilvl="0" w:tplc="9A4E213E">
      <w:start w:val="1"/>
      <w:numFmt w:val="bullet"/>
      <w:lvlText w:val=""/>
      <w:lvlJc w:val="left"/>
      <w:pPr>
        <w:tabs>
          <w:tab w:val="num" w:pos="720"/>
        </w:tabs>
        <w:ind w:left="720" w:hanging="360"/>
      </w:pPr>
      <w:rPr>
        <w:rFonts w:ascii="Symbol" w:hAnsi="Symbol" w:hint="default"/>
        <w:sz w:val="20"/>
      </w:rPr>
    </w:lvl>
    <w:lvl w:ilvl="1" w:tplc="91502C76" w:tentative="1">
      <w:start w:val="1"/>
      <w:numFmt w:val="bullet"/>
      <w:lvlText w:val=""/>
      <w:lvlJc w:val="left"/>
      <w:pPr>
        <w:tabs>
          <w:tab w:val="num" w:pos="1440"/>
        </w:tabs>
        <w:ind w:left="1440" w:hanging="360"/>
      </w:pPr>
      <w:rPr>
        <w:rFonts w:ascii="Symbol" w:hAnsi="Symbol" w:hint="default"/>
        <w:sz w:val="20"/>
      </w:rPr>
    </w:lvl>
    <w:lvl w:ilvl="2" w:tplc="251C3052" w:tentative="1">
      <w:start w:val="1"/>
      <w:numFmt w:val="bullet"/>
      <w:lvlText w:val=""/>
      <w:lvlJc w:val="left"/>
      <w:pPr>
        <w:tabs>
          <w:tab w:val="num" w:pos="2160"/>
        </w:tabs>
        <w:ind w:left="2160" w:hanging="360"/>
      </w:pPr>
      <w:rPr>
        <w:rFonts w:ascii="Symbol" w:hAnsi="Symbol" w:hint="default"/>
        <w:sz w:val="20"/>
      </w:rPr>
    </w:lvl>
    <w:lvl w:ilvl="3" w:tplc="2B3ADB90" w:tentative="1">
      <w:start w:val="1"/>
      <w:numFmt w:val="bullet"/>
      <w:lvlText w:val=""/>
      <w:lvlJc w:val="left"/>
      <w:pPr>
        <w:tabs>
          <w:tab w:val="num" w:pos="2880"/>
        </w:tabs>
        <w:ind w:left="2880" w:hanging="360"/>
      </w:pPr>
      <w:rPr>
        <w:rFonts w:ascii="Symbol" w:hAnsi="Symbol" w:hint="default"/>
        <w:sz w:val="20"/>
      </w:rPr>
    </w:lvl>
    <w:lvl w:ilvl="4" w:tplc="E03CE674" w:tentative="1">
      <w:start w:val="1"/>
      <w:numFmt w:val="bullet"/>
      <w:lvlText w:val=""/>
      <w:lvlJc w:val="left"/>
      <w:pPr>
        <w:tabs>
          <w:tab w:val="num" w:pos="3600"/>
        </w:tabs>
        <w:ind w:left="3600" w:hanging="360"/>
      </w:pPr>
      <w:rPr>
        <w:rFonts w:ascii="Symbol" w:hAnsi="Symbol" w:hint="default"/>
        <w:sz w:val="20"/>
      </w:rPr>
    </w:lvl>
    <w:lvl w:ilvl="5" w:tplc="7354BCC6" w:tentative="1">
      <w:start w:val="1"/>
      <w:numFmt w:val="bullet"/>
      <w:lvlText w:val=""/>
      <w:lvlJc w:val="left"/>
      <w:pPr>
        <w:tabs>
          <w:tab w:val="num" w:pos="4320"/>
        </w:tabs>
        <w:ind w:left="4320" w:hanging="360"/>
      </w:pPr>
      <w:rPr>
        <w:rFonts w:ascii="Symbol" w:hAnsi="Symbol" w:hint="default"/>
        <w:sz w:val="20"/>
      </w:rPr>
    </w:lvl>
    <w:lvl w:ilvl="6" w:tplc="7DEE719E" w:tentative="1">
      <w:start w:val="1"/>
      <w:numFmt w:val="bullet"/>
      <w:lvlText w:val=""/>
      <w:lvlJc w:val="left"/>
      <w:pPr>
        <w:tabs>
          <w:tab w:val="num" w:pos="5040"/>
        </w:tabs>
        <w:ind w:left="5040" w:hanging="360"/>
      </w:pPr>
      <w:rPr>
        <w:rFonts w:ascii="Symbol" w:hAnsi="Symbol" w:hint="default"/>
        <w:sz w:val="20"/>
      </w:rPr>
    </w:lvl>
    <w:lvl w:ilvl="7" w:tplc="30605588" w:tentative="1">
      <w:start w:val="1"/>
      <w:numFmt w:val="bullet"/>
      <w:lvlText w:val=""/>
      <w:lvlJc w:val="left"/>
      <w:pPr>
        <w:tabs>
          <w:tab w:val="num" w:pos="5760"/>
        </w:tabs>
        <w:ind w:left="5760" w:hanging="360"/>
      </w:pPr>
      <w:rPr>
        <w:rFonts w:ascii="Symbol" w:hAnsi="Symbol" w:hint="default"/>
        <w:sz w:val="20"/>
      </w:rPr>
    </w:lvl>
    <w:lvl w:ilvl="8" w:tplc="B43017A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7A64CF"/>
    <w:multiLevelType w:val="hybridMultilevel"/>
    <w:tmpl w:val="61989814"/>
    <w:lvl w:ilvl="0" w:tplc="560470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963F4"/>
    <w:multiLevelType w:val="hybridMultilevel"/>
    <w:tmpl w:val="9E5A4866"/>
    <w:lvl w:ilvl="0" w:tplc="0409000D">
      <w:start w:val="1"/>
      <w:numFmt w:val="bullet"/>
      <w:lvlText w:val=""/>
      <w:lvlJc w:val="left"/>
      <w:pPr>
        <w:tabs>
          <w:tab w:val="num" w:pos="720"/>
        </w:tabs>
        <w:ind w:left="720" w:hanging="360"/>
      </w:pPr>
      <w:rPr>
        <w:rFonts w:ascii="Wingdings" w:hAnsi="Wingdings" w:hint="default"/>
        <w:sz w:val="20"/>
      </w:rPr>
    </w:lvl>
    <w:lvl w:ilvl="1" w:tplc="3EEAE814" w:tentative="1">
      <w:start w:val="1"/>
      <w:numFmt w:val="bullet"/>
      <w:lvlText w:val=""/>
      <w:lvlJc w:val="left"/>
      <w:pPr>
        <w:tabs>
          <w:tab w:val="num" w:pos="1440"/>
        </w:tabs>
        <w:ind w:left="1440" w:hanging="360"/>
      </w:pPr>
      <w:rPr>
        <w:rFonts w:ascii="Symbol" w:hAnsi="Symbol" w:hint="default"/>
        <w:sz w:val="20"/>
      </w:rPr>
    </w:lvl>
    <w:lvl w:ilvl="2" w:tplc="ED382D1A" w:tentative="1">
      <w:start w:val="1"/>
      <w:numFmt w:val="bullet"/>
      <w:lvlText w:val=""/>
      <w:lvlJc w:val="left"/>
      <w:pPr>
        <w:tabs>
          <w:tab w:val="num" w:pos="2160"/>
        </w:tabs>
        <w:ind w:left="2160" w:hanging="360"/>
      </w:pPr>
      <w:rPr>
        <w:rFonts w:ascii="Symbol" w:hAnsi="Symbol" w:hint="default"/>
        <w:sz w:val="20"/>
      </w:rPr>
    </w:lvl>
    <w:lvl w:ilvl="3" w:tplc="9EDA7DF2" w:tentative="1">
      <w:start w:val="1"/>
      <w:numFmt w:val="bullet"/>
      <w:lvlText w:val=""/>
      <w:lvlJc w:val="left"/>
      <w:pPr>
        <w:tabs>
          <w:tab w:val="num" w:pos="2880"/>
        </w:tabs>
        <w:ind w:left="2880" w:hanging="360"/>
      </w:pPr>
      <w:rPr>
        <w:rFonts w:ascii="Symbol" w:hAnsi="Symbol" w:hint="default"/>
        <w:sz w:val="20"/>
      </w:rPr>
    </w:lvl>
    <w:lvl w:ilvl="4" w:tplc="25AC792E" w:tentative="1">
      <w:start w:val="1"/>
      <w:numFmt w:val="bullet"/>
      <w:lvlText w:val=""/>
      <w:lvlJc w:val="left"/>
      <w:pPr>
        <w:tabs>
          <w:tab w:val="num" w:pos="3600"/>
        </w:tabs>
        <w:ind w:left="3600" w:hanging="360"/>
      </w:pPr>
      <w:rPr>
        <w:rFonts w:ascii="Symbol" w:hAnsi="Symbol" w:hint="default"/>
        <w:sz w:val="20"/>
      </w:rPr>
    </w:lvl>
    <w:lvl w:ilvl="5" w:tplc="42705686" w:tentative="1">
      <w:start w:val="1"/>
      <w:numFmt w:val="bullet"/>
      <w:lvlText w:val=""/>
      <w:lvlJc w:val="left"/>
      <w:pPr>
        <w:tabs>
          <w:tab w:val="num" w:pos="4320"/>
        </w:tabs>
        <w:ind w:left="4320" w:hanging="360"/>
      </w:pPr>
      <w:rPr>
        <w:rFonts w:ascii="Symbol" w:hAnsi="Symbol" w:hint="default"/>
        <w:sz w:val="20"/>
      </w:rPr>
    </w:lvl>
    <w:lvl w:ilvl="6" w:tplc="ECDA2328" w:tentative="1">
      <w:start w:val="1"/>
      <w:numFmt w:val="bullet"/>
      <w:lvlText w:val=""/>
      <w:lvlJc w:val="left"/>
      <w:pPr>
        <w:tabs>
          <w:tab w:val="num" w:pos="5040"/>
        </w:tabs>
        <w:ind w:left="5040" w:hanging="360"/>
      </w:pPr>
      <w:rPr>
        <w:rFonts w:ascii="Symbol" w:hAnsi="Symbol" w:hint="default"/>
        <w:sz w:val="20"/>
      </w:rPr>
    </w:lvl>
    <w:lvl w:ilvl="7" w:tplc="04C42D4E" w:tentative="1">
      <w:start w:val="1"/>
      <w:numFmt w:val="bullet"/>
      <w:lvlText w:val=""/>
      <w:lvlJc w:val="left"/>
      <w:pPr>
        <w:tabs>
          <w:tab w:val="num" w:pos="5760"/>
        </w:tabs>
        <w:ind w:left="5760" w:hanging="360"/>
      </w:pPr>
      <w:rPr>
        <w:rFonts w:ascii="Symbol" w:hAnsi="Symbol" w:hint="default"/>
        <w:sz w:val="20"/>
      </w:rPr>
    </w:lvl>
    <w:lvl w:ilvl="8" w:tplc="7AF8FFD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12870"/>
    <w:multiLevelType w:val="hybridMultilevel"/>
    <w:tmpl w:val="239E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352D5"/>
    <w:multiLevelType w:val="hybridMultilevel"/>
    <w:tmpl w:val="045698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F95EAC"/>
    <w:multiLevelType w:val="hybridMultilevel"/>
    <w:tmpl w:val="FFFFFFFF"/>
    <w:lvl w:ilvl="0" w:tplc="D58624D4">
      <w:start w:val="1"/>
      <w:numFmt w:val="decimal"/>
      <w:lvlText w:val="%1."/>
      <w:lvlJc w:val="left"/>
      <w:pPr>
        <w:ind w:left="720" w:hanging="360"/>
      </w:pPr>
    </w:lvl>
    <w:lvl w:ilvl="1" w:tplc="1B328E5C">
      <w:start w:val="1"/>
      <w:numFmt w:val="lowerLetter"/>
      <w:lvlText w:val="%2."/>
      <w:lvlJc w:val="left"/>
      <w:pPr>
        <w:ind w:left="1440" w:hanging="360"/>
      </w:pPr>
    </w:lvl>
    <w:lvl w:ilvl="2" w:tplc="06A40D26">
      <w:start w:val="1"/>
      <w:numFmt w:val="lowerRoman"/>
      <w:lvlText w:val="%3."/>
      <w:lvlJc w:val="right"/>
      <w:pPr>
        <w:ind w:left="2160" w:hanging="180"/>
      </w:pPr>
    </w:lvl>
    <w:lvl w:ilvl="3" w:tplc="D61ED352">
      <w:start w:val="1"/>
      <w:numFmt w:val="decimal"/>
      <w:lvlText w:val="%4."/>
      <w:lvlJc w:val="left"/>
      <w:pPr>
        <w:ind w:left="2880" w:hanging="360"/>
      </w:pPr>
    </w:lvl>
    <w:lvl w:ilvl="4" w:tplc="AF922764">
      <w:start w:val="1"/>
      <w:numFmt w:val="lowerLetter"/>
      <w:lvlText w:val="%5."/>
      <w:lvlJc w:val="left"/>
      <w:pPr>
        <w:ind w:left="3600" w:hanging="360"/>
      </w:pPr>
    </w:lvl>
    <w:lvl w:ilvl="5" w:tplc="978427A0">
      <w:start w:val="1"/>
      <w:numFmt w:val="lowerRoman"/>
      <w:lvlText w:val="%6."/>
      <w:lvlJc w:val="right"/>
      <w:pPr>
        <w:ind w:left="4320" w:hanging="180"/>
      </w:pPr>
    </w:lvl>
    <w:lvl w:ilvl="6" w:tplc="AD52A9EA">
      <w:start w:val="1"/>
      <w:numFmt w:val="decimal"/>
      <w:lvlText w:val="%7."/>
      <w:lvlJc w:val="left"/>
      <w:pPr>
        <w:ind w:left="5040" w:hanging="360"/>
      </w:pPr>
    </w:lvl>
    <w:lvl w:ilvl="7" w:tplc="E80CB16A">
      <w:start w:val="1"/>
      <w:numFmt w:val="lowerLetter"/>
      <w:lvlText w:val="%8."/>
      <w:lvlJc w:val="left"/>
      <w:pPr>
        <w:ind w:left="5760" w:hanging="360"/>
      </w:pPr>
    </w:lvl>
    <w:lvl w:ilvl="8" w:tplc="AF500C4A">
      <w:start w:val="1"/>
      <w:numFmt w:val="lowerRoman"/>
      <w:lvlText w:val="%9."/>
      <w:lvlJc w:val="right"/>
      <w:pPr>
        <w:ind w:left="6480" w:hanging="180"/>
      </w:pPr>
    </w:lvl>
  </w:abstractNum>
  <w:abstractNum w:abstractNumId="6" w15:restartNumberingAfterBreak="0">
    <w:nsid w:val="067A1D4C"/>
    <w:multiLevelType w:val="hybridMultilevel"/>
    <w:tmpl w:val="3A202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9286F"/>
    <w:multiLevelType w:val="hybridMultilevel"/>
    <w:tmpl w:val="EEAA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90F4B"/>
    <w:multiLevelType w:val="hybridMultilevel"/>
    <w:tmpl w:val="DEB66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243BB"/>
    <w:multiLevelType w:val="hybridMultilevel"/>
    <w:tmpl w:val="201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F14BD"/>
    <w:multiLevelType w:val="hybridMultilevel"/>
    <w:tmpl w:val="828C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93983"/>
    <w:multiLevelType w:val="hybridMultilevel"/>
    <w:tmpl w:val="3A40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B55B6"/>
    <w:multiLevelType w:val="hybridMultilevel"/>
    <w:tmpl w:val="383600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4D4846"/>
    <w:multiLevelType w:val="hybridMultilevel"/>
    <w:tmpl w:val="48462D50"/>
    <w:lvl w:ilvl="0" w:tplc="F6F4B0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DE0B27"/>
    <w:multiLevelType w:val="hybridMultilevel"/>
    <w:tmpl w:val="0C1626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694E81"/>
    <w:multiLevelType w:val="hybridMultilevel"/>
    <w:tmpl w:val="C204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35ABD"/>
    <w:multiLevelType w:val="hybridMultilevel"/>
    <w:tmpl w:val="BE94BEC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1FD90837"/>
    <w:multiLevelType w:val="hybridMultilevel"/>
    <w:tmpl w:val="18C80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700AAD"/>
    <w:multiLevelType w:val="hybridMultilevel"/>
    <w:tmpl w:val="6A12B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9114BE"/>
    <w:multiLevelType w:val="hybridMultilevel"/>
    <w:tmpl w:val="FFFFFFFF"/>
    <w:lvl w:ilvl="0" w:tplc="0802AC1A">
      <w:start w:val="1"/>
      <w:numFmt w:val="bullet"/>
      <w:lvlText w:val="·"/>
      <w:lvlJc w:val="left"/>
      <w:pPr>
        <w:ind w:left="720" w:hanging="360"/>
      </w:pPr>
      <w:rPr>
        <w:rFonts w:ascii="Symbol" w:hAnsi="Symbol" w:hint="default"/>
      </w:rPr>
    </w:lvl>
    <w:lvl w:ilvl="1" w:tplc="12605F1C">
      <w:start w:val="1"/>
      <w:numFmt w:val="bullet"/>
      <w:lvlText w:val="o"/>
      <w:lvlJc w:val="left"/>
      <w:pPr>
        <w:ind w:left="1440" w:hanging="360"/>
      </w:pPr>
      <w:rPr>
        <w:rFonts w:ascii="Courier New" w:hAnsi="Courier New" w:hint="default"/>
      </w:rPr>
    </w:lvl>
    <w:lvl w:ilvl="2" w:tplc="31388850">
      <w:start w:val="1"/>
      <w:numFmt w:val="bullet"/>
      <w:lvlText w:val=""/>
      <w:lvlJc w:val="left"/>
      <w:pPr>
        <w:ind w:left="2160" w:hanging="360"/>
      </w:pPr>
      <w:rPr>
        <w:rFonts w:ascii="Wingdings" w:hAnsi="Wingdings" w:hint="default"/>
      </w:rPr>
    </w:lvl>
    <w:lvl w:ilvl="3" w:tplc="C462907A">
      <w:start w:val="1"/>
      <w:numFmt w:val="bullet"/>
      <w:lvlText w:val=""/>
      <w:lvlJc w:val="left"/>
      <w:pPr>
        <w:ind w:left="2880" w:hanging="360"/>
      </w:pPr>
      <w:rPr>
        <w:rFonts w:ascii="Symbol" w:hAnsi="Symbol" w:hint="default"/>
      </w:rPr>
    </w:lvl>
    <w:lvl w:ilvl="4" w:tplc="0ED695FE">
      <w:start w:val="1"/>
      <w:numFmt w:val="bullet"/>
      <w:lvlText w:val="o"/>
      <w:lvlJc w:val="left"/>
      <w:pPr>
        <w:ind w:left="3600" w:hanging="360"/>
      </w:pPr>
      <w:rPr>
        <w:rFonts w:ascii="Courier New" w:hAnsi="Courier New" w:hint="default"/>
      </w:rPr>
    </w:lvl>
    <w:lvl w:ilvl="5" w:tplc="DBDAB484">
      <w:start w:val="1"/>
      <w:numFmt w:val="bullet"/>
      <w:lvlText w:val=""/>
      <w:lvlJc w:val="left"/>
      <w:pPr>
        <w:ind w:left="4320" w:hanging="360"/>
      </w:pPr>
      <w:rPr>
        <w:rFonts w:ascii="Wingdings" w:hAnsi="Wingdings" w:hint="default"/>
      </w:rPr>
    </w:lvl>
    <w:lvl w:ilvl="6" w:tplc="AC024668">
      <w:start w:val="1"/>
      <w:numFmt w:val="bullet"/>
      <w:lvlText w:val=""/>
      <w:lvlJc w:val="left"/>
      <w:pPr>
        <w:ind w:left="5040" w:hanging="360"/>
      </w:pPr>
      <w:rPr>
        <w:rFonts w:ascii="Symbol" w:hAnsi="Symbol" w:hint="default"/>
      </w:rPr>
    </w:lvl>
    <w:lvl w:ilvl="7" w:tplc="9850BB4A">
      <w:start w:val="1"/>
      <w:numFmt w:val="bullet"/>
      <w:lvlText w:val="o"/>
      <w:lvlJc w:val="left"/>
      <w:pPr>
        <w:ind w:left="5760" w:hanging="360"/>
      </w:pPr>
      <w:rPr>
        <w:rFonts w:ascii="Courier New" w:hAnsi="Courier New" w:hint="default"/>
      </w:rPr>
    </w:lvl>
    <w:lvl w:ilvl="8" w:tplc="853E20CA">
      <w:start w:val="1"/>
      <w:numFmt w:val="bullet"/>
      <w:lvlText w:val=""/>
      <w:lvlJc w:val="left"/>
      <w:pPr>
        <w:ind w:left="6480" w:hanging="360"/>
      </w:pPr>
      <w:rPr>
        <w:rFonts w:ascii="Wingdings" w:hAnsi="Wingdings" w:hint="default"/>
      </w:rPr>
    </w:lvl>
  </w:abstractNum>
  <w:abstractNum w:abstractNumId="20" w15:restartNumberingAfterBreak="0">
    <w:nsid w:val="24AA54AA"/>
    <w:multiLevelType w:val="hybridMultilevel"/>
    <w:tmpl w:val="FFFFFFFF"/>
    <w:lvl w:ilvl="0" w:tplc="9D64A03A">
      <w:start w:val="1"/>
      <w:numFmt w:val="bullet"/>
      <w:lvlText w:val=""/>
      <w:lvlJc w:val="left"/>
      <w:pPr>
        <w:ind w:left="720" w:hanging="360"/>
      </w:pPr>
      <w:rPr>
        <w:rFonts w:ascii="Symbol" w:hAnsi="Symbol" w:hint="default"/>
      </w:rPr>
    </w:lvl>
    <w:lvl w:ilvl="1" w:tplc="664ABF36">
      <w:start w:val="1"/>
      <w:numFmt w:val="bullet"/>
      <w:lvlText w:val="o"/>
      <w:lvlJc w:val="left"/>
      <w:pPr>
        <w:ind w:left="1440" w:hanging="360"/>
      </w:pPr>
      <w:rPr>
        <w:rFonts w:ascii="Courier New" w:hAnsi="Courier New" w:hint="default"/>
      </w:rPr>
    </w:lvl>
    <w:lvl w:ilvl="2" w:tplc="0646F630">
      <w:start w:val="1"/>
      <w:numFmt w:val="bullet"/>
      <w:lvlText w:val=""/>
      <w:lvlJc w:val="left"/>
      <w:pPr>
        <w:ind w:left="2160" w:hanging="360"/>
      </w:pPr>
      <w:rPr>
        <w:rFonts w:ascii="Wingdings" w:hAnsi="Wingdings" w:hint="default"/>
      </w:rPr>
    </w:lvl>
    <w:lvl w:ilvl="3" w:tplc="273A5F8C">
      <w:start w:val="1"/>
      <w:numFmt w:val="bullet"/>
      <w:lvlText w:val=""/>
      <w:lvlJc w:val="left"/>
      <w:pPr>
        <w:ind w:left="2880" w:hanging="360"/>
      </w:pPr>
      <w:rPr>
        <w:rFonts w:ascii="Symbol" w:hAnsi="Symbol" w:hint="default"/>
      </w:rPr>
    </w:lvl>
    <w:lvl w:ilvl="4" w:tplc="1CCE670A">
      <w:start w:val="1"/>
      <w:numFmt w:val="bullet"/>
      <w:lvlText w:val="o"/>
      <w:lvlJc w:val="left"/>
      <w:pPr>
        <w:ind w:left="3600" w:hanging="360"/>
      </w:pPr>
      <w:rPr>
        <w:rFonts w:ascii="Courier New" w:hAnsi="Courier New" w:hint="default"/>
      </w:rPr>
    </w:lvl>
    <w:lvl w:ilvl="5" w:tplc="6F408D16">
      <w:start w:val="1"/>
      <w:numFmt w:val="bullet"/>
      <w:lvlText w:val=""/>
      <w:lvlJc w:val="left"/>
      <w:pPr>
        <w:ind w:left="4320" w:hanging="360"/>
      </w:pPr>
      <w:rPr>
        <w:rFonts w:ascii="Wingdings" w:hAnsi="Wingdings" w:hint="default"/>
      </w:rPr>
    </w:lvl>
    <w:lvl w:ilvl="6" w:tplc="F79A92E0">
      <w:start w:val="1"/>
      <w:numFmt w:val="bullet"/>
      <w:lvlText w:val=""/>
      <w:lvlJc w:val="left"/>
      <w:pPr>
        <w:ind w:left="5040" w:hanging="360"/>
      </w:pPr>
      <w:rPr>
        <w:rFonts w:ascii="Symbol" w:hAnsi="Symbol" w:hint="default"/>
      </w:rPr>
    </w:lvl>
    <w:lvl w:ilvl="7" w:tplc="2E94440A">
      <w:start w:val="1"/>
      <w:numFmt w:val="bullet"/>
      <w:lvlText w:val="o"/>
      <w:lvlJc w:val="left"/>
      <w:pPr>
        <w:ind w:left="5760" w:hanging="360"/>
      </w:pPr>
      <w:rPr>
        <w:rFonts w:ascii="Courier New" w:hAnsi="Courier New" w:hint="default"/>
      </w:rPr>
    </w:lvl>
    <w:lvl w:ilvl="8" w:tplc="C7EE9A80">
      <w:start w:val="1"/>
      <w:numFmt w:val="bullet"/>
      <w:lvlText w:val=""/>
      <w:lvlJc w:val="left"/>
      <w:pPr>
        <w:ind w:left="6480" w:hanging="360"/>
      </w:pPr>
      <w:rPr>
        <w:rFonts w:ascii="Wingdings" w:hAnsi="Wingdings" w:hint="default"/>
      </w:rPr>
    </w:lvl>
  </w:abstractNum>
  <w:abstractNum w:abstractNumId="21" w15:restartNumberingAfterBreak="0">
    <w:nsid w:val="24B0389F"/>
    <w:multiLevelType w:val="hybridMultilevel"/>
    <w:tmpl w:val="E7A0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A06ABC"/>
    <w:multiLevelType w:val="hybridMultilevel"/>
    <w:tmpl w:val="0AFE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623C23"/>
    <w:multiLevelType w:val="hybridMultilevel"/>
    <w:tmpl w:val="C20CC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43106F"/>
    <w:multiLevelType w:val="hybridMultilevel"/>
    <w:tmpl w:val="FFFFFFFF"/>
    <w:lvl w:ilvl="0" w:tplc="D58624D4">
      <w:start w:val="1"/>
      <w:numFmt w:val="decimal"/>
      <w:lvlText w:val="%1."/>
      <w:lvlJc w:val="left"/>
      <w:pPr>
        <w:ind w:left="720" w:hanging="360"/>
      </w:pPr>
    </w:lvl>
    <w:lvl w:ilvl="1" w:tplc="1B328E5C">
      <w:start w:val="1"/>
      <w:numFmt w:val="lowerLetter"/>
      <w:lvlText w:val="%2."/>
      <w:lvlJc w:val="left"/>
      <w:pPr>
        <w:ind w:left="1440" w:hanging="360"/>
      </w:pPr>
    </w:lvl>
    <w:lvl w:ilvl="2" w:tplc="06A40D26">
      <w:start w:val="1"/>
      <w:numFmt w:val="lowerRoman"/>
      <w:lvlText w:val="%3."/>
      <w:lvlJc w:val="right"/>
      <w:pPr>
        <w:ind w:left="2160" w:hanging="180"/>
      </w:pPr>
    </w:lvl>
    <w:lvl w:ilvl="3" w:tplc="D61ED352">
      <w:start w:val="1"/>
      <w:numFmt w:val="decimal"/>
      <w:lvlText w:val="%4."/>
      <w:lvlJc w:val="left"/>
      <w:pPr>
        <w:ind w:left="2880" w:hanging="360"/>
      </w:pPr>
    </w:lvl>
    <w:lvl w:ilvl="4" w:tplc="AF922764">
      <w:start w:val="1"/>
      <w:numFmt w:val="lowerLetter"/>
      <w:lvlText w:val="%5."/>
      <w:lvlJc w:val="left"/>
      <w:pPr>
        <w:ind w:left="3600" w:hanging="360"/>
      </w:pPr>
    </w:lvl>
    <w:lvl w:ilvl="5" w:tplc="978427A0">
      <w:start w:val="1"/>
      <w:numFmt w:val="lowerRoman"/>
      <w:lvlText w:val="%6."/>
      <w:lvlJc w:val="right"/>
      <w:pPr>
        <w:ind w:left="4320" w:hanging="180"/>
      </w:pPr>
    </w:lvl>
    <w:lvl w:ilvl="6" w:tplc="AD52A9EA">
      <w:start w:val="1"/>
      <w:numFmt w:val="decimal"/>
      <w:lvlText w:val="%7."/>
      <w:lvlJc w:val="left"/>
      <w:pPr>
        <w:ind w:left="5040" w:hanging="360"/>
      </w:pPr>
    </w:lvl>
    <w:lvl w:ilvl="7" w:tplc="E80CB16A">
      <w:start w:val="1"/>
      <w:numFmt w:val="lowerLetter"/>
      <w:lvlText w:val="%8."/>
      <w:lvlJc w:val="left"/>
      <w:pPr>
        <w:ind w:left="5760" w:hanging="360"/>
      </w:pPr>
    </w:lvl>
    <w:lvl w:ilvl="8" w:tplc="AF500C4A">
      <w:start w:val="1"/>
      <w:numFmt w:val="lowerRoman"/>
      <w:lvlText w:val="%9."/>
      <w:lvlJc w:val="right"/>
      <w:pPr>
        <w:ind w:left="6480" w:hanging="180"/>
      </w:pPr>
    </w:lvl>
  </w:abstractNum>
  <w:abstractNum w:abstractNumId="25" w15:restartNumberingAfterBreak="0">
    <w:nsid w:val="2ABF2254"/>
    <w:multiLevelType w:val="hybridMultilevel"/>
    <w:tmpl w:val="6B98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D15437"/>
    <w:multiLevelType w:val="hybridMultilevel"/>
    <w:tmpl w:val="B8ECE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ADD2C0D"/>
    <w:multiLevelType w:val="hybridMultilevel"/>
    <w:tmpl w:val="FFFFFFFF"/>
    <w:lvl w:ilvl="0" w:tplc="512EBE90">
      <w:start w:val="1"/>
      <w:numFmt w:val="bullet"/>
      <w:lvlText w:val=""/>
      <w:lvlJc w:val="left"/>
      <w:pPr>
        <w:ind w:left="720" w:hanging="360"/>
      </w:pPr>
      <w:rPr>
        <w:rFonts w:ascii="Symbol" w:hAnsi="Symbol" w:hint="default"/>
      </w:rPr>
    </w:lvl>
    <w:lvl w:ilvl="1" w:tplc="43CE8814">
      <w:start w:val="1"/>
      <w:numFmt w:val="bullet"/>
      <w:lvlText w:val="o"/>
      <w:lvlJc w:val="left"/>
      <w:pPr>
        <w:ind w:left="1440" w:hanging="360"/>
      </w:pPr>
      <w:rPr>
        <w:rFonts w:ascii="Courier New" w:hAnsi="Courier New" w:hint="default"/>
      </w:rPr>
    </w:lvl>
    <w:lvl w:ilvl="2" w:tplc="FF7A80FA">
      <w:start w:val="1"/>
      <w:numFmt w:val="bullet"/>
      <w:lvlText w:val=""/>
      <w:lvlJc w:val="left"/>
      <w:pPr>
        <w:ind w:left="2160" w:hanging="360"/>
      </w:pPr>
      <w:rPr>
        <w:rFonts w:ascii="Wingdings" w:hAnsi="Wingdings" w:hint="default"/>
      </w:rPr>
    </w:lvl>
    <w:lvl w:ilvl="3" w:tplc="99666C56">
      <w:start w:val="1"/>
      <w:numFmt w:val="bullet"/>
      <w:lvlText w:val=""/>
      <w:lvlJc w:val="left"/>
      <w:pPr>
        <w:ind w:left="2880" w:hanging="360"/>
      </w:pPr>
      <w:rPr>
        <w:rFonts w:ascii="Symbol" w:hAnsi="Symbol" w:hint="default"/>
      </w:rPr>
    </w:lvl>
    <w:lvl w:ilvl="4" w:tplc="89D41FDC">
      <w:start w:val="1"/>
      <w:numFmt w:val="bullet"/>
      <w:lvlText w:val="o"/>
      <w:lvlJc w:val="left"/>
      <w:pPr>
        <w:ind w:left="3600" w:hanging="360"/>
      </w:pPr>
      <w:rPr>
        <w:rFonts w:ascii="Courier New" w:hAnsi="Courier New" w:hint="default"/>
      </w:rPr>
    </w:lvl>
    <w:lvl w:ilvl="5" w:tplc="9546028A">
      <w:start w:val="1"/>
      <w:numFmt w:val="bullet"/>
      <w:lvlText w:val=""/>
      <w:lvlJc w:val="left"/>
      <w:pPr>
        <w:ind w:left="4320" w:hanging="360"/>
      </w:pPr>
      <w:rPr>
        <w:rFonts w:ascii="Wingdings" w:hAnsi="Wingdings" w:hint="default"/>
      </w:rPr>
    </w:lvl>
    <w:lvl w:ilvl="6" w:tplc="E7D8DB48">
      <w:start w:val="1"/>
      <w:numFmt w:val="bullet"/>
      <w:lvlText w:val=""/>
      <w:lvlJc w:val="left"/>
      <w:pPr>
        <w:ind w:left="5040" w:hanging="360"/>
      </w:pPr>
      <w:rPr>
        <w:rFonts w:ascii="Symbol" w:hAnsi="Symbol" w:hint="default"/>
      </w:rPr>
    </w:lvl>
    <w:lvl w:ilvl="7" w:tplc="D9D07B74">
      <w:start w:val="1"/>
      <w:numFmt w:val="bullet"/>
      <w:lvlText w:val="o"/>
      <w:lvlJc w:val="left"/>
      <w:pPr>
        <w:ind w:left="5760" w:hanging="360"/>
      </w:pPr>
      <w:rPr>
        <w:rFonts w:ascii="Courier New" w:hAnsi="Courier New" w:hint="default"/>
      </w:rPr>
    </w:lvl>
    <w:lvl w:ilvl="8" w:tplc="9EE07A6C">
      <w:start w:val="1"/>
      <w:numFmt w:val="bullet"/>
      <w:lvlText w:val=""/>
      <w:lvlJc w:val="left"/>
      <w:pPr>
        <w:ind w:left="6480" w:hanging="360"/>
      </w:pPr>
      <w:rPr>
        <w:rFonts w:ascii="Wingdings" w:hAnsi="Wingdings" w:hint="default"/>
      </w:rPr>
    </w:lvl>
  </w:abstractNum>
  <w:abstractNum w:abstractNumId="28" w15:restartNumberingAfterBreak="0">
    <w:nsid w:val="2B9E1034"/>
    <w:multiLevelType w:val="hybridMultilevel"/>
    <w:tmpl w:val="876A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3F16A3"/>
    <w:multiLevelType w:val="hybridMultilevel"/>
    <w:tmpl w:val="DF00AC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F3823CC"/>
    <w:multiLevelType w:val="hybridMultilevel"/>
    <w:tmpl w:val="156ADBB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2616F0A"/>
    <w:multiLevelType w:val="hybridMultilevel"/>
    <w:tmpl w:val="4536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E65EC1"/>
    <w:multiLevelType w:val="hybridMultilevel"/>
    <w:tmpl w:val="FFFFFFFF"/>
    <w:lvl w:ilvl="0" w:tplc="CFC2C414">
      <w:start w:val="1"/>
      <w:numFmt w:val="bullet"/>
      <w:lvlText w:val="·"/>
      <w:lvlJc w:val="left"/>
      <w:pPr>
        <w:ind w:left="720" w:hanging="360"/>
      </w:pPr>
      <w:rPr>
        <w:rFonts w:ascii="Symbol" w:hAnsi="Symbol" w:hint="default"/>
      </w:rPr>
    </w:lvl>
    <w:lvl w:ilvl="1" w:tplc="CCCEA51C">
      <w:start w:val="1"/>
      <w:numFmt w:val="bullet"/>
      <w:lvlText w:val="o"/>
      <w:lvlJc w:val="left"/>
      <w:pPr>
        <w:ind w:left="1440" w:hanging="360"/>
      </w:pPr>
      <w:rPr>
        <w:rFonts w:ascii="Courier New" w:hAnsi="Courier New" w:hint="default"/>
      </w:rPr>
    </w:lvl>
    <w:lvl w:ilvl="2" w:tplc="A85EC046">
      <w:start w:val="1"/>
      <w:numFmt w:val="bullet"/>
      <w:lvlText w:val=""/>
      <w:lvlJc w:val="left"/>
      <w:pPr>
        <w:ind w:left="2160" w:hanging="360"/>
      </w:pPr>
      <w:rPr>
        <w:rFonts w:ascii="Wingdings" w:hAnsi="Wingdings" w:hint="default"/>
      </w:rPr>
    </w:lvl>
    <w:lvl w:ilvl="3" w:tplc="E33C288A">
      <w:start w:val="1"/>
      <w:numFmt w:val="bullet"/>
      <w:lvlText w:val=""/>
      <w:lvlJc w:val="left"/>
      <w:pPr>
        <w:ind w:left="2880" w:hanging="360"/>
      </w:pPr>
      <w:rPr>
        <w:rFonts w:ascii="Symbol" w:hAnsi="Symbol" w:hint="default"/>
      </w:rPr>
    </w:lvl>
    <w:lvl w:ilvl="4" w:tplc="93022F9A">
      <w:start w:val="1"/>
      <w:numFmt w:val="bullet"/>
      <w:lvlText w:val="o"/>
      <w:lvlJc w:val="left"/>
      <w:pPr>
        <w:ind w:left="3600" w:hanging="360"/>
      </w:pPr>
      <w:rPr>
        <w:rFonts w:ascii="Courier New" w:hAnsi="Courier New" w:hint="default"/>
      </w:rPr>
    </w:lvl>
    <w:lvl w:ilvl="5" w:tplc="7DEA0720">
      <w:start w:val="1"/>
      <w:numFmt w:val="bullet"/>
      <w:lvlText w:val=""/>
      <w:lvlJc w:val="left"/>
      <w:pPr>
        <w:ind w:left="4320" w:hanging="360"/>
      </w:pPr>
      <w:rPr>
        <w:rFonts w:ascii="Wingdings" w:hAnsi="Wingdings" w:hint="default"/>
      </w:rPr>
    </w:lvl>
    <w:lvl w:ilvl="6" w:tplc="BE0EB47C">
      <w:start w:val="1"/>
      <w:numFmt w:val="bullet"/>
      <w:lvlText w:val=""/>
      <w:lvlJc w:val="left"/>
      <w:pPr>
        <w:ind w:left="5040" w:hanging="360"/>
      </w:pPr>
      <w:rPr>
        <w:rFonts w:ascii="Symbol" w:hAnsi="Symbol" w:hint="default"/>
      </w:rPr>
    </w:lvl>
    <w:lvl w:ilvl="7" w:tplc="A4E0A06A">
      <w:start w:val="1"/>
      <w:numFmt w:val="bullet"/>
      <w:lvlText w:val="o"/>
      <w:lvlJc w:val="left"/>
      <w:pPr>
        <w:ind w:left="5760" w:hanging="360"/>
      </w:pPr>
      <w:rPr>
        <w:rFonts w:ascii="Courier New" w:hAnsi="Courier New" w:hint="default"/>
      </w:rPr>
    </w:lvl>
    <w:lvl w:ilvl="8" w:tplc="751A0B5A">
      <w:start w:val="1"/>
      <w:numFmt w:val="bullet"/>
      <w:lvlText w:val=""/>
      <w:lvlJc w:val="left"/>
      <w:pPr>
        <w:ind w:left="6480" w:hanging="360"/>
      </w:pPr>
      <w:rPr>
        <w:rFonts w:ascii="Wingdings" w:hAnsi="Wingdings" w:hint="default"/>
      </w:rPr>
    </w:lvl>
  </w:abstractNum>
  <w:abstractNum w:abstractNumId="33" w15:restartNumberingAfterBreak="0">
    <w:nsid w:val="35A402EA"/>
    <w:multiLevelType w:val="hybridMultilevel"/>
    <w:tmpl w:val="AEE0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A47E70"/>
    <w:multiLevelType w:val="hybridMultilevel"/>
    <w:tmpl w:val="E2BCDA48"/>
    <w:lvl w:ilvl="0" w:tplc="0802AC1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8277B1B"/>
    <w:multiLevelType w:val="hybridMultilevel"/>
    <w:tmpl w:val="35767F2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6" w15:restartNumberingAfterBreak="0">
    <w:nsid w:val="385F6308"/>
    <w:multiLevelType w:val="hybridMultilevel"/>
    <w:tmpl w:val="09462B0C"/>
    <w:lvl w:ilvl="0" w:tplc="EDDA755C">
      <w:start w:val="1"/>
      <w:numFmt w:val="bullet"/>
      <w:lvlText w:val=""/>
      <w:lvlJc w:val="left"/>
      <w:pPr>
        <w:tabs>
          <w:tab w:val="num" w:pos="720"/>
        </w:tabs>
        <w:ind w:left="720" w:hanging="360"/>
      </w:pPr>
      <w:rPr>
        <w:rFonts w:ascii="Symbol" w:hAnsi="Symbol" w:hint="default"/>
        <w:sz w:val="20"/>
      </w:rPr>
    </w:lvl>
    <w:lvl w:ilvl="1" w:tplc="EEA4B358">
      <w:start w:val="1"/>
      <w:numFmt w:val="bullet"/>
      <w:lvlText w:val=""/>
      <w:lvlJc w:val="left"/>
      <w:pPr>
        <w:tabs>
          <w:tab w:val="num" w:pos="1440"/>
        </w:tabs>
        <w:ind w:left="1440" w:hanging="360"/>
      </w:pPr>
      <w:rPr>
        <w:rFonts w:ascii="Symbol" w:hAnsi="Symbol" w:hint="default"/>
        <w:sz w:val="20"/>
      </w:rPr>
    </w:lvl>
    <w:lvl w:ilvl="2" w:tplc="AECEA308">
      <w:start w:val="1"/>
      <w:numFmt w:val="bullet"/>
      <w:lvlText w:val=""/>
      <w:lvlJc w:val="left"/>
      <w:pPr>
        <w:tabs>
          <w:tab w:val="num" w:pos="2160"/>
        </w:tabs>
        <w:ind w:left="2160" w:hanging="360"/>
      </w:pPr>
      <w:rPr>
        <w:rFonts w:ascii="Symbol" w:hAnsi="Symbol" w:hint="default"/>
        <w:sz w:val="20"/>
      </w:rPr>
    </w:lvl>
    <w:lvl w:ilvl="3" w:tplc="1B40CD9E">
      <w:start w:val="1"/>
      <w:numFmt w:val="bullet"/>
      <w:lvlText w:val=""/>
      <w:lvlJc w:val="left"/>
      <w:pPr>
        <w:tabs>
          <w:tab w:val="num" w:pos="2880"/>
        </w:tabs>
        <w:ind w:left="2880" w:hanging="360"/>
      </w:pPr>
      <w:rPr>
        <w:rFonts w:ascii="Symbol" w:hAnsi="Symbol" w:hint="default"/>
        <w:sz w:val="20"/>
      </w:rPr>
    </w:lvl>
    <w:lvl w:ilvl="4" w:tplc="B6E63184">
      <w:start w:val="1"/>
      <w:numFmt w:val="bullet"/>
      <w:lvlText w:val=""/>
      <w:lvlJc w:val="left"/>
      <w:pPr>
        <w:tabs>
          <w:tab w:val="num" w:pos="3600"/>
        </w:tabs>
        <w:ind w:left="3600" w:hanging="360"/>
      </w:pPr>
      <w:rPr>
        <w:rFonts w:ascii="Symbol" w:hAnsi="Symbol" w:hint="default"/>
        <w:sz w:val="20"/>
      </w:rPr>
    </w:lvl>
    <w:lvl w:ilvl="5" w:tplc="0AB4E6E6">
      <w:start w:val="1"/>
      <w:numFmt w:val="bullet"/>
      <w:lvlText w:val=""/>
      <w:lvlJc w:val="left"/>
      <w:pPr>
        <w:tabs>
          <w:tab w:val="num" w:pos="4320"/>
        </w:tabs>
        <w:ind w:left="4320" w:hanging="360"/>
      </w:pPr>
      <w:rPr>
        <w:rFonts w:ascii="Symbol" w:hAnsi="Symbol" w:hint="default"/>
        <w:sz w:val="20"/>
      </w:rPr>
    </w:lvl>
    <w:lvl w:ilvl="6" w:tplc="97840E50">
      <w:start w:val="1"/>
      <w:numFmt w:val="bullet"/>
      <w:lvlText w:val=""/>
      <w:lvlJc w:val="left"/>
      <w:pPr>
        <w:tabs>
          <w:tab w:val="num" w:pos="5040"/>
        </w:tabs>
        <w:ind w:left="5040" w:hanging="360"/>
      </w:pPr>
      <w:rPr>
        <w:rFonts w:ascii="Symbol" w:hAnsi="Symbol" w:hint="default"/>
        <w:sz w:val="20"/>
      </w:rPr>
    </w:lvl>
    <w:lvl w:ilvl="7" w:tplc="7BF4DE16">
      <w:start w:val="1"/>
      <w:numFmt w:val="bullet"/>
      <w:lvlText w:val=""/>
      <w:lvlJc w:val="left"/>
      <w:pPr>
        <w:tabs>
          <w:tab w:val="num" w:pos="5760"/>
        </w:tabs>
        <w:ind w:left="5760" w:hanging="360"/>
      </w:pPr>
      <w:rPr>
        <w:rFonts w:ascii="Symbol" w:hAnsi="Symbol" w:hint="default"/>
        <w:sz w:val="20"/>
      </w:rPr>
    </w:lvl>
    <w:lvl w:ilvl="8" w:tplc="83C471E6">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A686FB8"/>
    <w:multiLevelType w:val="hybridMultilevel"/>
    <w:tmpl w:val="6DF00130"/>
    <w:lvl w:ilvl="0" w:tplc="E82A1028">
      <w:start w:val="1"/>
      <w:numFmt w:val="bullet"/>
      <w:lvlText w:val=""/>
      <w:lvlJc w:val="left"/>
      <w:pPr>
        <w:tabs>
          <w:tab w:val="num" w:pos="720"/>
        </w:tabs>
        <w:ind w:left="720" w:hanging="360"/>
      </w:pPr>
      <w:rPr>
        <w:rFonts w:ascii="Symbol" w:hAnsi="Symbol" w:hint="default"/>
        <w:sz w:val="20"/>
      </w:rPr>
    </w:lvl>
    <w:lvl w:ilvl="1" w:tplc="15B4F794">
      <w:start w:val="1"/>
      <w:numFmt w:val="bullet"/>
      <w:lvlText w:val=""/>
      <w:lvlJc w:val="left"/>
      <w:pPr>
        <w:tabs>
          <w:tab w:val="num" w:pos="1440"/>
        </w:tabs>
        <w:ind w:left="1440" w:hanging="360"/>
      </w:pPr>
      <w:rPr>
        <w:rFonts w:ascii="Symbol" w:hAnsi="Symbol" w:hint="default"/>
        <w:sz w:val="20"/>
      </w:rPr>
    </w:lvl>
    <w:lvl w:ilvl="2" w:tplc="79AE7AF2">
      <w:start w:val="1"/>
      <w:numFmt w:val="bullet"/>
      <w:lvlText w:val=""/>
      <w:lvlJc w:val="left"/>
      <w:pPr>
        <w:tabs>
          <w:tab w:val="num" w:pos="2160"/>
        </w:tabs>
        <w:ind w:left="2160" w:hanging="360"/>
      </w:pPr>
      <w:rPr>
        <w:rFonts w:ascii="Symbol" w:hAnsi="Symbol" w:hint="default"/>
        <w:sz w:val="20"/>
      </w:rPr>
    </w:lvl>
    <w:lvl w:ilvl="3" w:tplc="07D27820">
      <w:start w:val="1"/>
      <w:numFmt w:val="bullet"/>
      <w:lvlText w:val=""/>
      <w:lvlJc w:val="left"/>
      <w:pPr>
        <w:tabs>
          <w:tab w:val="num" w:pos="2880"/>
        </w:tabs>
        <w:ind w:left="2880" w:hanging="360"/>
      </w:pPr>
      <w:rPr>
        <w:rFonts w:ascii="Symbol" w:hAnsi="Symbol" w:hint="default"/>
        <w:sz w:val="20"/>
      </w:rPr>
    </w:lvl>
    <w:lvl w:ilvl="4" w:tplc="FFF035A4">
      <w:start w:val="1"/>
      <w:numFmt w:val="bullet"/>
      <w:lvlText w:val=""/>
      <w:lvlJc w:val="left"/>
      <w:pPr>
        <w:tabs>
          <w:tab w:val="num" w:pos="3600"/>
        </w:tabs>
        <w:ind w:left="3600" w:hanging="360"/>
      </w:pPr>
      <w:rPr>
        <w:rFonts w:ascii="Symbol" w:hAnsi="Symbol" w:hint="default"/>
        <w:sz w:val="20"/>
      </w:rPr>
    </w:lvl>
    <w:lvl w:ilvl="5" w:tplc="31E4727E">
      <w:start w:val="1"/>
      <w:numFmt w:val="bullet"/>
      <w:lvlText w:val=""/>
      <w:lvlJc w:val="left"/>
      <w:pPr>
        <w:tabs>
          <w:tab w:val="num" w:pos="4320"/>
        </w:tabs>
        <w:ind w:left="4320" w:hanging="360"/>
      </w:pPr>
      <w:rPr>
        <w:rFonts w:ascii="Symbol" w:hAnsi="Symbol" w:hint="default"/>
        <w:sz w:val="20"/>
      </w:rPr>
    </w:lvl>
    <w:lvl w:ilvl="6" w:tplc="E598ADA4">
      <w:start w:val="1"/>
      <w:numFmt w:val="bullet"/>
      <w:lvlText w:val=""/>
      <w:lvlJc w:val="left"/>
      <w:pPr>
        <w:tabs>
          <w:tab w:val="num" w:pos="5040"/>
        </w:tabs>
        <w:ind w:left="5040" w:hanging="360"/>
      </w:pPr>
      <w:rPr>
        <w:rFonts w:ascii="Symbol" w:hAnsi="Symbol" w:hint="default"/>
        <w:sz w:val="20"/>
      </w:rPr>
    </w:lvl>
    <w:lvl w:ilvl="7" w:tplc="E74AC9A4">
      <w:start w:val="1"/>
      <w:numFmt w:val="bullet"/>
      <w:lvlText w:val=""/>
      <w:lvlJc w:val="left"/>
      <w:pPr>
        <w:tabs>
          <w:tab w:val="num" w:pos="5760"/>
        </w:tabs>
        <w:ind w:left="5760" w:hanging="360"/>
      </w:pPr>
      <w:rPr>
        <w:rFonts w:ascii="Symbol" w:hAnsi="Symbol" w:hint="default"/>
        <w:sz w:val="20"/>
      </w:rPr>
    </w:lvl>
    <w:lvl w:ilvl="8" w:tplc="268C165E">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CC75617"/>
    <w:multiLevelType w:val="hybridMultilevel"/>
    <w:tmpl w:val="D6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4E0006"/>
    <w:multiLevelType w:val="hybridMultilevel"/>
    <w:tmpl w:val="02B4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80431A"/>
    <w:multiLevelType w:val="hybridMultilevel"/>
    <w:tmpl w:val="FFFFFFFF"/>
    <w:lvl w:ilvl="0" w:tplc="FD86BD4C">
      <w:start w:val="1"/>
      <w:numFmt w:val="bullet"/>
      <w:lvlText w:val=""/>
      <w:lvlJc w:val="left"/>
      <w:pPr>
        <w:ind w:left="720" w:hanging="360"/>
      </w:pPr>
      <w:rPr>
        <w:rFonts w:ascii="Symbol" w:hAnsi="Symbol" w:hint="default"/>
      </w:rPr>
    </w:lvl>
    <w:lvl w:ilvl="1" w:tplc="A78A025C">
      <w:start w:val="1"/>
      <w:numFmt w:val="bullet"/>
      <w:lvlText w:val="o"/>
      <w:lvlJc w:val="left"/>
      <w:pPr>
        <w:ind w:left="1440" w:hanging="360"/>
      </w:pPr>
      <w:rPr>
        <w:rFonts w:ascii="Courier New" w:hAnsi="Courier New" w:hint="default"/>
      </w:rPr>
    </w:lvl>
    <w:lvl w:ilvl="2" w:tplc="D2A47F86">
      <w:start w:val="1"/>
      <w:numFmt w:val="bullet"/>
      <w:lvlText w:val=""/>
      <w:lvlJc w:val="left"/>
      <w:pPr>
        <w:ind w:left="2160" w:hanging="360"/>
      </w:pPr>
      <w:rPr>
        <w:rFonts w:ascii="Wingdings" w:hAnsi="Wingdings" w:hint="default"/>
      </w:rPr>
    </w:lvl>
    <w:lvl w:ilvl="3" w:tplc="AFE68626">
      <w:start w:val="1"/>
      <w:numFmt w:val="bullet"/>
      <w:lvlText w:val=""/>
      <w:lvlJc w:val="left"/>
      <w:pPr>
        <w:ind w:left="2880" w:hanging="360"/>
      </w:pPr>
      <w:rPr>
        <w:rFonts w:ascii="Symbol" w:hAnsi="Symbol" w:hint="default"/>
      </w:rPr>
    </w:lvl>
    <w:lvl w:ilvl="4" w:tplc="FBA44CC0">
      <w:start w:val="1"/>
      <w:numFmt w:val="bullet"/>
      <w:lvlText w:val="o"/>
      <w:lvlJc w:val="left"/>
      <w:pPr>
        <w:ind w:left="3600" w:hanging="360"/>
      </w:pPr>
      <w:rPr>
        <w:rFonts w:ascii="Courier New" w:hAnsi="Courier New" w:hint="default"/>
      </w:rPr>
    </w:lvl>
    <w:lvl w:ilvl="5" w:tplc="DF9E7196">
      <w:start w:val="1"/>
      <w:numFmt w:val="bullet"/>
      <w:lvlText w:val=""/>
      <w:lvlJc w:val="left"/>
      <w:pPr>
        <w:ind w:left="4320" w:hanging="360"/>
      </w:pPr>
      <w:rPr>
        <w:rFonts w:ascii="Wingdings" w:hAnsi="Wingdings" w:hint="default"/>
      </w:rPr>
    </w:lvl>
    <w:lvl w:ilvl="6" w:tplc="1CCC3D36">
      <w:start w:val="1"/>
      <w:numFmt w:val="bullet"/>
      <w:lvlText w:val=""/>
      <w:lvlJc w:val="left"/>
      <w:pPr>
        <w:ind w:left="5040" w:hanging="360"/>
      </w:pPr>
      <w:rPr>
        <w:rFonts w:ascii="Symbol" w:hAnsi="Symbol" w:hint="default"/>
      </w:rPr>
    </w:lvl>
    <w:lvl w:ilvl="7" w:tplc="9C700602">
      <w:start w:val="1"/>
      <w:numFmt w:val="bullet"/>
      <w:lvlText w:val="o"/>
      <w:lvlJc w:val="left"/>
      <w:pPr>
        <w:ind w:left="5760" w:hanging="360"/>
      </w:pPr>
      <w:rPr>
        <w:rFonts w:ascii="Courier New" w:hAnsi="Courier New" w:hint="default"/>
      </w:rPr>
    </w:lvl>
    <w:lvl w:ilvl="8" w:tplc="E6F03224">
      <w:start w:val="1"/>
      <w:numFmt w:val="bullet"/>
      <w:lvlText w:val=""/>
      <w:lvlJc w:val="left"/>
      <w:pPr>
        <w:ind w:left="6480" w:hanging="360"/>
      </w:pPr>
      <w:rPr>
        <w:rFonts w:ascii="Wingdings" w:hAnsi="Wingdings" w:hint="default"/>
      </w:rPr>
    </w:lvl>
  </w:abstractNum>
  <w:abstractNum w:abstractNumId="41" w15:restartNumberingAfterBreak="0">
    <w:nsid w:val="441B75CC"/>
    <w:multiLevelType w:val="hybridMultilevel"/>
    <w:tmpl w:val="DE261500"/>
    <w:lvl w:ilvl="0" w:tplc="0409000D">
      <w:start w:val="1"/>
      <w:numFmt w:val="bullet"/>
      <w:lvlText w:val=""/>
      <w:lvlJc w:val="left"/>
      <w:pPr>
        <w:ind w:left="720" w:hanging="360"/>
      </w:pPr>
      <w:rPr>
        <w:rFonts w:ascii="Wingdings" w:hAnsi="Wingdings" w:hint="default"/>
      </w:rPr>
    </w:lvl>
    <w:lvl w:ilvl="1" w:tplc="258CE9D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301729"/>
    <w:multiLevelType w:val="hybridMultilevel"/>
    <w:tmpl w:val="872E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5248F6"/>
    <w:multiLevelType w:val="hybridMultilevel"/>
    <w:tmpl w:val="32264082"/>
    <w:lvl w:ilvl="0" w:tplc="F07EDA96">
      <w:start w:val="1"/>
      <w:numFmt w:val="bullet"/>
      <w:lvlText w:val=""/>
      <w:lvlJc w:val="left"/>
      <w:pPr>
        <w:ind w:left="288" w:hanging="144"/>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40524D"/>
    <w:multiLevelType w:val="hybridMultilevel"/>
    <w:tmpl w:val="1C646F54"/>
    <w:lvl w:ilvl="0" w:tplc="7AB6FCB0">
      <w:start w:val="1"/>
      <w:numFmt w:val="bullet"/>
      <w:lvlText w:val=""/>
      <w:lvlJc w:val="left"/>
      <w:pPr>
        <w:tabs>
          <w:tab w:val="num" w:pos="720"/>
        </w:tabs>
        <w:ind w:left="720" w:hanging="360"/>
      </w:pPr>
      <w:rPr>
        <w:rFonts w:ascii="Symbol" w:hAnsi="Symbol" w:hint="default"/>
        <w:sz w:val="20"/>
      </w:rPr>
    </w:lvl>
    <w:lvl w:ilvl="1" w:tplc="6F5EF7B4" w:tentative="1">
      <w:start w:val="1"/>
      <w:numFmt w:val="bullet"/>
      <w:lvlText w:val=""/>
      <w:lvlJc w:val="left"/>
      <w:pPr>
        <w:tabs>
          <w:tab w:val="num" w:pos="1440"/>
        </w:tabs>
        <w:ind w:left="1440" w:hanging="360"/>
      </w:pPr>
      <w:rPr>
        <w:rFonts w:ascii="Symbol" w:hAnsi="Symbol" w:hint="default"/>
        <w:sz w:val="20"/>
      </w:rPr>
    </w:lvl>
    <w:lvl w:ilvl="2" w:tplc="782EE902" w:tentative="1">
      <w:start w:val="1"/>
      <w:numFmt w:val="bullet"/>
      <w:lvlText w:val=""/>
      <w:lvlJc w:val="left"/>
      <w:pPr>
        <w:tabs>
          <w:tab w:val="num" w:pos="2160"/>
        </w:tabs>
        <w:ind w:left="2160" w:hanging="360"/>
      </w:pPr>
      <w:rPr>
        <w:rFonts w:ascii="Symbol" w:hAnsi="Symbol" w:hint="default"/>
        <w:sz w:val="20"/>
      </w:rPr>
    </w:lvl>
    <w:lvl w:ilvl="3" w:tplc="90C8F38A" w:tentative="1">
      <w:start w:val="1"/>
      <w:numFmt w:val="bullet"/>
      <w:lvlText w:val=""/>
      <w:lvlJc w:val="left"/>
      <w:pPr>
        <w:tabs>
          <w:tab w:val="num" w:pos="2880"/>
        </w:tabs>
        <w:ind w:left="2880" w:hanging="360"/>
      </w:pPr>
      <w:rPr>
        <w:rFonts w:ascii="Symbol" w:hAnsi="Symbol" w:hint="default"/>
        <w:sz w:val="20"/>
      </w:rPr>
    </w:lvl>
    <w:lvl w:ilvl="4" w:tplc="7EE0B7EC" w:tentative="1">
      <w:start w:val="1"/>
      <w:numFmt w:val="bullet"/>
      <w:lvlText w:val=""/>
      <w:lvlJc w:val="left"/>
      <w:pPr>
        <w:tabs>
          <w:tab w:val="num" w:pos="3600"/>
        </w:tabs>
        <w:ind w:left="3600" w:hanging="360"/>
      </w:pPr>
      <w:rPr>
        <w:rFonts w:ascii="Symbol" w:hAnsi="Symbol" w:hint="default"/>
        <w:sz w:val="20"/>
      </w:rPr>
    </w:lvl>
    <w:lvl w:ilvl="5" w:tplc="4A806836" w:tentative="1">
      <w:start w:val="1"/>
      <w:numFmt w:val="bullet"/>
      <w:lvlText w:val=""/>
      <w:lvlJc w:val="left"/>
      <w:pPr>
        <w:tabs>
          <w:tab w:val="num" w:pos="4320"/>
        </w:tabs>
        <w:ind w:left="4320" w:hanging="360"/>
      </w:pPr>
      <w:rPr>
        <w:rFonts w:ascii="Symbol" w:hAnsi="Symbol" w:hint="default"/>
        <w:sz w:val="20"/>
      </w:rPr>
    </w:lvl>
    <w:lvl w:ilvl="6" w:tplc="40568CEA" w:tentative="1">
      <w:start w:val="1"/>
      <w:numFmt w:val="bullet"/>
      <w:lvlText w:val=""/>
      <w:lvlJc w:val="left"/>
      <w:pPr>
        <w:tabs>
          <w:tab w:val="num" w:pos="5040"/>
        </w:tabs>
        <w:ind w:left="5040" w:hanging="360"/>
      </w:pPr>
      <w:rPr>
        <w:rFonts w:ascii="Symbol" w:hAnsi="Symbol" w:hint="default"/>
        <w:sz w:val="20"/>
      </w:rPr>
    </w:lvl>
    <w:lvl w:ilvl="7" w:tplc="719CCE1A" w:tentative="1">
      <w:start w:val="1"/>
      <w:numFmt w:val="bullet"/>
      <w:lvlText w:val=""/>
      <w:lvlJc w:val="left"/>
      <w:pPr>
        <w:tabs>
          <w:tab w:val="num" w:pos="5760"/>
        </w:tabs>
        <w:ind w:left="5760" w:hanging="360"/>
      </w:pPr>
      <w:rPr>
        <w:rFonts w:ascii="Symbol" w:hAnsi="Symbol" w:hint="default"/>
        <w:sz w:val="20"/>
      </w:rPr>
    </w:lvl>
    <w:lvl w:ilvl="8" w:tplc="63705DFA"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67546D4"/>
    <w:multiLevelType w:val="hybridMultilevel"/>
    <w:tmpl w:val="F084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8F06E1"/>
    <w:multiLevelType w:val="hybridMultilevel"/>
    <w:tmpl w:val="1118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A2577A"/>
    <w:multiLevelType w:val="hybridMultilevel"/>
    <w:tmpl w:val="5E56A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565C0D"/>
    <w:multiLevelType w:val="hybridMultilevel"/>
    <w:tmpl w:val="9FAAD73C"/>
    <w:lvl w:ilvl="0" w:tplc="C08E87F6">
      <w:start w:val="1"/>
      <w:numFmt w:val="decimal"/>
      <w:lvlText w:val="%1."/>
      <w:lvlJc w:val="left"/>
      <w:pPr>
        <w:ind w:left="360" w:hanging="360"/>
      </w:pPr>
      <w:rPr>
        <w:rFonts w:asciiTheme="minorHAnsi" w:hAnsiTheme="minorHAnsi" w:cstheme="minorHAnsi" w:hint="default"/>
      </w:rPr>
    </w:lvl>
    <w:lvl w:ilvl="1" w:tplc="0D10A28E">
      <w:start w:val="1"/>
      <w:numFmt w:val="lowerLetter"/>
      <w:lvlText w:val="%2."/>
      <w:lvlJc w:val="left"/>
      <w:pPr>
        <w:ind w:left="1080" w:hanging="360"/>
      </w:pPr>
    </w:lvl>
    <w:lvl w:ilvl="2" w:tplc="BA525AF8">
      <w:start w:val="1"/>
      <w:numFmt w:val="lowerRoman"/>
      <w:lvlText w:val="%3."/>
      <w:lvlJc w:val="right"/>
      <w:pPr>
        <w:ind w:left="1800" w:hanging="180"/>
      </w:pPr>
    </w:lvl>
    <w:lvl w:ilvl="3" w:tplc="311E91E2">
      <w:start w:val="1"/>
      <w:numFmt w:val="decimal"/>
      <w:lvlText w:val="%4."/>
      <w:lvlJc w:val="left"/>
      <w:pPr>
        <w:ind w:left="2520" w:hanging="360"/>
      </w:pPr>
    </w:lvl>
    <w:lvl w:ilvl="4" w:tplc="F260FA82">
      <w:start w:val="1"/>
      <w:numFmt w:val="lowerLetter"/>
      <w:lvlText w:val="%5."/>
      <w:lvlJc w:val="left"/>
      <w:pPr>
        <w:ind w:left="3240" w:hanging="360"/>
      </w:pPr>
    </w:lvl>
    <w:lvl w:ilvl="5" w:tplc="DA5818BE">
      <w:start w:val="1"/>
      <w:numFmt w:val="lowerRoman"/>
      <w:lvlText w:val="%6."/>
      <w:lvlJc w:val="right"/>
      <w:pPr>
        <w:ind w:left="3960" w:hanging="180"/>
      </w:pPr>
    </w:lvl>
    <w:lvl w:ilvl="6" w:tplc="A70269E8">
      <w:start w:val="1"/>
      <w:numFmt w:val="decimal"/>
      <w:lvlText w:val="%7."/>
      <w:lvlJc w:val="left"/>
      <w:pPr>
        <w:ind w:left="4680" w:hanging="360"/>
      </w:pPr>
    </w:lvl>
    <w:lvl w:ilvl="7" w:tplc="6FC08A60">
      <w:start w:val="1"/>
      <w:numFmt w:val="lowerLetter"/>
      <w:lvlText w:val="%8."/>
      <w:lvlJc w:val="left"/>
      <w:pPr>
        <w:ind w:left="5400" w:hanging="360"/>
      </w:pPr>
    </w:lvl>
    <w:lvl w:ilvl="8" w:tplc="04A0B550">
      <w:start w:val="1"/>
      <w:numFmt w:val="lowerRoman"/>
      <w:lvlText w:val="%9."/>
      <w:lvlJc w:val="right"/>
      <w:pPr>
        <w:ind w:left="6120" w:hanging="180"/>
      </w:pPr>
    </w:lvl>
  </w:abstractNum>
  <w:abstractNum w:abstractNumId="49" w15:restartNumberingAfterBreak="0">
    <w:nsid w:val="4A2C332C"/>
    <w:multiLevelType w:val="hybridMultilevel"/>
    <w:tmpl w:val="23FE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8145F1"/>
    <w:multiLevelType w:val="hybridMultilevel"/>
    <w:tmpl w:val="E41EE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A0624C"/>
    <w:multiLevelType w:val="hybridMultilevel"/>
    <w:tmpl w:val="BF92DE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FB64D5"/>
    <w:multiLevelType w:val="hybridMultilevel"/>
    <w:tmpl w:val="14A6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E74741"/>
    <w:multiLevelType w:val="hybridMultilevel"/>
    <w:tmpl w:val="86CE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12330E"/>
    <w:multiLevelType w:val="hybridMultilevel"/>
    <w:tmpl w:val="FFFFFFFF"/>
    <w:lvl w:ilvl="0" w:tplc="B3624DC0">
      <w:start w:val="1"/>
      <w:numFmt w:val="bullet"/>
      <w:lvlText w:val="·"/>
      <w:lvlJc w:val="left"/>
      <w:pPr>
        <w:ind w:left="720" w:hanging="360"/>
      </w:pPr>
      <w:rPr>
        <w:rFonts w:ascii="Symbol" w:hAnsi="Symbol" w:hint="default"/>
      </w:rPr>
    </w:lvl>
    <w:lvl w:ilvl="1" w:tplc="33B40D92">
      <w:start w:val="1"/>
      <w:numFmt w:val="bullet"/>
      <w:lvlText w:val="o"/>
      <w:lvlJc w:val="left"/>
      <w:pPr>
        <w:ind w:left="1440" w:hanging="360"/>
      </w:pPr>
      <w:rPr>
        <w:rFonts w:ascii="Courier New" w:hAnsi="Courier New" w:hint="default"/>
      </w:rPr>
    </w:lvl>
    <w:lvl w:ilvl="2" w:tplc="14EE2DE4">
      <w:start w:val="1"/>
      <w:numFmt w:val="bullet"/>
      <w:lvlText w:val=""/>
      <w:lvlJc w:val="left"/>
      <w:pPr>
        <w:ind w:left="2160" w:hanging="360"/>
      </w:pPr>
      <w:rPr>
        <w:rFonts w:ascii="Wingdings" w:hAnsi="Wingdings" w:hint="default"/>
      </w:rPr>
    </w:lvl>
    <w:lvl w:ilvl="3" w:tplc="EAF68282">
      <w:start w:val="1"/>
      <w:numFmt w:val="bullet"/>
      <w:lvlText w:val=""/>
      <w:lvlJc w:val="left"/>
      <w:pPr>
        <w:ind w:left="2880" w:hanging="360"/>
      </w:pPr>
      <w:rPr>
        <w:rFonts w:ascii="Symbol" w:hAnsi="Symbol" w:hint="default"/>
      </w:rPr>
    </w:lvl>
    <w:lvl w:ilvl="4" w:tplc="467EA064">
      <w:start w:val="1"/>
      <w:numFmt w:val="bullet"/>
      <w:lvlText w:val="o"/>
      <w:lvlJc w:val="left"/>
      <w:pPr>
        <w:ind w:left="3600" w:hanging="360"/>
      </w:pPr>
      <w:rPr>
        <w:rFonts w:ascii="Courier New" w:hAnsi="Courier New" w:hint="default"/>
      </w:rPr>
    </w:lvl>
    <w:lvl w:ilvl="5" w:tplc="BC1027DA">
      <w:start w:val="1"/>
      <w:numFmt w:val="bullet"/>
      <w:lvlText w:val=""/>
      <w:lvlJc w:val="left"/>
      <w:pPr>
        <w:ind w:left="4320" w:hanging="360"/>
      </w:pPr>
      <w:rPr>
        <w:rFonts w:ascii="Wingdings" w:hAnsi="Wingdings" w:hint="default"/>
      </w:rPr>
    </w:lvl>
    <w:lvl w:ilvl="6" w:tplc="45346B22">
      <w:start w:val="1"/>
      <w:numFmt w:val="bullet"/>
      <w:lvlText w:val=""/>
      <w:lvlJc w:val="left"/>
      <w:pPr>
        <w:ind w:left="5040" w:hanging="360"/>
      </w:pPr>
      <w:rPr>
        <w:rFonts w:ascii="Symbol" w:hAnsi="Symbol" w:hint="default"/>
      </w:rPr>
    </w:lvl>
    <w:lvl w:ilvl="7" w:tplc="76EC968C">
      <w:start w:val="1"/>
      <w:numFmt w:val="bullet"/>
      <w:lvlText w:val="o"/>
      <w:lvlJc w:val="left"/>
      <w:pPr>
        <w:ind w:left="5760" w:hanging="360"/>
      </w:pPr>
      <w:rPr>
        <w:rFonts w:ascii="Courier New" w:hAnsi="Courier New" w:hint="default"/>
      </w:rPr>
    </w:lvl>
    <w:lvl w:ilvl="8" w:tplc="EA904E72">
      <w:start w:val="1"/>
      <w:numFmt w:val="bullet"/>
      <w:lvlText w:val=""/>
      <w:lvlJc w:val="left"/>
      <w:pPr>
        <w:ind w:left="6480" w:hanging="360"/>
      </w:pPr>
      <w:rPr>
        <w:rFonts w:ascii="Wingdings" w:hAnsi="Wingdings" w:hint="default"/>
      </w:rPr>
    </w:lvl>
  </w:abstractNum>
  <w:abstractNum w:abstractNumId="55" w15:restartNumberingAfterBreak="0">
    <w:nsid w:val="54517ADD"/>
    <w:multiLevelType w:val="hybridMultilevel"/>
    <w:tmpl w:val="74FA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865CF1"/>
    <w:multiLevelType w:val="hybridMultilevel"/>
    <w:tmpl w:val="A392ADCC"/>
    <w:lvl w:ilvl="0" w:tplc="EA7A02AA">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6E1A3D"/>
    <w:multiLevelType w:val="hybridMultilevel"/>
    <w:tmpl w:val="FFFFFFFF"/>
    <w:lvl w:ilvl="0" w:tplc="A5CAB2F6">
      <w:start w:val="1"/>
      <w:numFmt w:val="bullet"/>
      <w:lvlText w:val=""/>
      <w:lvlJc w:val="left"/>
      <w:pPr>
        <w:ind w:left="720" w:hanging="360"/>
      </w:pPr>
      <w:rPr>
        <w:rFonts w:ascii="Symbol" w:hAnsi="Symbol" w:hint="default"/>
      </w:rPr>
    </w:lvl>
    <w:lvl w:ilvl="1" w:tplc="3BA6B12E">
      <w:start w:val="1"/>
      <w:numFmt w:val="bullet"/>
      <w:lvlText w:val="o"/>
      <w:lvlJc w:val="left"/>
      <w:pPr>
        <w:ind w:left="1440" w:hanging="360"/>
      </w:pPr>
      <w:rPr>
        <w:rFonts w:ascii="Courier New" w:hAnsi="Courier New" w:hint="default"/>
      </w:rPr>
    </w:lvl>
    <w:lvl w:ilvl="2" w:tplc="9DB83D38">
      <w:start w:val="1"/>
      <w:numFmt w:val="bullet"/>
      <w:lvlText w:val=""/>
      <w:lvlJc w:val="left"/>
      <w:pPr>
        <w:ind w:left="2160" w:hanging="360"/>
      </w:pPr>
      <w:rPr>
        <w:rFonts w:ascii="Wingdings" w:hAnsi="Wingdings" w:hint="default"/>
      </w:rPr>
    </w:lvl>
    <w:lvl w:ilvl="3" w:tplc="200A7384">
      <w:start w:val="1"/>
      <w:numFmt w:val="bullet"/>
      <w:lvlText w:val=""/>
      <w:lvlJc w:val="left"/>
      <w:pPr>
        <w:ind w:left="2880" w:hanging="360"/>
      </w:pPr>
      <w:rPr>
        <w:rFonts w:ascii="Symbol" w:hAnsi="Symbol" w:hint="default"/>
      </w:rPr>
    </w:lvl>
    <w:lvl w:ilvl="4" w:tplc="F0E2AE46">
      <w:start w:val="1"/>
      <w:numFmt w:val="bullet"/>
      <w:lvlText w:val="o"/>
      <w:lvlJc w:val="left"/>
      <w:pPr>
        <w:ind w:left="3600" w:hanging="360"/>
      </w:pPr>
      <w:rPr>
        <w:rFonts w:ascii="Courier New" w:hAnsi="Courier New" w:hint="default"/>
      </w:rPr>
    </w:lvl>
    <w:lvl w:ilvl="5" w:tplc="4ACE23EE">
      <w:start w:val="1"/>
      <w:numFmt w:val="bullet"/>
      <w:lvlText w:val=""/>
      <w:lvlJc w:val="left"/>
      <w:pPr>
        <w:ind w:left="4320" w:hanging="360"/>
      </w:pPr>
      <w:rPr>
        <w:rFonts w:ascii="Wingdings" w:hAnsi="Wingdings" w:hint="default"/>
      </w:rPr>
    </w:lvl>
    <w:lvl w:ilvl="6" w:tplc="CFCA1EF2">
      <w:start w:val="1"/>
      <w:numFmt w:val="bullet"/>
      <w:lvlText w:val=""/>
      <w:lvlJc w:val="left"/>
      <w:pPr>
        <w:ind w:left="5040" w:hanging="360"/>
      </w:pPr>
      <w:rPr>
        <w:rFonts w:ascii="Symbol" w:hAnsi="Symbol" w:hint="default"/>
      </w:rPr>
    </w:lvl>
    <w:lvl w:ilvl="7" w:tplc="7A744592">
      <w:start w:val="1"/>
      <w:numFmt w:val="bullet"/>
      <w:lvlText w:val="o"/>
      <w:lvlJc w:val="left"/>
      <w:pPr>
        <w:ind w:left="5760" w:hanging="360"/>
      </w:pPr>
      <w:rPr>
        <w:rFonts w:ascii="Courier New" w:hAnsi="Courier New" w:hint="default"/>
      </w:rPr>
    </w:lvl>
    <w:lvl w:ilvl="8" w:tplc="64C2E870">
      <w:start w:val="1"/>
      <w:numFmt w:val="bullet"/>
      <w:lvlText w:val=""/>
      <w:lvlJc w:val="left"/>
      <w:pPr>
        <w:ind w:left="6480" w:hanging="360"/>
      </w:pPr>
      <w:rPr>
        <w:rFonts w:ascii="Wingdings" w:hAnsi="Wingdings" w:hint="default"/>
      </w:rPr>
    </w:lvl>
  </w:abstractNum>
  <w:abstractNum w:abstractNumId="58" w15:restartNumberingAfterBreak="0">
    <w:nsid w:val="5A054789"/>
    <w:multiLevelType w:val="hybridMultilevel"/>
    <w:tmpl w:val="93EA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5C56D1"/>
    <w:multiLevelType w:val="hybridMultilevel"/>
    <w:tmpl w:val="BB6CA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FA7A0E"/>
    <w:multiLevelType w:val="hybridMultilevel"/>
    <w:tmpl w:val="7DFA67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F592560"/>
    <w:multiLevelType w:val="hybridMultilevel"/>
    <w:tmpl w:val="11F8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DC1FE1"/>
    <w:multiLevelType w:val="hybridMultilevel"/>
    <w:tmpl w:val="5A20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715AA0"/>
    <w:multiLevelType w:val="hybridMultilevel"/>
    <w:tmpl w:val="4D1E0594"/>
    <w:lvl w:ilvl="0" w:tplc="63808DF2">
      <w:start w:val="1"/>
      <w:numFmt w:val="upperLetter"/>
      <w:lvlText w:val="%1."/>
      <w:lvlJc w:val="left"/>
      <w:pPr>
        <w:ind w:left="360" w:hanging="360"/>
      </w:pPr>
      <w:rPr>
        <w:rFonts w:hint="default"/>
        <w:i w:val="0"/>
        <w:i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2C62129"/>
    <w:multiLevelType w:val="hybridMultilevel"/>
    <w:tmpl w:val="4A3A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A84257"/>
    <w:multiLevelType w:val="hybridMultilevel"/>
    <w:tmpl w:val="AD065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6323AF"/>
    <w:multiLevelType w:val="hybridMultilevel"/>
    <w:tmpl w:val="3E2A5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812936"/>
    <w:multiLevelType w:val="hybridMultilevel"/>
    <w:tmpl w:val="8D72D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A53A36"/>
    <w:multiLevelType w:val="hybridMultilevel"/>
    <w:tmpl w:val="EB20C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6BC10F98"/>
    <w:multiLevelType w:val="hybridMultilevel"/>
    <w:tmpl w:val="BC3021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0" w15:restartNumberingAfterBreak="0">
    <w:nsid w:val="6FE16AE2"/>
    <w:multiLevelType w:val="hybridMultilevel"/>
    <w:tmpl w:val="023624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0FE2217"/>
    <w:multiLevelType w:val="hybridMultilevel"/>
    <w:tmpl w:val="FCA2651A"/>
    <w:lvl w:ilvl="0" w:tplc="0409000D">
      <w:start w:val="1"/>
      <w:numFmt w:val="bullet"/>
      <w:lvlText w:val=""/>
      <w:lvlJc w:val="left"/>
      <w:pPr>
        <w:tabs>
          <w:tab w:val="num" w:pos="720"/>
        </w:tabs>
        <w:ind w:left="720" w:hanging="360"/>
      </w:pPr>
      <w:rPr>
        <w:rFonts w:ascii="Wingdings" w:hAnsi="Wingdings" w:hint="default"/>
        <w:sz w:val="20"/>
      </w:rPr>
    </w:lvl>
    <w:lvl w:ilvl="1" w:tplc="F56495BC" w:tentative="1">
      <w:start w:val="1"/>
      <w:numFmt w:val="bullet"/>
      <w:lvlText w:val=""/>
      <w:lvlJc w:val="left"/>
      <w:pPr>
        <w:tabs>
          <w:tab w:val="num" w:pos="1440"/>
        </w:tabs>
        <w:ind w:left="1440" w:hanging="360"/>
      </w:pPr>
      <w:rPr>
        <w:rFonts w:ascii="Symbol" w:hAnsi="Symbol" w:hint="default"/>
        <w:sz w:val="20"/>
      </w:rPr>
    </w:lvl>
    <w:lvl w:ilvl="2" w:tplc="D206B488" w:tentative="1">
      <w:start w:val="1"/>
      <w:numFmt w:val="bullet"/>
      <w:lvlText w:val=""/>
      <w:lvlJc w:val="left"/>
      <w:pPr>
        <w:tabs>
          <w:tab w:val="num" w:pos="2160"/>
        </w:tabs>
        <w:ind w:left="2160" w:hanging="360"/>
      </w:pPr>
      <w:rPr>
        <w:rFonts w:ascii="Symbol" w:hAnsi="Symbol" w:hint="default"/>
        <w:sz w:val="20"/>
      </w:rPr>
    </w:lvl>
    <w:lvl w:ilvl="3" w:tplc="434ACE7A" w:tentative="1">
      <w:start w:val="1"/>
      <w:numFmt w:val="bullet"/>
      <w:lvlText w:val=""/>
      <w:lvlJc w:val="left"/>
      <w:pPr>
        <w:tabs>
          <w:tab w:val="num" w:pos="2880"/>
        </w:tabs>
        <w:ind w:left="2880" w:hanging="360"/>
      </w:pPr>
      <w:rPr>
        <w:rFonts w:ascii="Symbol" w:hAnsi="Symbol" w:hint="default"/>
        <w:sz w:val="20"/>
      </w:rPr>
    </w:lvl>
    <w:lvl w:ilvl="4" w:tplc="C492AD10" w:tentative="1">
      <w:start w:val="1"/>
      <w:numFmt w:val="bullet"/>
      <w:lvlText w:val=""/>
      <w:lvlJc w:val="left"/>
      <w:pPr>
        <w:tabs>
          <w:tab w:val="num" w:pos="3600"/>
        </w:tabs>
        <w:ind w:left="3600" w:hanging="360"/>
      </w:pPr>
      <w:rPr>
        <w:rFonts w:ascii="Symbol" w:hAnsi="Symbol" w:hint="default"/>
        <w:sz w:val="20"/>
      </w:rPr>
    </w:lvl>
    <w:lvl w:ilvl="5" w:tplc="AE3CCF64" w:tentative="1">
      <w:start w:val="1"/>
      <w:numFmt w:val="bullet"/>
      <w:lvlText w:val=""/>
      <w:lvlJc w:val="left"/>
      <w:pPr>
        <w:tabs>
          <w:tab w:val="num" w:pos="4320"/>
        </w:tabs>
        <w:ind w:left="4320" w:hanging="360"/>
      </w:pPr>
      <w:rPr>
        <w:rFonts w:ascii="Symbol" w:hAnsi="Symbol" w:hint="default"/>
        <w:sz w:val="20"/>
      </w:rPr>
    </w:lvl>
    <w:lvl w:ilvl="6" w:tplc="D4D20500" w:tentative="1">
      <w:start w:val="1"/>
      <w:numFmt w:val="bullet"/>
      <w:lvlText w:val=""/>
      <w:lvlJc w:val="left"/>
      <w:pPr>
        <w:tabs>
          <w:tab w:val="num" w:pos="5040"/>
        </w:tabs>
        <w:ind w:left="5040" w:hanging="360"/>
      </w:pPr>
      <w:rPr>
        <w:rFonts w:ascii="Symbol" w:hAnsi="Symbol" w:hint="default"/>
        <w:sz w:val="20"/>
      </w:rPr>
    </w:lvl>
    <w:lvl w:ilvl="7" w:tplc="54D4E3FA" w:tentative="1">
      <w:start w:val="1"/>
      <w:numFmt w:val="bullet"/>
      <w:lvlText w:val=""/>
      <w:lvlJc w:val="left"/>
      <w:pPr>
        <w:tabs>
          <w:tab w:val="num" w:pos="5760"/>
        </w:tabs>
        <w:ind w:left="5760" w:hanging="360"/>
      </w:pPr>
      <w:rPr>
        <w:rFonts w:ascii="Symbol" w:hAnsi="Symbol" w:hint="default"/>
        <w:sz w:val="20"/>
      </w:rPr>
    </w:lvl>
    <w:lvl w:ilvl="8" w:tplc="A3C420DE"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1947AD0"/>
    <w:multiLevelType w:val="hybridMultilevel"/>
    <w:tmpl w:val="8D3E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13456B"/>
    <w:multiLevelType w:val="hybridMultilevel"/>
    <w:tmpl w:val="FA728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4D6140A"/>
    <w:multiLevelType w:val="hybridMultilevel"/>
    <w:tmpl w:val="EBB8AA54"/>
    <w:lvl w:ilvl="0" w:tplc="4BDC8592">
      <w:start w:val="1"/>
      <w:numFmt w:val="bullet"/>
      <w:lvlText w:val=""/>
      <w:lvlJc w:val="left"/>
      <w:pPr>
        <w:tabs>
          <w:tab w:val="num" w:pos="-5400"/>
        </w:tabs>
        <w:ind w:left="-5400" w:hanging="360"/>
      </w:pPr>
      <w:rPr>
        <w:rFonts w:ascii="Symbol" w:hAnsi="Symbol" w:hint="default"/>
        <w:sz w:val="20"/>
      </w:rPr>
    </w:lvl>
    <w:lvl w:ilvl="1" w:tplc="A5ECBFF6" w:tentative="1">
      <w:start w:val="1"/>
      <w:numFmt w:val="bullet"/>
      <w:lvlText w:val=""/>
      <w:lvlJc w:val="left"/>
      <w:pPr>
        <w:tabs>
          <w:tab w:val="num" w:pos="-4680"/>
        </w:tabs>
        <w:ind w:left="-4680" w:hanging="360"/>
      </w:pPr>
      <w:rPr>
        <w:rFonts w:ascii="Symbol" w:hAnsi="Symbol" w:hint="default"/>
        <w:sz w:val="20"/>
      </w:rPr>
    </w:lvl>
    <w:lvl w:ilvl="2" w:tplc="B894957A" w:tentative="1">
      <w:start w:val="1"/>
      <w:numFmt w:val="bullet"/>
      <w:lvlText w:val=""/>
      <w:lvlJc w:val="left"/>
      <w:pPr>
        <w:tabs>
          <w:tab w:val="num" w:pos="-3960"/>
        </w:tabs>
        <w:ind w:left="-3960" w:hanging="360"/>
      </w:pPr>
      <w:rPr>
        <w:rFonts w:ascii="Symbol" w:hAnsi="Symbol" w:hint="default"/>
        <w:sz w:val="20"/>
      </w:rPr>
    </w:lvl>
    <w:lvl w:ilvl="3" w:tplc="D702032E" w:tentative="1">
      <w:start w:val="1"/>
      <w:numFmt w:val="bullet"/>
      <w:lvlText w:val=""/>
      <w:lvlJc w:val="left"/>
      <w:pPr>
        <w:tabs>
          <w:tab w:val="num" w:pos="-3240"/>
        </w:tabs>
        <w:ind w:left="-3240" w:hanging="360"/>
      </w:pPr>
      <w:rPr>
        <w:rFonts w:ascii="Symbol" w:hAnsi="Symbol" w:hint="default"/>
        <w:sz w:val="20"/>
      </w:rPr>
    </w:lvl>
    <w:lvl w:ilvl="4" w:tplc="3B7ECE6E" w:tentative="1">
      <w:start w:val="1"/>
      <w:numFmt w:val="bullet"/>
      <w:lvlText w:val=""/>
      <w:lvlJc w:val="left"/>
      <w:pPr>
        <w:tabs>
          <w:tab w:val="num" w:pos="-2520"/>
        </w:tabs>
        <w:ind w:left="-2520" w:hanging="360"/>
      </w:pPr>
      <w:rPr>
        <w:rFonts w:ascii="Symbol" w:hAnsi="Symbol" w:hint="default"/>
        <w:sz w:val="20"/>
      </w:rPr>
    </w:lvl>
    <w:lvl w:ilvl="5" w:tplc="FABEE5C2" w:tentative="1">
      <w:start w:val="1"/>
      <w:numFmt w:val="bullet"/>
      <w:lvlText w:val=""/>
      <w:lvlJc w:val="left"/>
      <w:pPr>
        <w:tabs>
          <w:tab w:val="num" w:pos="-1800"/>
        </w:tabs>
        <w:ind w:left="-1800" w:hanging="360"/>
      </w:pPr>
      <w:rPr>
        <w:rFonts w:ascii="Symbol" w:hAnsi="Symbol" w:hint="default"/>
        <w:sz w:val="20"/>
      </w:rPr>
    </w:lvl>
    <w:lvl w:ilvl="6" w:tplc="EEACD6EE" w:tentative="1">
      <w:start w:val="1"/>
      <w:numFmt w:val="bullet"/>
      <w:lvlText w:val=""/>
      <w:lvlJc w:val="left"/>
      <w:pPr>
        <w:tabs>
          <w:tab w:val="num" w:pos="-1080"/>
        </w:tabs>
        <w:ind w:left="-1080" w:hanging="360"/>
      </w:pPr>
      <w:rPr>
        <w:rFonts w:ascii="Symbol" w:hAnsi="Symbol" w:hint="default"/>
        <w:sz w:val="20"/>
      </w:rPr>
    </w:lvl>
    <w:lvl w:ilvl="7" w:tplc="F5DC9F72" w:tentative="1">
      <w:start w:val="1"/>
      <w:numFmt w:val="bullet"/>
      <w:lvlText w:val=""/>
      <w:lvlJc w:val="left"/>
      <w:pPr>
        <w:tabs>
          <w:tab w:val="num" w:pos="-360"/>
        </w:tabs>
        <w:ind w:left="-360" w:hanging="360"/>
      </w:pPr>
      <w:rPr>
        <w:rFonts w:ascii="Symbol" w:hAnsi="Symbol" w:hint="default"/>
        <w:sz w:val="20"/>
      </w:rPr>
    </w:lvl>
    <w:lvl w:ilvl="8" w:tplc="4CD8618C" w:tentative="1">
      <w:start w:val="1"/>
      <w:numFmt w:val="bullet"/>
      <w:lvlText w:val=""/>
      <w:lvlJc w:val="left"/>
      <w:pPr>
        <w:tabs>
          <w:tab w:val="num" w:pos="360"/>
        </w:tabs>
        <w:ind w:left="360" w:hanging="360"/>
      </w:pPr>
      <w:rPr>
        <w:rFonts w:ascii="Symbol" w:hAnsi="Symbol" w:hint="default"/>
        <w:sz w:val="20"/>
      </w:rPr>
    </w:lvl>
  </w:abstractNum>
  <w:abstractNum w:abstractNumId="75" w15:restartNumberingAfterBreak="0">
    <w:nsid w:val="752603A5"/>
    <w:multiLevelType w:val="hybridMultilevel"/>
    <w:tmpl w:val="F0D6D19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7A07526"/>
    <w:multiLevelType w:val="hybridMultilevel"/>
    <w:tmpl w:val="2AF8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E5587E"/>
    <w:multiLevelType w:val="hybridMultilevel"/>
    <w:tmpl w:val="7AC42FEE"/>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C608B1"/>
    <w:multiLevelType w:val="hybridMultilevel"/>
    <w:tmpl w:val="35BC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FC3927"/>
    <w:multiLevelType w:val="hybridMultilevel"/>
    <w:tmpl w:val="4D38AB9E"/>
    <w:lvl w:ilvl="0" w:tplc="013CA0CC">
      <w:start w:val="1"/>
      <w:numFmt w:val="upperLetter"/>
      <w:lvlText w:val="%1."/>
      <w:lvlJc w:val="left"/>
      <w:pPr>
        <w:ind w:left="630" w:hanging="360"/>
      </w:pPr>
      <w:rPr>
        <w:rFonts w:eastAsiaTheme="majorEastAsia" w:cstheme="majorBidi" w:hint="default"/>
        <w:color w:val="00206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9F6128D"/>
    <w:multiLevelType w:val="hybridMultilevel"/>
    <w:tmpl w:val="CB86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F14919"/>
    <w:multiLevelType w:val="hybridMultilevel"/>
    <w:tmpl w:val="221E5E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47149E"/>
    <w:multiLevelType w:val="hybridMultilevel"/>
    <w:tmpl w:val="F97A7C4C"/>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CE18E44C">
      <w:start w:val="1"/>
      <w:numFmt w:val="bullet"/>
      <w:lvlText w:val=""/>
      <w:lvlJc w:val="left"/>
      <w:pPr>
        <w:ind w:left="2160" w:hanging="360"/>
      </w:pPr>
      <w:rPr>
        <w:rFonts w:ascii="Wingdings" w:hAnsi="Wingdings" w:hint="default"/>
      </w:rPr>
    </w:lvl>
    <w:lvl w:ilvl="3" w:tplc="BC243E5E">
      <w:start w:val="1"/>
      <w:numFmt w:val="bullet"/>
      <w:lvlText w:val=""/>
      <w:lvlJc w:val="left"/>
      <w:pPr>
        <w:ind w:left="2880" w:hanging="360"/>
      </w:pPr>
      <w:rPr>
        <w:rFonts w:ascii="Symbol" w:hAnsi="Symbol" w:hint="default"/>
      </w:rPr>
    </w:lvl>
    <w:lvl w:ilvl="4" w:tplc="1FBE0638">
      <w:start w:val="1"/>
      <w:numFmt w:val="bullet"/>
      <w:lvlText w:val="o"/>
      <w:lvlJc w:val="left"/>
      <w:pPr>
        <w:ind w:left="3600" w:hanging="360"/>
      </w:pPr>
      <w:rPr>
        <w:rFonts w:ascii="Courier New" w:hAnsi="Courier New" w:hint="default"/>
      </w:rPr>
    </w:lvl>
    <w:lvl w:ilvl="5" w:tplc="D30C1220">
      <w:start w:val="1"/>
      <w:numFmt w:val="bullet"/>
      <w:lvlText w:val=""/>
      <w:lvlJc w:val="left"/>
      <w:pPr>
        <w:ind w:left="4320" w:hanging="360"/>
      </w:pPr>
      <w:rPr>
        <w:rFonts w:ascii="Wingdings" w:hAnsi="Wingdings" w:hint="default"/>
      </w:rPr>
    </w:lvl>
    <w:lvl w:ilvl="6" w:tplc="D5325998">
      <w:start w:val="1"/>
      <w:numFmt w:val="bullet"/>
      <w:lvlText w:val=""/>
      <w:lvlJc w:val="left"/>
      <w:pPr>
        <w:ind w:left="5040" w:hanging="360"/>
      </w:pPr>
      <w:rPr>
        <w:rFonts w:ascii="Symbol" w:hAnsi="Symbol" w:hint="default"/>
      </w:rPr>
    </w:lvl>
    <w:lvl w:ilvl="7" w:tplc="A4141D44">
      <w:start w:val="1"/>
      <w:numFmt w:val="bullet"/>
      <w:lvlText w:val="o"/>
      <w:lvlJc w:val="left"/>
      <w:pPr>
        <w:ind w:left="5760" w:hanging="360"/>
      </w:pPr>
      <w:rPr>
        <w:rFonts w:ascii="Courier New" w:hAnsi="Courier New" w:hint="default"/>
      </w:rPr>
    </w:lvl>
    <w:lvl w:ilvl="8" w:tplc="FDF41F6C">
      <w:start w:val="1"/>
      <w:numFmt w:val="bullet"/>
      <w:lvlText w:val=""/>
      <w:lvlJc w:val="left"/>
      <w:pPr>
        <w:ind w:left="6480" w:hanging="360"/>
      </w:pPr>
      <w:rPr>
        <w:rFonts w:ascii="Wingdings" w:hAnsi="Wingdings" w:hint="default"/>
      </w:rPr>
    </w:lvl>
  </w:abstractNum>
  <w:abstractNum w:abstractNumId="83" w15:restartNumberingAfterBreak="0">
    <w:nsid w:val="7D876877"/>
    <w:multiLevelType w:val="hybridMultilevel"/>
    <w:tmpl w:val="6720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57"/>
  </w:num>
  <w:num w:numId="3">
    <w:abstractNumId w:val="40"/>
  </w:num>
  <w:num w:numId="4">
    <w:abstractNumId w:val="52"/>
  </w:num>
  <w:num w:numId="5">
    <w:abstractNumId w:val="82"/>
  </w:num>
  <w:num w:numId="6">
    <w:abstractNumId w:val="77"/>
  </w:num>
  <w:num w:numId="7">
    <w:abstractNumId w:val="5"/>
  </w:num>
  <w:num w:numId="8">
    <w:abstractNumId w:val="19"/>
  </w:num>
  <w:num w:numId="9">
    <w:abstractNumId w:val="16"/>
  </w:num>
  <w:num w:numId="1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3"/>
  </w:num>
  <w:num w:numId="13">
    <w:abstractNumId w:val="23"/>
  </w:num>
  <w:num w:numId="14">
    <w:abstractNumId w:val="66"/>
  </w:num>
  <w:num w:numId="15">
    <w:abstractNumId w:val="2"/>
  </w:num>
  <w:num w:numId="16">
    <w:abstractNumId w:val="71"/>
  </w:num>
  <w:num w:numId="17">
    <w:abstractNumId w:val="32"/>
  </w:num>
  <w:num w:numId="18">
    <w:abstractNumId w:val="54"/>
  </w:num>
  <w:num w:numId="19">
    <w:abstractNumId w:val="41"/>
  </w:num>
  <w:num w:numId="20">
    <w:abstractNumId w:val="74"/>
  </w:num>
  <w:num w:numId="21">
    <w:abstractNumId w:val="49"/>
  </w:num>
  <w:num w:numId="22">
    <w:abstractNumId w:val="64"/>
  </w:num>
  <w:num w:numId="23">
    <w:abstractNumId w:val="37"/>
  </w:num>
  <w:num w:numId="24">
    <w:abstractNumId w:val="36"/>
  </w:num>
  <w:num w:numId="25">
    <w:abstractNumId w:val="55"/>
  </w:num>
  <w:num w:numId="26">
    <w:abstractNumId w:val="79"/>
  </w:num>
  <w:num w:numId="27">
    <w:abstractNumId w:val="80"/>
  </w:num>
  <w:num w:numId="28">
    <w:abstractNumId w:val="28"/>
  </w:num>
  <w:num w:numId="29">
    <w:abstractNumId w:val="31"/>
  </w:num>
  <w:num w:numId="30">
    <w:abstractNumId w:val="53"/>
  </w:num>
  <w:num w:numId="31">
    <w:abstractNumId w:val="10"/>
  </w:num>
  <w:num w:numId="32">
    <w:abstractNumId w:val="25"/>
  </w:num>
  <w:num w:numId="33">
    <w:abstractNumId w:val="61"/>
  </w:num>
  <w:num w:numId="34">
    <w:abstractNumId w:val="42"/>
  </w:num>
  <w:num w:numId="35">
    <w:abstractNumId w:val="22"/>
  </w:num>
  <w:num w:numId="36">
    <w:abstractNumId w:val="15"/>
  </w:num>
  <w:num w:numId="37">
    <w:abstractNumId w:val="35"/>
  </w:num>
  <w:num w:numId="38">
    <w:abstractNumId w:val="58"/>
  </w:num>
  <w:num w:numId="39">
    <w:abstractNumId w:val="39"/>
  </w:num>
  <w:num w:numId="40">
    <w:abstractNumId w:val="81"/>
  </w:num>
  <w:num w:numId="41">
    <w:abstractNumId w:val="20"/>
  </w:num>
  <w:num w:numId="42">
    <w:abstractNumId w:val="9"/>
  </w:num>
  <w:num w:numId="43">
    <w:abstractNumId w:val="78"/>
  </w:num>
  <w:num w:numId="44">
    <w:abstractNumId w:val="38"/>
  </w:num>
  <w:num w:numId="45">
    <w:abstractNumId w:val="76"/>
  </w:num>
  <w:num w:numId="46">
    <w:abstractNumId w:val="33"/>
  </w:num>
  <w:num w:numId="47">
    <w:abstractNumId w:val="83"/>
  </w:num>
  <w:num w:numId="48">
    <w:abstractNumId w:val="30"/>
  </w:num>
  <w:num w:numId="49">
    <w:abstractNumId w:val="44"/>
  </w:num>
  <w:num w:numId="50">
    <w:abstractNumId w:val="0"/>
  </w:num>
  <w:num w:numId="51">
    <w:abstractNumId w:val="62"/>
  </w:num>
  <w:num w:numId="52">
    <w:abstractNumId w:val="7"/>
  </w:num>
  <w:num w:numId="53">
    <w:abstractNumId w:val="50"/>
  </w:num>
  <w:num w:numId="54">
    <w:abstractNumId w:val="65"/>
  </w:num>
  <w:num w:numId="55">
    <w:abstractNumId w:val="45"/>
  </w:num>
  <w:num w:numId="56">
    <w:abstractNumId w:val="63"/>
  </w:num>
  <w:num w:numId="57">
    <w:abstractNumId w:val="11"/>
  </w:num>
  <w:num w:numId="58">
    <w:abstractNumId w:val="18"/>
  </w:num>
  <w:num w:numId="59">
    <w:abstractNumId w:val="26"/>
  </w:num>
  <w:num w:numId="60">
    <w:abstractNumId w:val="21"/>
  </w:num>
  <w:num w:numId="61">
    <w:abstractNumId w:val="46"/>
  </w:num>
  <w:num w:numId="62">
    <w:abstractNumId w:val="72"/>
  </w:num>
  <w:num w:numId="63">
    <w:abstractNumId w:val="70"/>
  </w:num>
  <w:num w:numId="64">
    <w:abstractNumId w:val="1"/>
  </w:num>
  <w:num w:numId="65">
    <w:abstractNumId w:val="69"/>
  </w:num>
  <w:num w:numId="66">
    <w:abstractNumId w:val="59"/>
  </w:num>
  <w:num w:numId="67">
    <w:abstractNumId w:val="6"/>
  </w:num>
  <w:num w:numId="68">
    <w:abstractNumId w:val="48"/>
  </w:num>
  <w:num w:numId="69">
    <w:abstractNumId w:val="56"/>
  </w:num>
  <w:num w:numId="70">
    <w:abstractNumId w:val="43"/>
  </w:num>
  <w:num w:numId="71">
    <w:abstractNumId w:val="13"/>
  </w:num>
  <w:num w:numId="72">
    <w:abstractNumId w:val="73"/>
  </w:num>
  <w:num w:numId="73">
    <w:abstractNumId w:val="8"/>
  </w:num>
  <w:num w:numId="74">
    <w:abstractNumId w:val="14"/>
  </w:num>
  <w:num w:numId="75">
    <w:abstractNumId w:val="4"/>
  </w:num>
  <w:num w:numId="76">
    <w:abstractNumId w:val="51"/>
  </w:num>
  <w:num w:numId="77">
    <w:abstractNumId w:val="47"/>
  </w:num>
  <w:num w:numId="78">
    <w:abstractNumId w:val="12"/>
  </w:num>
  <w:num w:numId="79">
    <w:abstractNumId w:val="29"/>
  </w:num>
  <w:num w:numId="80">
    <w:abstractNumId w:val="75"/>
  </w:num>
  <w:num w:numId="81">
    <w:abstractNumId w:val="17"/>
  </w:num>
  <w:num w:numId="82">
    <w:abstractNumId w:val="60"/>
  </w:num>
  <w:num w:numId="83">
    <w:abstractNumId w:val="67"/>
  </w:num>
  <w:num w:numId="84">
    <w:abstractNumId w:val="2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Q0NzawMDAwMzO0MDZQ0lEKTi0uzszPAykwNasFAKIZB4ctAAAA"/>
  </w:docVars>
  <w:rsids>
    <w:rsidRoot w:val="00F74321"/>
    <w:rsid w:val="00000062"/>
    <w:rsid w:val="000002B1"/>
    <w:rsid w:val="000004C4"/>
    <w:rsid w:val="000004EE"/>
    <w:rsid w:val="000004FF"/>
    <w:rsid w:val="00000535"/>
    <w:rsid w:val="0000061A"/>
    <w:rsid w:val="00000970"/>
    <w:rsid w:val="000009ED"/>
    <w:rsid w:val="00000A11"/>
    <w:rsid w:val="00000A4A"/>
    <w:rsid w:val="00000BAF"/>
    <w:rsid w:val="00000C7F"/>
    <w:rsid w:val="00000C8D"/>
    <w:rsid w:val="00000E08"/>
    <w:rsid w:val="00000E4F"/>
    <w:rsid w:val="00000E74"/>
    <w:rsid w:val="00000EB5"/>
    <w:rsid w:val="00000F68"/>
    <w:rsid w:val="00000FD3"/>
    <w:rsid w:val="00000FE9"/>
    <w:rsid w:val="00001029"/>
    <w:rsid w:val="00001094"/>
    <w:rsid w:val="000010DE"/>
    <w:rsid w:val="000012B2"/>
    <w:rsid w:val="000012C7"/>
    <w:rsid w:val="00001364"/>
    <w:rsid w:val="000013A5"/>
    <w:rsid w:val="000014D4"/>
    <w:rsid w:val="00001517"/>
    <w:rsid w:val="00001591"/>
    <w:rsid w:val="00001606"/>
    <w:rsid w:val="00001743"/>
    <w:rsid w:val="000017AC"/>
    <w:rsid w:val="000017E9"/>
    <w:rsid w:val="0000183D"/>
    <w:rsid w:val="00001848"/>
    <w:rsid w:val="00001959"/>
    <w:rsid w:val="000019A2"/>
    <w:rsid w:val="00001AC6"/>
    <w:rsid w:val="00001AFE"/>
    <w:rsid w:val="00001B65"/>
    <w:rsid w:val="00001C6C"/>
    <w:rsid w:val="00001EDF"/>
    <w:rsid w:val="00001FC7"/>
    <w:rsid w:val="000020E6"/>
    <w:rsid w:val="00002164"/>
    <w:rsid w:val="000022D0"/>
    <w:rsid w:val="00002313"/>
    <w:rsid w:val="00002455"/>
    <w:rsid w:val="0000245C"/>
    <w:rsid w:val="000024A2"/>
    <w:rsid w:val="00002543"/>
    <w:rsid w:val="0000257C"/>
    <w:rsid w:val="00002704"/>
    <w:rsid w:val="0000271B"/>
    <w:rsid w:val="000027DE"/>
    <w:rsid w:val="000028C0"/>
    <w:rsid w:val="00002915"/>
    <w:rsid w:val="00002D16"/>
    <w:rsid w:val="00002DCE"/>
    <w:rsid w:val="00002F26"/>
    <w:rsid w:val="0000300E"/>
    <w:rsid w:val="000031F1"/>
    <w:rsid w:val="00003216"/>
    <w:rsid w:val="00003280"/>
    <w:rsid w:val="00003325"/>
    <w:rsid w:val="000033D1"/>
    <w:rsid w:val="000033DE"/>
    <w:rsid w:val="0000340E"/>
    <w:rsid w:val="0000345F"/>
    <w:rsid w:val="000036ED"/>
    <w:rsid w:val="000036EE"/>
    <w:rsid w:val="0000380D"/>
    <w:rsid w:val="0000381D"/>
    <w:rsid w:val="000038EC"/>
    <w:rsid w:val="00003980"/>
    <w:rsid w:val="00003996"/>
    <w:rsid w:val="00003A5A"/>
    <w:rsid w:val="00003A9C"/>
    <w:rsid w:val="00003B96"/>
    <w:rsid w:val="00003CB0"/>
    <w:rsid w:val="00003D8F"/>
    <w:rsid w:val="00003D95"/>
    <w:rsid w:val="00003DA6"/>
    <w:rsid w:val="00003F74"/>
    <w:rsid w:val="00003FD6"/>
    <w:rsid w:val="000040EE"/>
    <w:rsid w:val="000040F6"/>
    <w:rsid w:val="00004121"/>
    <w:rsid w:val="00004168"/>
    <w:rsid w:val="00004186"/>
    <w:rsid w:val="00004327"/>
    <w:rsid w:val="00004466"/>
    <w:rsid w:val="000044B0"/>
    <w:rsid w:val="00004678"/>
    <w:rsid w:val="0000482C"/>
    <w:rsid w:val="00004835"/>
    <w:rsid w:val="00004844"/>
    <w:rsid w:val="000048EC"/>
    <w:rsid w:val="00004A0A"/>
    <w:rsid w:val="00004A3A"/>
    <w:rsid w:val="00004B67"/>
    <w:rsid w:val="00004D27"/>
    <w:rsid w:val="00004D52"/>
    <w:rsid w:val="00004DA7"/>
    <w:rsid w:val="00004DFB"/>
    <w:rsid w:val="00004E89"/>
    <w:rsid w:val="000050A8"/>
    <w:rsid w:val="000050AC"/>
    <w:rsid w:val="000050D6"/>
    <w:rsid w:val="00005200"/>
    <w:rsid w:val="000052BB"/>
    <w:rsid w:val="000052E2"/>
    <w:rsid w:val="0000538C"/>
    <w:rsid w:val="0000547B"/>
    <w:rsid w:val="000055F9"/>
    <w:rsid w:val="00005697"/>
    <w:rsid w:val="00005743"/>
    <w:rsid w:val="00005771"/>
    <w:rsid w:val="0000577F"/>
    <w:rsid w:val="0000580E"/>
    <w:rsid w:val="000058B9"/>
    <w:rsid w:val="00005A6B"/>
    <w:rsid w:val="00005A83"/>
    <w:rsid w:val="00005A8F"/>
    <w:rsid w:val="00005C9E"/>
    <w:rsid w:val="00005D0A"/>
    <w:rsid w:val="00005D1C"/>
    <w:rsid w:val="00005D3E"/>
    <w:rsid w:val="00005E79"/>
    <w:rsid w:val="000060AB"/>
    <w:rsid w:val="00006111"/>
    <w:rsid w:val="0000624F"/>
    <w:rsid w:val="0000626C"/>
    <w:rsid w:val="0000631F"/>
    <w:rsid w:val="0000650C"/>
    <w:rsid w:val="0000650D"/>
    <w:rsid w:val="00006587"/>
    <w:rsid w:val="00006698"/>
    <w:rsid w:val="000066DB"/>
    <w:rsid w:val="000066E6"/>
    <w:rsid w:val="00006883"/>
    <w:rsid w:val="000068E9"/>
    <w:rsid w:val="000068EE"/>
    <w:rsid w:val="00006900"/>
    <w:rsid w:val="000069A7"/>
    <w:rsid w:val="00006C38"/>
    <w:rsid w:val="00006D45"/>
    <w:rsid w:val="00006E02"/>
    <w:rsid w:val="00006EF7"/>
    <w:rsid w:val="00006FD8"/>
    <w:rsid w:val="000071EC"/>
    <w:rsid w:val="00007360"/>
    <w:rsid w:val="000073BA"/>
    <w:rsid w:val="0000753C"/>
    <w:rsid w:val="00007573"/>
    <w:rsid w:val="000076A2"/>
    <w:rsid w:val="000076F9"/>
    <w:rsid w:val="0000770D"/>
    <w:rsid w:val="00007822"/>
    <w:rsid w:val="0000784B"/>
    <w:rsid w:val="000078CB"/>
    <w:rsid w:val="0000797C"/>
    <w:rsid w:val="00007A55"/>
    <w:rsid w:val="00007C64"/>
    <w:rsid w:val="00007C66"/>
    <w:rsid w:val="00007D24"/>
    <w:rsid w:val="00007E32"/>
    <w:rsid w:val="00007E9D"/>
    <w:rsid w:val="00007F44"/>
    <w:rsid w:val="0001003C"/>
    <w:rsid w:val="000100C1"/>
    <w:rsid w:val="000103E6"/>
    <w:rsid w:val="000103F1"/>
    <w:rsid w:val="00010441"/>
    <w:rsid w:val="000105BA"/>
    <w:rsid w:val="000105CC"/>
    <w:rsid w:val="000106AB"/>
    <w:rsid w:val="000106DE"/>
    <w:rsid w:val="000106E0"/>
    <w:rsid w:val="00010711"/>
    <w:rsid w:val="00010735"/>
    <w:rsid w:val="000107A8"/>
    <w:rsid w:val="0001089C"/>
    <w:rsid w:val="000108A0"/>
    <w:rsid w:val="0001093D"/>
    <w:rsid w:val="00010A46"/>
    <w:rsid w:val="00010C9E"/>
    <w:rsid w:val="00010D61"/>
    <w:rsid w:val="00010DB6"/>
    <w:rsid w:val="00010E20"/>
    <w:rsid w:val="00010E61"/>
    <w:rsid w:val="00010EA3"/>
    <w:rsid w:val="00010F2D"/>
    <w:rsid w:val="000112CA"/>
    <w:rsid w:val="000112E0"/>
    <w:rsid w:val="00011386"/>
    <w:rsid w:val="000113B6"/>
    <w:rsid w:val="000114ED"/>
    <w:rsid w:val="00011952"/>
    <w:rsid w:val="0001196D"/>
    <w:rsid w:val="000119E2"/>
    <w:rsid w:val="00011A7C"/>
    <w:rsid w:val="00011A99"/>
    <w:rsid w:val="00011AA9"/>
    <w:rsid w:val="00011AF3"/>
    <w:rsid w:val="00011BDC"/>
    <w:rsid w:val="00011C1D"/>
    <w:rsid w:val="00011CE0"/>
    <w:rsid w:val="00011D0E"/>
    <w:rsid w:val="00011EA7"/>
    <w:rsid w:val="00011F2F"/>
    <w:rsid w:val="00011F71"/>
    <w:rsid w:val="0001205F"/>
    <w:rsid w:val="00012067"/>
    <w:rsid w:val="000120B6"/>
    <w:rsid w:val="0001221A"/>
    <w:rsid w:val="000125CD"/>
    <w:rsid w:val="00012624"/>
    <w:rsid w:val="000126B5"/>
    <w:rsid w:val="0001270D"/>
    <w:rsid w:val="00012727"/>
    <w:rsid w:val="00012806"/>
    <w:rsid w:val="00012A15"/>
    <w:rsid w:val="00012AE1"/>
    <w:rsid w:val="00012C75"/>
    <w:rsid w:val="00012CA2"/>
    <w:rsid w:val="00012CB5"/>
    <w:rsid w:val="00012CED"/>
    <w:rsid w:val="00012D8D"/>
    <w:rsid w:val="00012F8E"/>
    <w:rsid w:val="00012FFF"/>
    <w:rsid w:val="00013007"/>
    <w:rsid w:val="00013119"/>
    <w:rsid w:val="0001330E"/>
    <w:rsid w:val="00013807"/>
    <w:rsid w:val="00013855"/>
    <w:rsid w:val="00013A19"/>
    <w:rsid w:val="00013B56"/>
    <w:rsid w:val="00013B63"/>
    <w:rsid w:val="00013C5D"/>
    <w:rsid w:val="00013D07"/>
    <w:rsid w:val="00013D7D"/>
    <w:rsid w:val="00013DE0"/>
    <w:rsid w:val="00013E85"/>
    <w:rsid w:val="00013F6E"/>
    <w:rsid w:val="00014360"/>
    <w:rsid w:val="00014378"/>
    <w:rsid w:val="000143BD"/>
    <w:rsid w:val="000144D4"/>
    <w:rsid w:val="00014854"/>
    <w:rsid w:val="0001492A"/>
    <w:rsid w:val="00014AAB"/>
    <w:rsid w:val="00014DF6"/>
    <w:rsid w:val="00014E04"/>
    <w:rsid w:val="00014E07"/>
    <w:rsid w:val="00014E6D"/>
    <w:rsid w:val="00014ECC"/>
    <w:rsid w:val="00014EF4"/>
    <w:rsid w:val="00014F37"/>
    <w:rsid w:val="00015113"/>
    <w:rsid w:val="000151E6"/>
    <w:rsid w:val="00015326"/>
    <w:rsid w:val="00015368"/>
    <w:rsid w:val="000153A9"/>
    <w:rsid w:val="000153AD"/>
    <w:rsid w:val="00015526"/>
    <w:rsid w:val="00015595"/>
    <w:rsid w:val="000155BD"/>
    <w:rsid w:val="00015A3F"/>
    <w:rsid w:val="00015A9B"/>
    <w:rsid w:val="00015AD8"/>
    <w:rsid w:val="00015DA8"/>
    <w:rsid w:val="00015EC3"/>
    <w:rsid w:val="00015EEE"/>
    <w:rsid w:val="00015F65"/>
    <w:rsid w:val="00016028"/>
    <w:rsid w:val="0001602F"/>
    <w:rsid w:val="00016048"/>
    <w:rsid w:val="0001615F"/>
    <w:rsid w:val="000161C4"/>
    <w:rsid w:val="000163B4"/>
    <w:rsid w:val="0001655D"/>
    <w:rsid w:val="00016892"/>
    <w:rsid w:val="00016BE8"/>
    <w:rsid w:val="00016CB5"/>
    <w:rsid w:val="00016D03"/>
    <w:rsid w:val="00016FAB"/>
    <w:rsid w:val="0001704C"/>
    <w:rsid w:val="00017101"/>
    <w:rsid w:val="000171C9"/>
    <w:rsid w:val="00017575"/>
    <w:rsid w:val="00017722"/>
    <w:rsid w:val="0001778F"/>
    <w:rsid w:val="000177FA"/>
    <w:rsid w:val="0001799E"/>
    <w:rsid w:val="00017AE1"/>
    <w:rsid w:val="00017BB7"/>
    <w:rsid w:val="00017C43"/>
    <w:rsid w:val="00017D00"/>
    <w:rsid w:val="00017D02"/>
    <w:rsid w:val="00020155"/>
    <w:rsid w:val="0002045C"/>
    <w:rsid w:val="000204A7"/>
    <w:rsid w:val="00020581"/>
    <w:rsid w:val="00020618"/>
    <w:rsid w:val="00020990"/>
    <w:rsid w:val="000209AB"/>
    <w:rsid w:val="00020A25"/>
    <w:rsid w:val="00020A41"/>
    <w:rsid w:val="00020ADC"/>
    <w:rsid w:val="00020B4D"/>
    <w:rsid w:val="00020E49"/>
    <w:rsid w:val="00020F28"/>
    <w:rsid w:val="0002101D"/>
    <w:rsid w:val="0002148F"/>
    <w:rsid w:val="0002154C"/>
    <w:rsid w:val="00021626"/>
    <w:rsid w:val="0002163B"/>
    <w:rsid w:val="00021651"/>
    <w:rsid w:val="000219A6"/>
    <w:rsid w:val="000219B1"/>
    <w:rsid w:val="00021ACE"/>
    <w:rsid w:val="00021B37"/>
    <w:rsid w:val="00021B64"/>
    <w:rsid w:val="00021C81"/>
    <w:rsid w:val="00021E76"/>
    <w:rsid w:val="00022077"/>
    <w:rsid w:val="00022078"/>
    <w:rsid w:val="000222A3"/>
    <w:rsid w:val="0002237E"/>
    <w:rsid w:val="00022399"/>
    <w:rsid w:val="0002257B"/>
    <w:rsid w:val="0002261C"/>
    <w:rsid w:val="00022903"/>
    <w:rsid w:val="000229C6"/>
    <w:rsid w:val="00022A61"/>
    <w:rsid w:val="00022B3C"/>
    <w:rsid w:val="00022E27"/>
    <w:rsid w:val="00022E45"/>
    <w:rsid w:val="00022F15"/>
    <w:rsid w:val="00022FCE"/>
    <w:rsid w:val="00023069"/>
    <w:rsid w:val="000230D7"/>
    <w:rsid w:val="000232E7"/>
    <w:rsid w:val="000233BD"/>
    <w:rsid w:val="000233CD"/>
    <w:rsid w:val="00023470"/>
    <w:rsid w:val="000236DB"/>
    <w:rsid w:val="000236E1"/>
    <w:rsid w:val="000236EB"/>
    <w:rsid w:val="00023844"/>
    <w:rsid w:val="00023917"/>
    <w:rsid w:val="00023A1A"/>
    <w:rsid w:val="00023B2A"/>
    <w:rsid w:val="00023CAE"/>
    <w:rsid w:val="00023D20"/>
    <w:rsid w:val="00023DB4"/>
    <w:rsid w:val="00023E27"/>
    <w:rsid w:val="00023E3F"/>
    <w:rsid w:val="00023E95"/>
    <w:rsid w:val="000240C0"/>
    <w:rsid w:val="000240C2"/>
    <w:rsid w:val="00024114"/>
    <w:rsid w:val="0002428E"/>
    <w:rsid w:val="000242D1"/>
    <w:rsid w:val="000243F7"/>
    <w:rsid w:val="00024594"/>
    <w:rsid w:val="00024597"/>
    <w:rsid w:val="00024666"/>
    <w:rsid w:val="000246B2"/>
    <w:rsid w:val="000246F7"/>
    <w:rsid w:val="00024725"/>
    <w:rsid w:val="00024820"/>
    <w:rsid w:val="0002483E"/>
    <w:rsid w:val="00024937"/>
    <w:rsid w:val="000249D3"/>
    <w:rsid w:val="00024ACD"/>
    <w:rsid w:val="00024B98"/>
    <w:rsid w:val="00024BE5"/>
    <w:rsid w:val="00024CE1"/>
    <w:rsid w:val="00024DEF"/>
    <w:rsid w:val="00024EB4"/>
    <w:rsid w:val="00024EE4"/>
    <w:rsid w:val="00024F66"/>
    <w:rsid w:val="00025030"/>
    <w:rsid w:val="0002507E"/>
    <w:rsid w:val="000252A8"/>
    <w:rsid w:val="0002543C"/>
    <w:rsid w:val="0002543E"/>
    <w:rsid w:val="0002548F"/>
    <w:rsid w:val="00025540"/>
    <w:rsid w:val="00025762"/>
    <w:rsid w:val="00025780"/>
    <w:rsid w:val="0002578E"/>
    <w:rsid w:val="00025925"/>
    <w:rsid w:val="000259EC"/>
    <w:rsid w:val="00025C72"/>
    <w:rsid w:val="00025CAE"/>
    <w:rsid w:val="00025D86"/>
    <w:rsid w:val="00025EDD"/>
    <w:rsid w:val="000260A3"/>
    <w:rsid w:val="000260A8"/>
    <w:rsid w:val="00026178"/>
    <w:rsid w:val="00026598"/>
    <w:rsid w:val="00026690"/>
    <w:rsid w:val="0002675F"/>
    <w:rsid w:val="000267E7"/>
    <w:rsid w:val="0002687A"/>
    <w:rsid w:val="000268D3"/>
    <w:rsid w:val="00026ACA"/>
    <w:rsid w:val="00026B73"/>
    <w:rsid w:val="00026C98"/>
    <w:rsid w:val="00026CF4"/>
    <w:rsid w:val="00026E2C"/>
    <w:rsid w:val="00026EB2"/>
    <w:rsid w:val="00026FC7"/>
    <w:rsid w:val="00027163"/>
    <w:rsid w:val="00027194"/>
    <w:rsid w:val="000272CA"/>
    <w:rsid w:val="00027336"/>
    <w:rsid w:val="00027578"/>
    <w:rsid w:val="00027607"/>
    <w:rsid w:val="0002760F"/>
    <w:rsid w:val="00027724"/>
    <w:rsid w:val="000278B3"/>
    <w:rsid w:val="000279EB"/>
    <w:rsid w:val="00027AF8"/>
    <w:rsid w:val="00027B54"/>
    <w:rsid w:val="00027BA5"/>
    <w:rsid w:val="00027C23"/>
    <w:rsid w:val="00027C45"/>
    <w:rsid w:val="00027C79"/>
    <w:rsid w:val="00027D9C"/>
    <w:rsid w:val="00027DB0"/>
    <w:rsid w:val="00027E41"/>
    <w:rsid w:val="00027E5B"/>
    <w:rsid w:val="000300AA"/>
    <w:rsid w:val="00030154"/>
    <w:rsid w:val="000301A2"/>
    <w:rsid w:val="000301CC"/>
    <w:rsid w:val="000303E6"/>
    <w:rsid w:val="00030471"/>
    <w:rsid w:val="00030497"/>
    <w:rsid w:val="000304B5"/>
    <w:rsid w:val="00030523"/>
    <w:rsid w:val="00030825"/>
    <w:rsid w:val="000309BA"/>
    <w:rsid w:val="00030AA9"/>
    <w:rsid w:val="00030AC7"/>
    <w:rsid w:val="00030C0E"/>
    <w:rsid w:val="00030C4B"/>
    <w:rsid w:val="00030CA2"/>
    <w:rsid w:val="00030CB6"/>
    <w:rsid w:val="00030D35"/>
    <w:rsid w:val="00030EAB"/>
    <w:rsid w:val="00030ED3"/>
    <w:rsid w:val="00030F60"/>
    <w:rsid w:val="00030F69"/>
    <w:rsid w:val="0003111A"/>
    <w:rsid w:val="0003139B"/>
    <w:rsid w:val="000313EF"/>
    <w:rsid w:val="00031520"/>
    <w:rsid w:val="0003152A"/>
    <w:rsid w:val="00031583"/>
    <w:rsid w:val="00031598"/>
    <w:rsid w:val="00031625"/>
    <w:rsid w:val="00031652"/>
    <w:rsid w:val="00031669"/>
    <w:rsid w:val="000316AE"/>
    <w:rsid w:val="000316FE"/>
    <w:rsid w:val="000317C9"/>
    <w:rsid w:val="00031872"/>
    <w:rsid w:val="000318A2"/>
    <w:rsid w:val="000319E1"/>
    <w:rsid w:val="00031A55"/>
    <w:rsid w:val="00031A72"/>
    <w:rsid w:val="00031B3E"/>
    <w:rsid w:val="00031B61"/>
    <w:rsid w:val="00031D07"/>
    <w:rsid w:val="00031D51"/>
    <w:rsid w:val="00031D8F"/>
    <w:rsid w:val="00031E03"/>
    <w:rsid w:val="00031EB6"/>
    <w:rsid w:val="00031FFC"/>
    <w:rsid w:val="00032020"/>
    <w:rsid w:val="000321BD"/>
    <w:rsid w:val="000321C3"/>
    <w:rsid w:val="000321F2"/>
    <w:rsid w:val="0003238F"/>
    <w:rsid w:val="00032434"/>
    <w:rsid w:val="00032480"/>
    <w:rsid w:val="000324D2"/>
    <w:rsid w:val="00032547"/>
    <w:rsid w:val="0003268E"/>
    <w:rsid w:val="0003294C"/>
    <w:rsid w:val="0003297C"/>
    <w:rsid w:val="00032B45"/>
    <w:rsid w:val="00032C17"/>
    <w:rsid w:val="00032C98"/>
    <w:rsid w:val="00032CDF"/>
    <w:rsid w:val="00032E44"/>
    <w:rsid w:val="00032F46"/>
    <w:rsid w:val="00032FEB"/>
    <w:rsid w:val="00033557"/>
    <w:rsid w:val="0003368D"/>
    <w:rsid w:val="0003368F"/>
    <w:rsid w:val="0003394F"/>
    <w:rsid w:val="0003398B"/>
    <w:rsid w:val="00033A37"/>
    <w:rsid w:val="00033AA4"/>
    <w:rsid w:val="00033C89"/>
    <w:rsid w:val="00033D23"/>
    <w:rsid w:val="00033D74"/>
    <w:rsid w:val="00033DB6"/>
    <w:rsid w:val="00033E8E"/>
    <w:rsid w:val="000341C3"/>
    <w:rsid w:val="000341CC"/>
    <w:rsid w:val="00034332"/>
    <w:rsid w:val="00034347"/>
    <w:rsid w:val="000343D3"/>
    <w:rsid w:val="0003445C"/>
    <w:rsid w:val="000346C2"/>
    <w:rsid w:val="0003474A"/>
    <w:rsid w:val="000347B4"/>
    <w:rsid w:val="000349E5"/>
    <w:rsid w:val="00034C5E"/>
    <w:rsid w:val="00034CC8"/>
    <w:rsid w:val="00034E5A"/>
    <w:rsid w:val="00034EA8"/>
    <w:rsid w:val="00034FB6"/>
    <w:rsid w:val="00035065"/>
    <w:rsid w:val="00035272"/>
    <w:rsid w:val="0003528F"/>
    <w:rsid w:val="000353DE"/>
    <w:rsid w:val="00035416"/>
    <w:rsid w:val="000355CB"/>
    <w:rsid w:val="000355FA"/>
    <w:rsid w:val="0003592A"/>
    <w:rsid w:val="0003592F"/>
    <w:rsid w:val="00035AA9"/>
    <w:rsid w:val="00035CBA"/>
    <w:rsid w:val="00035DC4"/>
    <w:rsid w:val="000361CD"/>
    <w:rsid w:val="00036259"/>
    <w:rsid w:val="00036275"/>
    <w:rsid w:val="0003642A"/>
    <w:rsid w:val="0003648B"/>
    <w:rsid w:val="00036518"/>
    <w:rsid w:val="0003656A"/>
    <w:rsid w:val="000365D0"/>
    <w:rsid w:val="00036778"/>
    <w:rsid w:val="000367CE"/>
    <w:rsid w:val="000367F2"/>
    <w:rsid w:val="0003682F"/>
    <w:rsid w:val="0003688C"/>
    <w:rsid w:val="000369BC"/>
    <w:rsid w:val="00036A7C"/>
    <w:rsid w:val="00036AB4"/>
    <w:rsid w:val="00036CE4"/>
    <w:rsid w:val="00037142"/>
    <w:rsid w:val="000371B5"/>
    <w:rsid w:val="00037224"/>
    <w:rsid w:val="000372FC"/>
    <w:rsid w:val="000373C5"/>
    <w:rsid w:val="0003742C"/>
    <w:rsid w:val="0003743C"/>
    <w:rsid w:val="00037515"/>
    <w:rsid w:val="00037591"/>
    <w:rsid w:val="00037604"/>
    <w:rsid w:val="00037779"/>
    <w:rsid w:val="0003794C"/>
    <w:rsid w:val="00037A04"/>
    <w:rsid w:val="00037D0F"/>
    <w:rsid w:val="00037E3D"/>
    <w:rsid w:val="00037E87"/>
    <w:rsid w:val="00037FC9"/>
    <w:rsid w:val="0003E958"/>
    <w:rsid w:val="00040025"/>
    <w:rsid w:val="0004006C"/>
    <w:rsid w:val="0004008D"/>
    <w:rsid w:val="0004009B"/>
    <w:rsid w:val="00040107"/>
    <w:rsid w:val="00040175"/>
    <w:rsid w:val="0004026A"/>
    <w:rsid w:val="000403AB"/>
    <w:rsid w:val="0004059B"/>
    <w:rsid w:val="00040737"/>
    <w:rsid w:val="000407C2"/>
    <w:rsid w:val="00040924"/>
    <w:rsid w:val="00040977"/>
    <w:rsid w:val="00040BB5"/>
    <w:rsid w:val="00040C3E"/>
    <w:rsid w:val="00040C96"/>
    <w:rsid w:val="00040DB3"/>
    <w:rsid w:val="00040EAA"/>
    <w:rsid w:val="00040F84"/>
    <w:rsid w:val="000411E3"/>
    <w:rsid w:val="000412A1"/>
    <w:rsid w:val="00041312"/>
    <w:rsid w:val="0004136B"/>
    <w:rsid w:val="000413DC"/>
    <w:rsid w:val="0004141B"/>
    <w:rsid w:val="000417C0"/>
    <w:rsid w:val="000417CC"/>
    <w:rsid w:val="00041801"/>
    <w:rsid w:val="00041876"/>
    <w:rsid w:val="000419B5"/>
    <w:rsid w:val="00041B3E"/>
    <w:rsid w:val="00041BD7"/>
    <w:rsid w:val="00041BE1"/>
    <w:rsid w:val="00041C45"/>
    <w:rsid w:val="00041CBC"/>
    <w:rsid w:val="00041D1E"/>
    <w:rsid w:val="00041DDC"/>
    <w:rsid w:val="00041E3B"/>
    <w:rsid w:val="00041F42"/>
    <w:rsid w:val="000420DF"/>
    <w:rsid w:val="00042361"/>
    <w:rsid w:val="00042379"/>
    <w:rsid w:val="000423E5"/>
    <w:rsid w:val="0004249F"/>
    <w:rsid w:val="0004268B"/>
    <w:rsid w:val="00042814"/>
    <w:rsid w:val="00042849"/>
    <w:rsid w:val="00042961"/>
    <w:rsid w:val="00042C1D"/>
    <w:rsid w:val="00042CBD"/>
    <w:rsid w:val="00042E69"/>
    <w:rsid w:val="00042F84"/>
    <w:rsid w:val="000430AC"/>
    <w:rsid w:val="000430E1"/>
    <w:rsid w:val="0004316B"/>
    <w:rsid w:val="000431C6"/>
    <w:rsid w:val="000431CE"/>
    <w:rsid w:val="00043594"/>
    <w:rsid w:val="0004359F"/>
    <w:rsid w:val="00043626"/>
    <w:rsid w:val="00043775"/>
    <w:rsid w:val="0004377F"/>
    <w:rsid w:val="0004391B"/>
    <w:rsid w:val="000439A3"/>
    <w:rsid w:val="000439A5"/>
    <w:rsid w:val="00043BD0"/>
    <w:rsid w:val="00043C6E"/>
    <w:rsid w:val="00043E78"/>
    <w:rsid w:val="00043EAD"/>
    <w:rsid w:val="00043EE7"/>
    <w:rsid w:val="00044004"/>
    <w:rsid w:val="00044016"/>
    <w:rsid w:val="000440B1"/>
    <w:rsid w:val="00044311"/>
    <w:rsid w:val="00044466"/>
    <w:rsid w:val="00044467"/>
    <w:rsid w:val="0004455D"/>
    <w:rsid w:val="0004463D"/>
    <w:rsid w:val="00044651"/>
    <w:rsid w:val="00044715"/>
    <w:rsid w:val="0004480C"/>
    <w:rsid w:val="000448D9"/>
    <w:rsid w:val="00044912"/>
    <w:rsid w:val="0004491D"/>
    <w:rsid w:val="000449C3"/>
    <w:rsid w:val="00044A29"/>
    <w:rsid w:val="00044B62"/>
    <w:rsid w:val="00044B8B"/>
    <w:rsid w:val="00044BAB"/>
    <w:rsid w:val="00044C3F"/>
    <w:rsid w:val="00044FB0"/>
    <w:rsid w:val="000450CC"/>
    <w:rsid w:val="000450F7"/>
    <w:rsid w:val="0004518A"/>
    <w:rsid w:val="000451ED"/>
    <w:rsid w:val="000452DA"/>
    <w:rsid w:val="00045479"/>
    <w:rsid w:val="00045638"/>
    <w:rsid w:val="0004572D"/>
    <w:rsid w:val="00045780"/>
    <w:rsid w:val="000458E2"/>
    <w:rsid w:val="00045986"/>
    <w:rsid w:val="00045990"/>
    <w:rsid w:val="000459B2"/>
    <w:rsid w:val="00045A33"/>
    <w:rsid w:val="00045B8C"/>
    <w:rsid w:val="00045CA2"/>
    <w:rsid w:val="00045D24"/>
    <w:rsid w:val="00045D42"/>
    <w:rsid w:val="00045D87"/>
    <w:rsid w:val="00045D93"/>
    <w:rsid w:val="00045D99"/>
    <w:rsid w:val="00045DB0"/>
    <w:rsid w:val="00045E5D"/>
    <w:rsid w:val="00046022"/>
    <w:rsid w:val="0004604F"/>
    <w:rsid w:val="00046054"/>
    <w:rsid w:val="00046122"/>
    <w:rsid w:val="00046176"/>
    <w:rsid w:val="000461C0"/>
    <w:rsid w:val="0004625F"/>
    <w:rsid w:val="000462C8"/>
    <w:rsid w:val="000462E8"/>
    <w:rsid w:val="000463EE"/>
    <w:rsid w:val="0004643A"/>
    <w:rsid w:val="00046451"/>
    <w:rsid w:val="00046491"/>
    <w:rsid w:val="000464C9"/>
    <w:rsid w:val="000465D1"/>
    <w:rsid w:val="000466C5"/>
    <w:rsid w:val="000469F4"/>
    <w:rsid w:val="00046A79"/>
    <w:rsid w:val="00046A92"/>
    <w:rsid w:val="00046ACC"/>
    <w:rsid w:val="00046AE2"/>
    <w:rsid w:val="00046B54"/>
    <w:rsid w:val="00046B6E"/>
    <w:rsid w:val="00046B77"/>
    <w:rsid w:val="00046BD1"/>
    <w:rsid w:val="00046D76"/>
    <w:rsid w:val="00046E32"/>
    <w:rsid w:val="00046F76"/>
    <w:rsid w:val="00046FFE"/>
    <w:rsid w:val="00047146"/>
    <w:rsid w:val="0004714C"/>
    <w:rsid w:val="00047158"/>
    <w:rsid w:val="000471B3"/>
    <w:rsid w:val="00047345"/>
    <w:rsid w:val="000473B8"/>
    <w:rsid w:val="00047439"/>
    <w:rsid w:val="00047451"/>
    <w:rsid w:val="0004762B"/>
    <w:rsid w:val="000477BC"/>
    <w:rsid w:val="000477DE"/>
    <w:rsid w:val="000478DF"/>
    <w:rsid w:val="000479D6"/>
    <w:rsid w:val="00047A53"/>
    <w:rsid w:val="00047B56"/>
    <w:rsid w:val="00047B8A"/>
    <w:rsid w:val="00047BE1"/>
    <w:rsid w:val="00047C95"/>
    <w:rsid w:val="00047CCC"/>
    <w:rsid w:val="00047D03"/>
    <w:rsid w:val="00047D3A"/>
    <w:rsid w:val="00047D58"/>
    <w:rsid w:val="00047DE8"/>
    <w:rsid w:val="00047DEE"/>
    <w:rsid w:val="000501A5"/>
    <w:rsid w:val="000501BF"/>
    <w:rsid w:val="000502E0"/>
    <w:rsid w:val="000502FD"/>
    <w:rsid w:val="00050461"/>
    <w:rsid w:val="000504C9"/>
    <w:rsid w:val="000505EA"/>
    <w:rsid w:val="000506A8"/>
    <w:rsid w:val="00050AA7"/>
    <w:rsid w:val="00050AD1"/>
    <w:rsid w:val="00050ADF"/>
    <w:rsid w:val="00050B97"/>
    <w:rsid w:val="00050BB1"/>
    <w:rsid w:val="00050D38"/>
    <w:rsid w:val="00050E35"/>
    <w:rsid w:val="00050F5B"/>
    <w:rsid w:val="00051051"/>
    <w:rsid w:val="000512E7"/>
    <w:rsid w:val="00051622"/>
    <w:rsid w:val="000516F7"/>
    <w:rsid w:val="00051766"/>
    <w:rsid w:val="000517EC"/>
    <w:rsid w:val="00051803"/>
    <w:rsid w:val="00051937"/>
    <w:rsid w:val="00051AE4"/>
    <w:rsid w:val="00051B4A"/>
    <w:rsid w:val="00051D27"/>
    <w:rsid w:val="00051D71"/>
    <w:rsid w:val="00051D91"/>
    <w:rsid w:val="00051E81"/>
    <w:rsid w:val="00051EB4"/>
    <w:rsid w:val="00051FF5"/>
    <w:rsid w:val="00052027"/>
    <w:rsid w:val="0005214C"/>
    <w:rsid w:val="0005226F"/>
    <w:rsid w:val="0005229D"/>
    <w:rsid w:val="00052373"/>
    <w:rsid w:val="000523BA"/>
    <w:rsid w:val="000523E7"/>
    <w:rsid w:val="000525B6"/>
    <w:rsid w:val="0005276C"/>
    <w:rsid w:val="00052861"/>
    <w:rsid w:val="00052B60"/>
    <w:rsid w:val="00052E7C"/>
    <w:rsid w:val="00052E8A"/>
    <w:rsid w:val="00052EC1"/>
    <w:rsid w:val="00052FF7"/>
    <w:rsid w:val="00053015"/>
    <w:rsid w:val="000530D6"/>
    <w:rsid w:val="00053186"/>
    <w:rsid w:val="00053297"/>
    <w:rsid w:val="000533B6"/>
    <w:rsid w:val="00053470"/>
    <w:rsid w:val="00053502"/>
    <w:rsid w:val="000535E7"/>
    <w:rsid w:val="00053623"/>
    <w:rsid w:val="00053682"/>
    <w:rsid w:val="00053703"/>
    <w:rsid w:val="000537AD"/>
    <w:rsid w:val="00053831"/>
    <w:rsid w:val="00053862"/>
    <w:rsid w:val="00053944"/>
    <w:rsid w:val="000539BC"/>
    <w:rsid w:val="00053A3F"/>
    <w:rsid w:val="00053BA1"/>
    <w:rsid w:val="00053C00"/>
    <w:rsid w:val="00053D90"/>
    <w:rsid w:val="00053E02"/>
    <w:rsid w:val="00053EB0"/>
    <w:rsid w:val="00053EC0"/>
    <w:rsid w:val="00053F0A"/>
    <w:rsid w:val="00053F8B"/>
    <w:rsid w:val="00054004"/>
    <w:rsid w:val="00054024"/>
    <w:rsid w:val="0005402C"/>
    <w:rsid w:val="000542D8"/>
    <w:rsid w:val="000544FA"/>
    <w:rsid w:val="00054502"/>
    <w:rsid w:val="00054663"/>
    <w:rsid w:val="0005467E"/>
    <w:rsid w:val="00054712"/>
    <w:rsid w:val="00054B3F"/>
    <w:rsid w:val="00054B6D"/>
    <w:rsid w:val="00054CA0"/>
    <w:rsid w:val="00054D58"/>
    <w:rsid w:val="00054DC3"/>
    <w:rsid w:val="000550AC"/>
    <w:rsid w:val="000551B0"/>
    <w:rsid w:val="0005522E"/>
    <w:rsid w:val="00055288"/>
    <w:rsid w:val="000552B8"/>
    <w:rsid w:val="00055300"/>
    <w:rsid w:val="00055341"/>
    <w:rsid w:val="00055497"/>
    <w:rsid w:val="00055507"/>
    <w:rsid w:val="0005554A"/>
    <w:rsid w:val="000555D4"/>
    <w:rsid w:val="000557AA"/>
    <w:rsid w:val="000558C7"/>
    <w:rsid w:val="0005595C"/>
    <w:rsid w:val="000559AF"/>
    <w:rsid w:val="00055B95"/>
    <w:rsid w:val="00055C29"/>
    <w:rsid w:val="00055DC3"/>
    <w:rsid w:val="00055E67"/>
    <w:rsid w:val="00055F01"/>
    <w:rsid w:val="00055F5B"/>
    <w:rsid w:val="00055FEF"/>
    <w:rsid w:val="000561BD"/>
    <w:rsid w:val="000561D9"/>
    <w:rsid w:val="000562E3"/>
    <w:rsid w:val="0005663B"/>
    <w:rsid w:val="000566A2"/>
    <w:rsid w:val="000566A3"/>
    <w:rsid w:val="000566B2"/>
    <w:rsid w:val="00056881"/>
    <w:rsid w:val="00056A25"/>
    <w:rsid w:val="00056A3F"/>
    <w:rsid w:val="00056BC3"/>
    <w:rsid w:val="00056BC6"/>
    <w:rsid w:val="00056BEA"/>
    <w:rsid w:val="00056CD6"/>
    <w:rsid w:val="00056D57"/>
    <w:rsid w:val="00056DD5"/>
    <w:rsid w:val="00056E43"/>
    <w:rsid w:val="00056FC6"/>
    <w:rsid w:val="00056FDF"/>
    <w:rsid w:val="000570FD"/>
    <w:rsid w:val="0005725B"/>
    <w:rsid w:val="00057300"/>
    <w:rsid w:val="00057486"/>
    <w:rsid w:val="0005762C"/>
    <w:rsid w:val="00057A7E"/>
    <w:rsid w:val="00057B5C"/>
    <w:rsid w:val="00057CF2"/>
    <w:rsid w:val="00057D3E"/>
    <w:rsid w:val="00057EC7"/>
    <w:rsid w:val="00057F42"/>
    <w:rsid w:val="00057F80"/>
    <w:rsid w:val="00060005"/>
    <w:rsid w:val="00060095"/>
    <w:rsid w:val="0006014E"/>
    <w:rsid w:val="000601A9"/>
    <w:rsid w:val="000601D7"/>
    <w:rsid w:val="000602C8"/>
    <w:rsid w:val="000602F8"/>
    <w:rsid w:val="000604F5"/>
    <w:rsid w:val="00060588"/>
    <w:rsid w:val="000606FB"/>
    <w:rsid w:val="00060784"/>
    <w:rsid w:val="00060786"/>
    <w:rsid w:val="000607C8"/>
    <w:rsid w:val="00060973"/>
    <w:rsid w:val="0006099F"/>
    <w:rsid w:val="00060A57"/>
    <w:rsid w:val="00060C01"/>
    <w:rsid w:val="00060C9C"/>
    <w:rsid w:val="00060D8C"/>
    <w:rsid w:val="00060EC9"/>
    <w:rsid w:val="00060F23"/>
    <w:rsid w:val="0006118C"/>
    <w:rsid w:val="000612C9"/>
    <w:rsid w:val="000613EB"/>
    <w:rsid w:val="0006159C"/>
    <w:rsid w:val="00061608"/>
    <w:rsid w:val="00061644"/>
    <w:rsid w:val="000616AA"/>
    <w:rsid w:val="0006174F"/>
    <w:rsid w:val="00061A41"/>
    <w:rsid w:val="00061A4E"/>
    <w:rsid w:val="00061C91"/>
    <w:rsid w:val="00061CFE"/>
    <w:rsid w:val="00061D93"/>
    <w:rsid w:val="00061DDA"/>
    <w:rsid w:val="00061F01"/>
    <w:rsid w:val="00061F0A"/>
    <w:rsid w:val="000620B6"/>
    <w:rsid w:val="000620C2"/>
    <w:rsid w:val="000620F4"/>
    <w:rsid w:val="00062467"/>
    <w:rsid w:val="0006248C"/>
    <w:rsid w:val="0006261B"/>
    <w:rsid w:val="00062765"/>
    <w:rsid w:val="0006282A"/>
    <w:rsid w:val="000629D6"/>
    <w:rsid w:val="000629EE"/>
    <w:rsid w:val="00062B39"/>
    <w:rsid w:val="00062B7A"/>
    <w:rsid w:val="00062B9E"/>
    <w:rsid w:val="00062BE7"/>
    <w:rsid w:val="00062CED"/>
    <w:rsid w:val="00062CF6"/>
    <w:rsid w:val="00062D5D"/>
    <w:rsid w:val="00062E23"/>
    <w:rsid w:val="00062F33"/>
    <w:rsid w:val="00062FF4"/>
    <w:rsid w:val="00063039"/>
    <w:rsid w:val="00063452"/>
    <w:rsid w:val="00063460"/>
    <w:rsid w:val="000634F0"/>
    <w:rsid w:val="00063528"/>
    <w:rsid w:val="000635E3"/>
    <w:rsid w:val="00063637"/>
    <w:rsid w:val="000636FA"/>
    <w:rsid w:val="00063846"/>
    <w:rsid w:val="00063919"/>
    <w:rsid w:val="00063967"/>
    <w:rsid w:val="00063B43"/>
    <w:rsid w:val="00063BD1"/>
    <w:rsid w:val="00063C42"/>
    <w:rsid w:val="00063CBC"/>
    <w:rsid w:val="00063E85"/>
    <w:rsid w:val="00063F71"/>
    <w:rsid w:val="000642CB"/>
    <w:rsid w:val="000643DB"/>
    <w:rsid w:val="00064477"/>
    <w:rsid w:val="00064487"/>
    <w:rsid w:val="00064528"/>
    <w:rsid w:val="00064545"/>
    <w:rsid w:val="0006455B"/>
    <w:rsid w:val="00064607"/>
    <w:rsid w:val="0006464E"/>
    <w:rsid w:val="000646ED"/>
    <w:rsid w:val="00064779"/>
    <w:rsid w:val="00064807"/>
    <w:rsid w:val="00064878"/>
    <w:rsid w:val="00064934"/>
    <w:rsid w:val="000649B1"/>
    <w:rsid w:val="00064A38"/>
    <w:rsid w:val="00064B6D"/>
    <w:rsid w:val="00064BBC"/>
    <w:rsid w:val="00064BEB"/>
    <w:rsid w:val="00064D81"/>
    <w:rsid w:val="00064DDF"/>
    <w:rsid w:val="00064EBA"/>
    <w:rsid w:val="00064EEA"/>
    <w:rsid w:val="00064F4D"/>
    <w:rsid w:val="000650B3"/>
    <w:rsid w:val="000650D4"/>
    <w:rsid w:val="0006510B"/>
    <w:rsid w:val="00065487"/>
    <w:rsid w:val="000654E1"/>
    <w:rsid w:val="000655E1"/>
    <w:rsid w:val="0006567E"/>
    <w:rsid w:val="0006572E"/>
    <w:rsid w:val="00065896"/>
    <w:rsid w:val="0006592E"/>
    <w:rsid w:val="00065A6A"/>
    <w:rsid w:val="00065A86"/>
    <w:rsid w:val="00065B91"/>
    <w:rsid w:val="00065C27"/>
    <w:rsid w:val="00065C3A"/>
    <w:rsid w:val="00065C69"/>
    <w:rsid w:val="00065CB3"/>
    <w:rsid w:val="00065E5F"/>
    <w:rsid w:val="00065F25"/>
    <w:rsid w:val="00065F36"/>
    <w:rsid w:val="00065F50"/>
    <w:rsid w:val="00066032"/>
    <w:rsid w:val="000660A3"/>
    <w:rsid w:val="00066105"/>
    <w:rsid w:val="00066143"/>
    <w:rsid w:val="000664EB"/>
    <w:rsid w:val="000664FD"/>
    <w:rsid w:val="00066694"/>
    <w:rsid w:val="00066A0F"/>
    <w:rsid w:val="00066A68"/>
    <w:rsid w:val="00066A72"/>
    <w:rsid w:val="00066D63"/>
    <w:rsid w:val="00066E28"/>
    <w:rsid w:val="00066EA0"/>
    <w:rsid w:val="00066EE6"/>
    <w:rsid w:val="00066FA3"/>
    <w:rsid w:val="0006703E"/>
    <w:rsid w:val="0006709A"/>
    <w:rsid w:val="000670A8"/>
    <w:rsid w:val="000670AB"/>
    <w:rsid w:val="000670DB"/>
    <w:rsid w:val="000671C1"/>
    <w:rsid w:val="000671E0"/>
    <w:rsid w:val="00067228"/>
    <w:rsid w:val="000672B2"/>
    <w:rsid w:val="000674B8"/>
    <w:rsid w:val="000674DD"/>
    <w:rsid w:val="000674F0"/>
    <w:rsid w:val="000675BB"/>
    <w:rsid w:val="000675D3"/>
    <w:rsid w:val="000677A2"/>
    <w:rsid w:val="00067832"/>
    <w:rsid w:val="0006795B"/>
    <w:rsid w:val="000679A6"/>
    <w:rsid w:val="00067A28"/>
    <w:rsid w:val="00067B0F"/>
    <w:rsid w:val="00067D6C"/>
    <w:rsid w:val="00067DAC"/>
    <w:rsid w:val="00067F6B"/>
    <w:rsid w:val="0007003C"/>
    <w:rsid w:val="00070120"/>
    <w:rsid w:val="00070659"/>
    <w:rsid w:val="000707E1"/>
    <w:rsid w:val="000707E8"/>
    <w:rsid w:val="000707FE"/>
    <w:rsid w:val="00070882"/>
    <w:rsid w:val="0007096E"/>
    <w:rsid w:val="00070A4D"/>
    <w:rsid w:val="00070A6E"/>
    <w:rsid w:val="00070C48"/>
    <w:rsid w:val="00070C57"/>
    <w:rsid w:val="00070D35"/>
    <w:rsid w:val="00070D45"/>
    <w:rsid w:val="00070E0C"/>
    <w:rsid w:val="00070E5A"/>
    <w:rsid w:val="00070F76"/>
    <w:rsid w:val="00070F8B"/>
    <w:rsid w:val="00071074"/>
    <w:rsid w:val="00071181"/>
    <w:rsid w:val="000711F4"/>
    <w:rsid w:val="000713DB"/>
    <w:rsid w:val="0007142B"/>
    <w:rsid w:val="0007145D"/>
    <w:rsid w:val="000717BD"/>
    <w:rsid w:val="000717E4"/>
    <w:rsid w:val="000718B4"/>
    <w:rsid w:val="00071A6A"/>
    <w:rsid w:val="00071AB9"/>
    <w:rsid w:val="00071B46"/>
    <w:rsid w:val="00071B8B"/>
    <w:rsid w:val="00071D2C"/>
    <w:rsid w:val="00071DA1"/>
    <w:rsid w:val="00071FC1"/>
    <w:rsid w:val="00072234"/>
    <w:rsid w:val="00072295"/>
    <w:rsid w:val="00072392"/>
    <w:rsid w:val="000723B6"/>
    <w:rsid w:val="000723E1"/>
    <w:rsid w:val="0007277B"/>
    <w:rsid w:val="000727AB"/>
    <w:rsid w:val="000727BA"/>
    <w:rsid w:val="0007285F"/>
    <w:rsid w:val="00072949"/>
    <w:rsid w:val="000729C4"/>
    <w:rsid w:val="000729E0"/>
    <w:rsid w:val="00072A2D"/>
    <w:rsid w:val="00072AE9"/>
    <w:rsid w:val="00072C0F"/>
    <w:rsid w:val="00072D00"/>
    <w:rsid w:val="00072D4D"/>
    <w:rsid w:val="00072E0E"/>
    <w:rsid w:val="00072E31"/>
    <w:rsid w:val="00072E9C"/>
    <w:rsid w:val="00072F4A"/>
    <w:rsid w:val="00073150"/>
    <w:rsid w:val="00073169"/>
    <w:rsid w:val="00073364"/>
    <w:rsid w:val="00073383"/>
    <w:rsid w:val="000734BD"/>
    <w:rsid w:val="000736B2"/>
    <w:rsid w:val="000737C7"/>
    <w:rsid w:val="0007380D"/>
    <w:rsid w:val="000738AA"/>
    <w:rsid w:val="00073916"/>
    <w:rsid w:val="00073989"/>
    <w:rsid w:val="00073B25"/>
    <w:rsid w:val="00073C03"/>
    <w:rsid w:val="00073C4D"/>
    <w:rsid w:val="00073CA1"/>
    <w:rsid w:val="00073CFB"/>
    <w:rsid w:val="00073E0F"/>
    <w:rsid w:val="00073EF4"/>
    <w:rsid w:val="00074070"/>
    <w:rsid w:val="000741B5"/>
    <w:rsid w:val="000744E7"/>
    <w:rsid w:val="00074595"/>
    <w:rsid w:val="000745D2"/>
    <w:rsid w:val="000745FA"/>
    <w:rsid w:val="00074654"/>
    <w:rsid w:val="00074685"/>
    <w:rsid w:val="00074801"/>
    <w:rsid w:val="000748C3"/>
    <w:rsid w:val="00074AA0"/>
    <w:rsid w:val="00074AAD"/>
    <w:rsid w:val="00074CC1"/>
    <w:rsid w:val="00074CE0"/>
    <w:rsid w:val="00074DF6"/>
    <w:rsid w:val="00075264"/>
    <w:rsid w:val="000752CD"/>
    <w:rsid w:val="000753B7"/>
    <w:rsid w:val="000753D5"/>
    <w:rsid w:val="000753E6"/>
    <w:rsid w:val="000754CA"/>
    <w:rsid w:val="000754FE"/>
    <w:rsid w:val="00075642"/>
    <w:rsid w:val="00075739"/>
    <w:rsid w:val="00075799"/>
    <w:rsid w:val="00075922"/>
    <w:rsid w:val="0007597D"/>
    <w:rsid w:val="00075A65"/>
    <w:rsid w:val="00075A93"/>
    <w:rsid w:val="00075B9C"/>
    <w:rsid w:val="00075BA5"/>
    <w:rsid w:val="00075BC3"/>
    <w:rsid w:val="00075BCF"/>
    <w:rsid w:val="00075C49"/>
    <w:rsid w:val="00075C4D"/>
    <w:rsid w:val="00075C87"/>
    <w:rsid w:val="00075EF7"/>
    <w:rsid w:val="00075EF9"/>
    <w:rsid w:val="00076141"/>
    <w:rsid w:val="00076193"/>
    <w:rsid w:val="00076298"/>
    <w:rsid w:val="000762EA"/>
    <w:rsid w:val="000763DC"/>
    <w:rsid w:val="0007640F"/>
    <w:rsid w:val="0007657C"/>
    <w:rsid w:val="000765B0"/>
    <w:rsid w:val="000765EB"/>
    <w:rsid w:val="00076926"/>
    <w:rsid w:val="000769CC"/>
    <w:rsid w:val="00076A6D"/>
    <w:rsid w:val="00076AA0"/>
    <w:rsid w:val="00076AB0"/>
    <w:rsid w:val="00076B2B"/>
    <w:rsid w:val="00076B36"/>
    <w:rsid w:val="00076CF7"/>
    <w:rsid w:val="00076DFE"/>
    <w:rsid w:val="00076F2B"/>
    <w:rsid w:val="00077092"/>
    <w:rsid w:val="000770D7"/>
    <w:rsid w:val="000770F4"/>
    <w:rsid w:val="000770FE"/>
    <w:rsid w:val="000771F6"/>
    <w:rsid w:val="00077418"/>
    <w:rsid w:val="00077484"/>
    <w:rsid w:val="00077635"/>
    <w:rsid w:val="00077676"/>
    <w:rsid w:val="000777F9"/>
    <w:rsid w:val="000777FD"/>
    <w:rsid w:val="000778AD"/>
    <w:rsid w:val="000778C1"/>
    <w:rsid w:val="000778E4"/>
    <w:rsid w:val="000778F8"/>
    <w:rsid w:val="0007790B"/>
    <w:rsid w:val="00077949"/>
    <w:rsid w:val="00077978"/>
    <w:rsid w:val="00077BC8"/>
    <w:rsid w:val="00077C00"/>
    <w:rsid w:val="00077E70"/>
    <w:rsid w:val="00077EEC"/>
    <w:rsid w:val="00080078"/>
    <w:rsid w:val="000800FC"/>
    <w:rsid w:val="0008014E"/>
    <w:rsid w:val="000802A0"/>
    <w:rsid w:val="000802A2"/>
    <w:rsid w:val="00080337"/>
    <w:rsid w:val="0008034E"/>
    <w:rsid w:val="000803C1"/>
    <w:rsid w:val="000805B9"/>
    <w:rsid w:val="000807AB"/>
    <w:rsid w:val="00080844"/>
    <w:rsid w:val="00080913"/>
    <w:rsid w:val="0008098E"/>
    <w:rsid w:val="00080A28"/>
    <w:rsid w:val="00080AB4"/>
    <w:rsid w:val="00080B19"/>
    <w:rsid w:val="00080B57"/>
    <w:rsid w:val="00080BF5"/>
    <w:rsid w:val="00080BFE"/>
    <w:rsid w:val="00080C91"/>
    <w:rsid w:val="00080D4F"/>
    <w:rsid w:val="00080DB0"/>
    <w:rsid w:val="00080EBC"/>
    <w:rsid w:val="000810EE"/>
    <w:rsid w:val="00081229"/>
    <w:rsid w:val="0008125D"/>
    <w:rsid w:val="0008128B"/>
    <w:rsid w:val="00081316"/>
    <w:rsid w:val="000814B6"/>
    <w:rsid w:val="000814CC"/>
    <w:rsid w:val="00081616"/>
    <w:rsid w:val="00081751"/>
    <w:rsid w:val="00081772"/>
    <w:rsid w:val="00081775"/>
    <w:rsid w:val="00081964"/>
    <w:rsid w:val="00081AD7"/>
    <w:rsid w:val="00081AED"/>
    <w:rsid w:val="00081B00"/>
    <w:rsid w:val="00081CED"/>
    <w:rsid w:val="00081D32"/>
    <w:rsid w:val="00081E1B"/>
    <w:rsid w:val="00081EF5"/>
    <w:rsid w:val="00081FA2"/>
    <w:rsid w:val="00082046"/>
    <w:rsid w:val="00082292"/>
    <w:rsid w:val="00082389"/>
    <w:rsid w:val="000823DB"/>
    <w:rsid w:val="000823E7"/>
    <w:rsid w:val="000824F6"/>
    <w:rsid w:val="0008273A"/>
    <w:rsid w:val="00082785"/>
    <w:rsid w:val="00082821"/>
    <w:rsid w:val="0008282C"/>
    <w:rsid w:val="00082997"/>
    <w:rsid w:val="00082A1E"/>
    <w:rsid w:val="00082AFE"/>
    <w:rsid w:val="00082BDA"/>
    <w:rsid w:val="00082CE7"/>
    <w:rsid w:val="00082D07"/>
    <w:rsid w:val="00082D5F"/>
    <w:rsid w:val="00082D9A"/>
    <w:rsid w:val="00082E78"/>
    <w:rsid w:val="00082E7B"/>
    <w:rsid w:val="00082E7C"/>
    <w:rsid w:val="00082E7D"/>
    <w:rsid w:val="00082E9C"/>
    <w:rsid w:val="00082EBF"/>
    <w:rsid w:val="00082ED1"/>
    <w:rsid w:val="000830D8"/>
    <w:rsid w:val="0008325F"/>
    <w:rsid w:val="0008341D"/>
    <w:rsid w:val="0008367F"/>
    <w:rsid w:val="000836CA"/>
    <w:rsid w:val="00083806"/>
    <w:rsid w:val="00083872"/>
    <w:rsid w:val="000838B3"/>
    <w:rsid w:val="00083939"/>
    <w:rsid w:val="00083A5D"/>
    <w:rsid w:val="00083A7F"/>
    <w:rsid w:val="00083B13"/>
    <w:rsid w:val="00083BD0"/>
    <w:rsid w:val="00083CFA"/>
    <w:rsid w:val="00083D70"/>
    <w:rsid w:val="00083F37"/>
    <w:rsid w:val="00083FBE"/>
    <w:rsid w:val="000840B9"/>
    <w:rsid w:val="000840C3"/>
    <w:rsid w:val="0008419A"/>
    <w:rsid w:val="00084323"/>
    <w:rsid w:val="0008447A"/>
    <w:rsid w:val="0008452B"/>
    <w:rsid w:val="0008471B"/>
    <w:rsid w:val="0008475B"/>
    <w:rsid w:val="000847C7"/>
    <w:rsid w:val="0008487B"/>
    <w:rsid w:val="0008487C"/>
    <w:rsid w:val="00084880"/>
    <w:rsid w:val="000848A1"/>
    <w:rsid w:val="00084986"/>
    <w:rsid w:val="00084B72"/>
    <w:rsid w:val="00084CA5"/>
    <w:rsid w:val="00084EDA"/>
    <w:rsid w:val="00084EE4"/>
    <w:rsid w:val="00084FDE"/>
    <w:rsid w:val="00084FFB"/>
    <w:rsid w:val="0008526D"/>
    <w:rsid w:val="000852B0"/>
    <w:rsid w:val="0008531B"/>
    <w:rsid w:val="00085354"/>
    <w:rsid w:val="00085372"/>
    <w:rsid w:val="000854AA"/>
    <w:rsid w:val="000855C5"/>
    <w:rsid w:val="000856D3"/>
    <w:rsid w:val="00085723"/>
    <w:rsid w:val="00085896"/>
    <w:rsid w:val="00085B35"/>
    <w:rsid w:val="00085B5F"/>
    <w:rsid w:val="00085C31"/>
    <w:rsid w:val="00085EA5"/>
    <w:rsid w:val="00085F1D"/>
    <w:rsid w:val="00085FC5"/>
    <w:rsid w:val="00085FFE"/>
    <w:rsid w:val="000860E4"/>
    <w:rsid w:val="00086102"/>
    <w:rsid w:val="0008611B"/>
    <w:rsid w:val="00086205"/>
    <w:rsid w:val="0008634B"/>
    <w:rsid w:val="00086579"/>
    <w:rsid w:val="000865A5"/>
    <w:rsid w:val="000867E3"/>
    <w:rsid w:val="00086A94"/>
    <w:rsid w:val="00086AA0"/>
    <w:rsid w:val="00086C4A"/>
    <w:rsid w:val="00086DA6"/>
    <w:rsid w:val="00086DB7"/>
    <w:rsid w:val="00086E2A"/>
    <w:rsid w:val="00086F0A"/>
    <w:rsid w:val="00086FC0"/>
    <w:rsid w:val="0008713D"/>
    <w:rsid w:val="00087146"/>
    <w:rsid w:val="00087276"/>
    <w:rsid w:val="0008732A"/>
    <w:rsid w:val="000874E6"/>
    <w:rsid w:val="0008763B"/>
    <w:rsid w:val="00087753"/>
    <w:rsid w:val="000877E9"/>
    <w:rsid w:val="000877F1"/>
    <w:rsid w:val="00087826"/>
    <w:rsid w:val="00087833"/>
    <w:rsid w:val="00087857"/>
    <w:rsid w:val="00087A54"/>
    <w:rsid w:val="00087E14"/>
    <w:rsid w:val="00087F3D"/>
    <w:rsid w:val="0008A47E"/>
    <w:rsid w:val="0009008B"/>
    <w:rsid w:val="00090145"/>
    <w:rsid w:val="000902D3"/>
    <w:rsid w:val="00090324"/>
    <w:rsid w:val="0009034C"/>
    <w:rsid w:val="000903ED"/>
    <w:rsid w:val="0009044B"/>
    <w:rsid w:val="00090525"/>
    <w:rsid w:val="0009059E"/>
    <w:rsid w:val="000905DA"/>
    <w:rsid w:val="0009071B"/>
    <w:rsid w:val="00090776"/>
    <w:rsid w:val="00090A84"/>
    <w:rsid w:val="00090B92"/>
    <w:rsid w:val="00090C45"/>
    <w:rsid w:val="00090CA3"/>
    <w:rsid w:val="00090D9F"/>
    <w:rsid w:val="00090E44"/>
    <w:rsid w:val="00090E9D"/>
    <w:rsid w:val="00090ED8"/>
    <w:rsid w:val="0009100E"/>
    <w:rsid w:val="00091072"/>
    <w:rsid w:val="000910F9"/>
    <w:rsid w:val="000913CC"/>
    <w:rsid w:val="00091468"/>
    <w:rsid w:val="00091481"/>
    <w:rsid w:val="0009148E"/>
    <w:rsid w:val="000914C3"/>
    <w:rsid w:val="000914D9"/>
    <w:rsid w:val="0009153A"/>
    <w:rsid w:val="0009155E"/>
    <w:rsid w:val="000915FE"/>
    <w:rsid w:val="00091845"/>
    <w:rsid w:val="00091A23"/>
    <w:rsid w:val="00091A42"/>
    <w:rsid w:val="00091A68"/>
    <w:rsid w:val="00091AEE"/>
    <w:rsid w:val="00091AF1"/>
    <w:rsid w:val="00091B46"/>
    <w:rsid w:val="00091BE3"/>
    <w:rsid w:val="00091D11"/>
    <w:rsid w:val="00091D59"/>
    <w:rsid w:val="00091EEA"/>
    <w:rsid w:val="00091FD3"/>
    <w:rsid w:val="00091FD5"/>
    <w:rsid w:val="00092088"/>
    <w:rsid w:val="00092256"/>
    <w:rsid w:val="000922EA"/>
    <w:rsid w:val="000923FD"/>
    <w:rsid w:val="00092575"/>
    <w:rsid w:val="00092739"/>
    <w:rsid w:val="000927AB"/>
    <w:rsid w:val="00092A8E"/>
    <w:rsid w:val="00092BE1"/>
    <w:rsid w:val="00092D24"/>
    <w:rsid w:val="00092F4E"/>
    <w:rsid w:val="0009302F"/>
    <w:rsid w:val="0009303E"/>
    <w:rsid w:val="000930C4"/>
    <w:rsid w:val="00093307"/>
    <w:rsid w:val="00093351"/>
    <w:rsid w:val="000933AA"/>
    <w:rsid w:val="000933CC"/>
    <w:rsid w:val="0009346A"/>
    <w:rsid w:val="000934A3"/>
    <w:rsid w:val="000934FE"/>
    <w:rsid w:val="00093656"/>
    <w:rsid w:val="000936AD"/>
    <w:rsid w:val="0009370D"/>
    <w:rsid w:val="0009376B"/>
    <w:rsid w:val="00093945"/>
    <w:rsid w:val="00093956"/>
    <w:rsid w:val="00093C46"/>
    <w:rsid w:val="00093CD3"/>
    <w:rsid w:val="00093DC7"/>
    <w:rsid w:val="00093DEE"/>
    <w:rsid w:val="00093EE4"/>
    <w:rsid w:val="00093FEA"/>
    <w:rsid w:val="0009414B"/>
    <w:rsid w:val="0009422B"/>
    <w:rsid w:val="000942F9"/>
    <w:rsid w:val="00094509"/>
    <w:rsid w:val="00094516"/>
    <w:rsid w:val="00094700"/>
    <w:rsid w:val="00094781"/>
    <w:rsid w:val="000947E8"/>
    <w:rsid w:val="000948E0"/>
    <w:rsid w:val="00094935"/>
    <w:rsid w:val="00094AC3"/>
    <w:rsid w:val="00094B91"/>
    <w:rsid w:val="00094BAA"/>
    <w:rsid w:val="00094C20"/>
    <w:rsid w:val="00094C34"/>
    <w:rsid w:val="00094D75"/>
    <w:rsid w:val="00094E61"/>
    <w:rsid w:val="00094E90"/>
    <w:rsid w:val="00094EB6"/>
    <w:rsid w:val="00094F2B"/>
    <w:rsid w:val="0009519E"/>
    <w:rsid w:val="000952FE"/>
    <w:rsid w:val="00095592"/>
    <w:rsid w:val="000955C1"/>
    <w:rsid w:val="00095611"/>
    <w:rsid w:val="00095788"/>
    <w:rsid w:val="000957D0"/>
    <w:rsid w:val="00095973"/>
    <w:rsid w:val="00095B1A"/>
    <w:rsid w:val="00095CA2"/>
    <w:rsid w:val="00095ED6"/>
    <w:rsid w:val="00095FF6"/>
    <w:rsid w:val="00096015"/>
    <w:rsid w:val="000960F6"/>
    <w:rsid w:val="00096187"/>
    <w:rsid w:val="000961EE"/>
    <w:rsid w:val="000961F5"/>
    <w:rsid w:val="000961FA"/>
    <w:rsid w:val="00096278"/>
    <w:rsid w:val="000963DF"/>
    <w:rsid w:val="000964C2"/>
    <w:rsid w:val="00096522"/>
    <w:rsid w:val="000965AF"/>
    <w:rsid w:val="0009673D"/>
    <w:rsid w:val="0009682D"/>
    <w:rsid w:val="000968AA"/>
    <w:rsid w:val="00096A93"/>
    <w:rsid w:val="00096B33"/>
    <w:rsid w:val="00096C8B"/>
    <w:rsid w:val="00096D0B"/>
    <w:rsid w:val="00096E13"/>
    <w:rsid w:val="00096E1F"/>
    <w:rsid w:val="000970CE"/>
    <w:rsid w:val="0009710A"/>
    <w:rsid w:val="000971C7"/>
    <w:rsid w:val="000971D0"/>
    <w:rsid w:val="00097296"/>
    <w:rsid w:val="00097466"/>
    <w:rsid w:val="0009751A"/>
    <w:rsid w:val="00097542"/>
    <w:rsid w:val="00097692"/>
    <w:rsid w:val="00097718"/>
    <w:rsid w:val="00097726"/>
    <w:rsid w:val="00097778"/>
    <w:rsid w:val="0009777E"/>
    <w:rsid w:val="000977C6"/>
    <w:rsid w:val="00097811"/>
    <w:rsid w:val="0009788D"/>
    <w:rsid w:val="00097A58"/>
    <w:rsid w:val="00097A64"/>
    <w:rsid w:val="00097EB8"/>
    <w:rsid w:val="00097FE1"/>
    <w:rsid w:val="000A0063"/>
    <w:rsid w:val="000A00ED"/>
    <w:rsid w:val="000A0138"/>
    <w:rsid w:val="000A01D2"/>
    <w:rsid w:val="000A03A6"/>
    <w:rsid w:val="000A0590"/>
    <w:rsid w:val="000A0616"/>
    <w:rsid w:val="000A085C"/>
    <w:rsid w:val="000A08E2"/>
    <w:rsid w:val="000A09BA"/>
    <w:rsid w:val="000A0AC1"/>
    <w:rsid w:val="000A0C5D"/>
    <w:rsid w:val="000A0C93"/>
    <w:rsid w:val="000A0DFA"/>
    <w:rsid w:val="000A10BB"/>
    <w:rsid w:val="000A10FE"/>
    <w:rsid w:val="000A1292"/>
    <w:rsid w:val="000A12BF"/>
    <w:rsid w:val="000A1391"/>
    <w:rsid w:val="000A13DB"/>
    <w:rsid w:val="000A1499"/>
    <w:rsid w:val="000A1551"/>
    <w:rsid w:val="000A1571"/>
    <w:rsid w:val="000A1579"/>
    <w:rsid w:val="000A15F1"/>
    <w:rsid w:val="000A1717"/>
    <w:rsid w:val="000A1720"/>
    <w:rsid w:val="000A17E9"/>
    <w:rsid w:val="000A19C3"/>
    <w:rsid w:val="000A1A31"/>
    <w:rsid w:val="000A1AE7"/>
    <w:rsid w:val="000A1AF3"/>
    <w:rsid w:val="000A1B45"/>
    <w:rsid w:val="000A1BBF"/>
    <w:rsid w:val="000A1E53"/>
    <w:rsid w:val="000A1EBD"/>
    <w:rsid w:val="000A2177"/>
    <w:rsid w:val="000A21C3"/>
    <w:rsid w:val="000A2221"/>
    <w:rsid w:val="000A228B"/>
    <w:rsid w:val="000A2383"/>
    <w:rsid w:val="000A2400"/>
    <w:rsid w:val="000A24A6"/>
    <w:rsid w:val="000A24B9"/>
    <w:rsid w:val="000A24E5"/>
    <w:rsid w:val="000A2513"/>
    <w:rsid w:val="000A2848"/>
    <w:rsid w:val="000A292F"/>
    <w:rsid w:val="000A2CD6"/>
    <w:rsid w:val="000A2DF5"/>
    <w:rsid w:val="000A2F08"/>
    <w:rsid w:val="000A311F"/>
    <w:rsid w:val="000A3131"/>
    <w:rsid w:val="000A325A"/>
    <w:rsid w:val="000A3296"/>
    <w:rsid w:val="000A3304"/>
    <w:rsid w:val="000A33CA"/>
    <w:rsid w:val="000A343D"/>
    <w:rsid w:val="000A349D"/>
    <w:rsid w:val="000A34B9"/>
    <w:rsid w:val="000A351F"/>
    <w:rsid w:val="000A3608"/>
    <w:rsid w:val="000A36A8"/>
    <w:rsid w:val="000A36C0"/>
    <w:rsid w:val="000A3784"/>
    <w:rsid w:val="000A37D3"/>
    <w:rsid w:val="000A3A3E"/>
    <w:rsid w:val="000A3C03"/>
    <w:rsid w:val="000A3D63"/>
    <w:rsid w:val="000A3ED0"/>
    <w:rsid w:val="000A3F47"/>
    <w:rsid w:val="000A4080"/>
    <w:rsid w:val="000A40D1"/>
    <w:rsid w:val="000A40F6"/>
    <w:rsid w:val="000A421C"/>
    <w:rsid w:val="000A44F9"/>
    <w:rsid w:val="000A458C"/>
    <w:rsid w:val="000A45B8"/>
    <w:rsid w:val="000A4635"/>
    <w:rsid w:val="000A46D8"/>
    <w:rsid w:val="000A4705"/>
    <w:rsid w:val="000A470A"/>
    <w:rsid w:val="000A478D"/>
    <w:rsid w:val="000A47AE"/>
    <w:rsid w:val="000A47D4"/>
    <w:rsid w:val="000A4B3C"/>
    <w:rsid w:val="000A4B63"/>
    <w:rsid w:val="000A4B80"/>
    <w:rsid w:val="000A4C52"/>
    <w:rsid w:val="000A4CB9"/>
    <w:rsid w:val="000A4D06"/>
    <w:rsid w:val="000A4E3A"/>
    <w:rsid w:val="000A4E6E"/>
    <w:rsid w:val="000A4F1D"/>
    <w:rsid w:val="000A4FD9"/>
    <w:rsid w:val="000A5034"/>
    <w:rsid w:val="000A513D"/>
    <w:rsid w:val="000A51D8"/>
    <w:rsid w:val="000A5209"/>
    <w:rsid w:val="000A529C"/>
    <w:rsid w:val="000A5305"/>
    <w:rsid w:val="000A5379"/>
    <w:rsid w:val="000A54B9"/>
    <w:rsid w:val="000A552E"/>
    <w:rsid w:val="000A576A"/>
    <w:rsid w:val="000A579F"/>
    <w:rsid w:val="000A5940"/>
    <w:rsid w:val="000A5B2B"/>
    <w:rsid w:val="000A5BF3"/>
    <w:rsid w:val="000A5C30"/>
    <w:rsid w:val="000A5C83"/>
    <w:rsid w:val="000A5CD1"/>
    <w:rsid w:val="000A5D7E"/>
    <w:rsid w:val="000A5E5C"/>
    <w:rsid w:val="000A5FEE"/>
    <w:rsid w:val="000A5FFA"/>
    <w:rsid w:val="000A6073"/>
    <w:rsid w:val="000A61D2"/>
    <w:rsid w:val="000A62C8"/>
    <w:rsid w:val="000A6329"/>
    <w:rsid w:val="000A654B"/>
    <w:rsid w:val="000A66C5"/>
    <w:rsid w:val="000A66DD"/>
    <w:rsid w:val="000A67D3"/>
    <w:rsid w:val="000A69C9"/>
    <w:rsid w:val="000A6A16"/>
    <w:rsid w:val="000A6ACC"/>
    <w:rsid w:val="000A6D13"/>
    <w:rsid w:val="000A6D53"/>
    <w:rsid w:val="000A6E37"/>
    <w:rsid w:val="000A6E6E"/>
    <w:rsid w:val="000A6EB8"/>
    <w:rsid w:val="000A6FC3"/>
    <w:rsid w:val="000A710E"/>
    <w:rsid w:val="000A718E"/>
    <w:rsid w:val="000A72D1"/>
    <w:rsid w:val="000A7358"/>
    <w:rsid w:val="000A73AD"/>
    <w:rsid w:val="000A754A"/>
    <w:rsid w:val="000A75EF"/>
    <w:rsid w:val="000A7673"/>
    <w:rsid w:val="000A76CD"/>
    <w:rsid w:val="000A76CF"/>
    <w:rsid w:val="000A77DC"/>
    <w:rsid w:val="000A78FC"/>
    <w:rsid w:val="000A7923"/>
    <w:rsid w:val="000A79C0"/>
    <w:rsid w:val="000A7A8C"/>
    <w:rsid w:val="000A7B58"/>
    <w:rsid w:val="000A7CE6"/>
    <w:rsid w:val="000A7D85"/>
    <w:rsid w:val="000A7DFA"/>
    <w:rsid w:val="000A7F0B"/>
    <w:rsid w:val="000A7F0C"/>
    <w:rsid w:val="000A7F10"/>
    <w:rsid w:val="000A7F1A"/>
    <w:rsid w:val="000B0079"/>
    <w:rsid w:val="000B0134"/>
    <w:rsid w:val="000B0318"/>
    <w:rsid w:val="000B0333"/>
    <w:rsid w:val="000B0360"/>
    <w:rsid w:val="000B03CD"/>
    <w:rsid w:val="000B0499"/>
    <w:rsid w:val="000B0558"/>
    <w:rsid w:val="000B056E"/>
    <w:rsid w:val="000B0635"/>
    <w:rsid w:val="000B06FC"/>
    <w:rsid w:val="000B094B"/>
    <w:rsid w:val="000B0962"/>
    <w:rsid w:val="000B096B"/>
    <w:rsid w:val="000B0A02"/>
    <w:rsid w:val="000B0A8A"/>
    <w:rsid w:val="000B0B4A"/>
    <w:rsid w:val="000B0C01"/>
    <w:rsid w:val="000B0C1B"/>
    <w:rsid w:val="000B0D00"/>
    <w:rsid w:val="000B0D26"/>
    <w:rsid w:val="000B0D64"/>
    <w:rsid w:val="000B0E31"/>
    <w:rsid w:val="000B0EF8"/>
    <w:rsid w:val="000B107A"/>
    <w:rsid w:val="000B1102"/>
    <w:rsid w:val="000B1184"/>
    <w:rsid w:val="000B1224"/>
    <w:rsid w:val="000B13D9"/>
    <w:rsid w:val="000B1675"/>
    <w:rsid w:val="000B1D83"/>
    <w:rsid w:val="000B1E55"/>
    <w:rsid w:val="000B1E9A"/>
    <w:rsid w:val="000B2017"/>
    <w:rsid w:val="000B2035"/>
    <w:rsid w:val="000B21C2"/>
    <w:rsid w:val="000B22DE"/>
    <w:rsid w:val="000B2359"/>
    <w:rsid w:val="000B244A"/>
    <w:rsid w:val="000B24BF"/>
    <w:rsid w:val="000B253E"/>
    <w:rsid w:val="000B25A7"/>
    <w:rsid w:val="000B292C"/>
    <w:rsid w:val="000B29CF"/>
    <w:rsid w:val="000B29DC"/>
    <w:rsid w:val="000B2A1A"/>
    <w:rsid w:val="000B2AED"/>
    <w:rsid w:val="000B2C92"/>
    <w:rsid w:val="000B2D6F"/>
    <w:rsid w:val="000B2D95"/>
    <w:rsid w:val="000B2DA0"/>
    <w:rsid w:val="000B2F64"/>
    <w:rsid w:val="000B2F9D"/>
    <w:rsid w:val="000B314C"/>
    <w:rsid w:val="000B3266"/>
    <w:rsid w:val="000B32EE"/>
    <w:rsid w:val="000B3315"/>
    <w:rsid w:val="000B33C9"/>
    <w:rsid w:val="000B34D6"/>
    <w:rsid w:val="000B3586"/>
    <w:rsid w:val="000B35D6"/>
    <w:rsid w:val="000B368E"/>
    <w:rsid w:val="000B3836"/>
    <w:rsid w:val="000B38BE"/>
    <w:rsid w:val="000B396D"/>
    <w:rsid w:val="000B397C"/>
    <w:rsid w:val="000B3A29"/>
    <w:rsid w:val="000B3AF2"/>
    <w:rsid w:val="000B3AF6"/>
    <w:rsid w:val="000B3CA0"/>
    <w:rsid w:val="000B3D3A"/>
    <w:rsid w:val="000B3E0A"/>
    <w:rsid w:val="000B3EE4"/>
    <w:rsid w:val="000B4001"/>
    <w:rsid w:val="000B4036"/>
    <w:rsid w:val="000B40A2"/>
    <w:rsid w:val="000B4165"/>
    <w:rsid w:val="000B4302"/>
    <w:rsid w:val="000B4352"/>
    <w:rsid w:val="000B442F"/>
    <w:rsid w:val="000B4565"/>
    <w:rsid w:val="000B4575"/>
    <w:rsid w:val="000B4800"/>
    <w:rsid w:val="000B49E8"/>
    <w:rsid w:val="000B4AC5"/>
    <w:rsid w:val="000B4B2D"/>
    <w:rsid w:val="000B4B7C"/>
    <w:rsid w:val="000B4BEE"/>
    <w:rsid w:val="000B4BFE"/>
    <w:rsid w:val="000B4D72"/>
    <w:rsid w:val="000B4EBE"/>
    <w:rsid w:val="000B4ECE"/>
    <w:rsid w:val="000B51A8"/>
    <w:rsid w:val="000B522D"/>
    <w:rsid w:val="000B528A"/>
    <w:rsid w:val="000B531D"/>
    <w:rsid w:val="000B5364"/>
    <w:rsid w:val="000B5728"/>
    <w:rsid w:val="000B59E1"/>
    <w:rsid w:val="000B5A27"/>
    <w:rsid w:val="000B5A92"/>
    <w:rsid w:val="000B5AA6"/>
    <w:rsid w:val="000B5AE3"/>
    <w:rsid w:val="000B5AFE"/>
    <w:rsid w:val="000B5CA4"/>
    <w:rsid w:val="000B5DB4"/>
    <w:rsid w:val="000B5DED"/>
    <w:rsid w:val="000B5FE9"/>
    <w:rsid w:val="000B60C1"/>
    <w:rsid w:val="000B614C"/>
    <w:rsid w:val="000B6273"/>
    <w:rsid w:val="000B6389"/>
    <w:rsid w:val="000B6414"/>
    <w:rsid w:val="000B647C"/>
    <w:rsid w:val="000B674C"/>
    <w:rsid w:val="000B67E5"/>
    <w:rsid w:val="000B67F0"/>
    <w:rsid w:val="000B68BF"/>
    <w:rsid w:val="000B6C9B"/>
    <w:rsid w:val="000B6F64"/>
    <w:rsid w:val="000B7039"/>
    <w:rsid w:val="000B729B"/>
    <w:rsid w:val="000B7398"/>
    <w:rsid w:val="000B73DC"/>
    <w:rsid w:val="000B7519"/>
    <w:rsid w:val="000B7609"/>
    <w:rsid w:val="000B7680"/>
    <w:rsid w:val="000B7898"/>
    <w:rsid w:val="000B7977"/>
    <w:rsid w:val="000B7978"/>
    <w:rsid w:val="000B79A1"/>
    <w:rsid w:val="000B79A2"/>
    <w:rsid w:val="000B7A3E"/>
    <w:rsid w:val="000B7A47"/>
    <w:rsid w:val="000B7B8D"/>
    <w:rsid w:val="000B7D24"/>
    <w:rsid w:val="000C02D8"/>
    <w:rsid w:val="000C0313"/>
    <w:rsid w:val="000C0396"/>
    <w:rsid w:val="000C0424"/>
    <w:rsid w:val="000C04BB"/>
    <w:rsid w:val="000C0548"/>
    <w:rsid w:val="000C05E8"/>
    <w:rsid w:val="000C06A4"/>
    <w:rsid w:val="000C0707"/>
    <w:rsid w:val="000C0737"/>
    <w:rsid w:val="000C09D4"/>
    <w:rsid w:val="000C09DD"/>
    <w:rsid w:val="000C0B1A"/>
    <w:rsid w:val="000C0B2B"/>
    <w:rsid w:val="000C0B44"/>
    <w:rsid w:val="000C0C8D"/>
    <w:rsid w:val="000C0DD9"/>
    <w:rsid w:val="000C0E17"/>
    <w:rsid w:val="000C0F8E"/>
    <w:rsid w:val="000C0FBE"/>
    <w:rsid w:val="000C1163"/>
    <w:rsid w:val="000C11AB"/>
    <w:rsid w:val="000C122C"/>
    <w:rsid w:val="000C136C"/>
    <w:rsid w:val="000C145B"/>
    <w:rsid w:val="000C16CE"/>
    <w:rsid w:val="000C1753"/>
    <w:rsid w:val="000C1837"/>
    <w:rsid w:val="000C18AB"/>
    <w:rsid w:val="000C18D7"/>
    <w:rsid w:val="000C18F0"/>
    <w:rsid w:val="000C1917"/>
    <w:rsid w:val="000C1B48"/>
    <w:rsid w:val="000C1B49"/>
    <w:rsid w:val="000C1B73"/>
    <w:rsid w:val="000C1C43"/>
    <w:rsid w:val="000C1D4B"/>
    <w:rsid w:val="000C1E0F"/>
    <w:rsid w:val="000C1E3B"/>
    <w:rsid w:val="000C1E53"/>
    <w:rsid w:val="000C1FBA"/>
    <w:rsid w:val="000C1FEA"/>
    <w:rsid w:val="000C2077"/>
    <w:rsid w:val="000C2213"/>
    <w:rsid w:val="000C2214"/>
    <w:rsid w:val="000C23DA"/>
    <w:rsid w:val="000C2514"/>
    <w:rsid w:val="000C253C"/>
    <w:rsid w:val="000C25E3"/>
    <w:rsid w:val="000C263D"/>
    <w:rsid w:val="000C265A"/>
    <w:rsid w:val="000C2668"/>
    <w:rsid w:val="000C2914"/>
    <w:rsid w:val="000C291F"/>
    <w:rsid w:val="000C2947"/>
    <w:rsid w:val="000C2980"/>
    <w:rsid w:val="000C299D"/>
    <w:rsid w:val="000C2AF2"/>
    <w:rsid w:val="000C2B0D"/>
    <w:rsid w:val="000C2BA0"/>
    <w:rsid w:val="000C2BAB"/>
    <w:rsid w:val="000C2BC9"/>
    <w:rsid w:val="000C2C49"/>
    <w:rsid w:val="000C2CF9"/>
    <w:rsid w:val="000C2D42"/>
    <w:rsid w:val="000C2DA6"/>
    <w:rsid w:val="000C2DE7"/>
    <w:rsid w:val="000C2DF9"/>
    <w:rsid w:val="000C2E22"/>
    <w:rsid w:val="000C2E3F"/>
    <w:rsid w:val="000C2F32"/>
    <w:rsid w:val="000C2FA2"/>
    <w:rsid w:val="000C2FE6"/>
    <w:rsid w:val="000C32BD"/>
    <w:rsid w:val="000C347F"/>
    <w:rsid w:val="000C3674"/>
    <w:rsid w:val="000C36A4"/>
    <w:rsid w:val="000C36FC"/>
    <w:rsid w:val="000C37EE"/>
    <w:rsid w:val="000C3859"/>
    <w:rsid w:val="000C39D1"/>
    <w:rsid w:val="000C3AD3"/>
    <w:rsid w:val="000C3BEE"/>
    <w:rsid w:val="000C3BFC"/>
    <w:rsid w:val="000C3C57"/>
    <w:rsid w:val="000C3CF2"/>
    <w:rsid w:val="000C3D31"/>
    <w:rsid w:val="000C3E65"/>
    <w:rsid w:val="000C3F38"/>
    <w:rsid w:val="000C3F3E"/>
    <w:rsid w:val="000C4118"/>
    <w:rsid w:val="000C4223"/>
    <w:rsid w:val="000C44A7"/>
    <w:rsid w:val="000C45FC"/>
    <w:rsid w:val="000C478B"/>
    <w:rsid w:val="000C4C5A"/>
    <w:rsid w:val="000C4CC6"/>
    <w:rsid w:val="000C4EF0"/>
    <w:rsid w:val="000C4F55"/>
    <w:rsid w:val="000C4F60"/>
    <w:rsid w:val="000C4FA1"/>
    <w:rsid w:val="000C5112"/>
    <w:rsid w:val="000C511A"/>
    <w:rsid w:val="000C516D"/>
    <w:rsid w:val="000C53B9"/>
    <w:rsid w:val="000C53F5"/>
    <w:rsid w:val="000C546B"/>
    <w:rsid w:val="000C5539"/>
    <w:rsid w:val="000C55DE"/>
    <w:rsid w:val="000C55F2"/>
    <w:rsid w:val="000C5614"/>
    <w:rsid w:val="000C5624"/>
    <w:rsid w:val="000C562A"/>
    <w:rsid w:val="000C56A0"/>
    <w:rsid w:val="000C56C1"/>
    <w:rsid w:val="000C56EE"/>
    <w:rsid w:val="000C58AF"/>
    <w:rsid w:val="000C5919"/>
    <w:rsid w:val="000C5A35"/>
    <w:rsid w:val="000C5A45"/>
    <w:rsid w:val="000C5B3B"/>
    <w:rsid w:val="000C5B52"/>
    <w:rsid w:val="000C5B80"/>
    <w:rsid w:val="000C5CD3"/>
    <w:rsid w:val="000C5D3E"/>
    <w:rsid w:val="000C5DC5"/>
    <w:rsid w:val="000C60A9"/>
    <w:rsid w:val="000C6127"/>
    <w:rsid w:val="000C6141"/>
    <w:rsid w:val="000C620D"/>
    <w:rsid w:val="000C6354"/>
    <w:rsid w:val="000C63DB"/>
    <w:rsid w:val="000C64E5"/>
    <w:rsid w:val="000C6729"/>
    <w:rsid w:val="000C691C"/>
    <w:rsid w:val="000C6A32"/>
    <w:rsid w:val="000C6B0D"/>
    <w:rsid w:val="000C6BD8"/>
    <w:rsid w:val="000C6C4E"/>
    <w:rsid w:val="000C6D0A"/>
    <w:rsid w:val="000C6E7A"/>
    <w:rsid w:val="000C6EBE"/>
    <w:rsid w:val="000C6F03"/>
    <w:rsid w:val="000C6F66"/>
    <w:rsid w:val="000C6F80"/>
    <w:rsid w:val="000C728D"/>
    <w:rsid w:val="000C737C"/>
    <w:rsid w:val="000C74A2"/>
    <w:rsid w:val="000C7639"/>
    <w:rsid w:val="000C7A23"/>
    <w:rsid w:val="000C7AFA"/>
    <w:rsid w:val="000C7B56"/>
    <w:rsid w:val="000C7C0A"/>
    <w:rsid w:val="000C7CCF"/>
    <w:rsid w:val="000C7CD2"/>
    <w:rsid w:val="000C7DA1"/>
    <w:rsid w:val="000C7E07"/>
    <w:rsid w:val="000C7E27"/>
    <w:rsid w:val="000C7E3C"/>
    <w:rsid w:val="000C7EAD"/>
    <w:rsid w:val="000D0008"/>
    <w:rsid w:val="000D0125"/>
    <w:rsid w:val="000D019E"/>
    <w:rsid w:val="000D01C0"/>
    <w:rsid w:val="000D01D2"/>
    <w:rsid w:val="000D0281"/>
    <w:rsid w:val="000D033D"/>
    <w:rsid w:val="000D0362"/>
    <w:rsid w:val="000D037B"/>
    <w:rsid w:val="000D05CD"/>
    <w:rsid w:val="000D066C"/>
    <w:rsid w:val="000D076F"/>
    <w:rsid w:val="000D077B"/>
    <w:rsid w:val="000D0857"/>
    <w:rsid w:val="000D08E1"/>
    <w:rsid w:val="000D0CE4"/>
    <w:rsid w:val="000D0D2E"/>
    <w:rsid w:val="000D0D96"/>
    <w:rsid w:val="000D0DF5"/>
    <w:rsid w:val="000D0F1C"/>
    <w:rsid w:val="000D10C9"/>
    <w:rsid w:val="000D10E2"/>
    <w:rsid w:val="000D130D"/>
    <w:rsid w:val="000D1315"/>
    <w:rsid w:val="000D1339"/>
    <w:rsid w:val="000D13C4"/>
    <w:rsid w:val="000D14A5"/>
    <w:rsid w:val="000D152A"/>
    <w:rsid w:val="000D1554"/>
    <w:rsid w:val="000D1793"/>
    <w:rsid w:val="000D17C7"/>
    <w:rsid w:val="000D1AA0"/>
    <w:rsid w:val="000D1AE9"/>
    <w:rsid w:val="000D1DDC"/>
    <w:rsid w:val="000D2094"/>
    <w:rsid w:val="000D2174"/>
    <w:rsid w:val="000D21C8"/>
    <w:rsid w:val="000D2203"/>
    <w:rsid w:val="000D2207"/>
    <w:rsid w:val="000D2286"/>
    <w:rsid w:val="000D24AD"/>
    <w:rsid w:val="000D26F8"/>
    <w:rsid w:val="000D2974"/>
    <w:rsid w:val="000D2A70"/>
    <w:rsid w:val="000D2CAC"/>
    <w:rsid w:val="000D2D4F"/>
    <w:rsid w:val="000D2D84"/>
    <w:rsid w:val="000D2E01"/>
    <w:rsid w:val="000D2FBC"/>
    <w:rsid w:val="000D3005"/>
    <w:rsid w:val="000D3058"/>
    <w:rsid w:val="000D306A"/>
    <w:rsid w:val="000D30E0"/>
    <w:rsid w:val="000D322C"/>
    <w:rsid w:val="000D324A"/>
    <w:rsid w:val="000D3376"/>
    <w:rsid w:val="000D3393"/>
    <w:rsid w:val="000D339A"/>
    <w:rsid w:val="000D33DD"/>
    <w:rsid w:val="000D3429"/>
    <w:rsid w:val="000D3440"/>
    <w:rsid w:val="000D36E8"/>
    <w:rsid w:val="000D387F"/>
    <w:rsid w:val="000D38CC"/>
    <w:rsid w:val="000D38EA"/>
    <w:rsid w:val="000D3AEE"/>
    <w:rsid w:val="000D3B07"/>
    <w:rsid w:val="000D3B62"/>
    <w:rsid w:val="000D3BA9"/>
    <w:rsid w:val="000D3DBD"/>
    <w:rsid w:val="000D3E3B"/>
    <w:rsid w:val="000D3F14"/>
    <w:rsid w:val="000D3F31"/>
    <w:rsid w:val="000D413E"/>
    <w:rsid w:val="000D43AB"/>
    <w:rsid w:val="000D469F"/>
    <w:rsid w:val="000D482F"/>
    <w:rsid w:val="000D4901"/>
    <w:rsid w:val="000D49FF"/>
    <w:rsid w:val="000D4BD9"/>
    <w:rsid w:val="000D4C7A"/>
    <w:rsid w:val="000D4E21"/>
    <w:rsid w:val="000D5114"/>
    <w:rsid w:val="000D516B"/>
    <w:rsid w:val="000D5177"/>
    <w:rsid w:val="000D5312"/>
    <w:rsid w:val="000D5447"/>
    <w:rsid w:val="000D544A"/>
    <w:rsid w:val="000D544B"/>
    <w:rsid w:val="000D549A"/>
    <w:rsid w:val="000D558C"/>
    <w:rsid w:val="000D5699"/>
    <w:rsid w:val="000D585A"/>
    <w:rsid w:val="000D5A0F"/>
    <w:rsid w:val="000D5A37"/>
    <w:rsid w:val="000D5A72"/>
    <w:rsid w:val="000D5B25"/>
    <w:rsid w:val="000D5B69"/>
    <w:rsid w:val="000D5C17"/>
    <w:rsid w:val="000D5C33"/>
    <w:rsid w:val="000D5C87"/>
    <w:rsid w:val="000D5D2E"/>
    <w:rsid w:val="000D5D89"/>
    <w:rsid w:val="000D5DCB"/>
    <w:rsid w:val="000D5E6B"/>
    <w:rsid w:val="000D5EFF"/>
    <w:rsid w:val="000D5FAC"/>
    <w:rsid w:val="000D5FFA"/>
    <w:rsid w:val="000D6016"/>
    <w:rsid w:val="000D6106"/>
    <w:rsid w:val="000D615F"/>
    <w:rsid w:val="000D6296"/>
    <w:rsid w:val="000D62A3"/>
    <w:rsid w:val="000D6306"/>
    <w:rsid w:val="000D6383"/>
    <w:rsid w:val="000D639B"/>
    <w:rsid w:val="000D63AB"/>
    <w:rsid w:val="000D6588"/>
    <w:rsid w:val="000D67A8"/>
    <w:rsid w:val="000D67E4"/>
    <w:rsid w:val="000D6B02"/>
    <w:rsid w:val="000D6EED"/>
    <w:rsid w:val="000D70BF"/>
    <w:rsid w:val="000D70E4"/>
    <w:rsid w:val="000D713E"/>
    <w:rsid w:val="000D71B2"/>
    <w:rsid w:val="000D73C9"/>
    <w:rsid w:val="000D74D1"/>
    <w:rsid w:val="000D76E7"/>
    <w:rsid w:val="000D782B"/>
    <w:rsid w:val="000D78EE"/>
    <w:rsid w:val="000D7921"/>
    <w:rsid w:val="000D7A1F"/>
    <w:rsid w:val="000D7A5E"/>
    <w:rsid w:val="000D7AAA"/>
    <w:rsid w:val="000D7B44"/>
    <w:rsid w:val="000D7C3C"/>
    <w:rsid w:val="000D9082"/>
    <w:rsid w:val="000E0014"/>
    <w:rsid w:val="000E003B"/>
    <w:rsid w:val="000E00D4"/>
    <w:rsid w:val="000E017A"/>
    <w:rsid w:val="000E030C"/>
    <w:rsid w:val="000E05B3"/>
    <w:rsid w:val="000E071A"/>
    <w:rsid w:val="000E0828"/>
    <w:rsid w:val="000E088E"/>
    <w:rsid w:val="000E0975"/>
    <w:rsid w:val="000E0AE4"/>
    <w:rsid w:val="000E0AE6"/>
    <w:rsid w:val="000E0BB0"/>
    <w:rsid w:val="000E0C72"/>
    <w:rsid w:val="000E0E65"/>
    <w:rsid w:val="000E0F26"/>
    <w:rsid w:val="000E0F74"/>
    <w:rsid w:val="000E100A"/>
    <w:rsid w:val="000E1083"/>
    <w:rsid w:val="000E10AA"/>
    <w:rsid w:val="000E1176"/>
    <w:rsid w:val="000E1242"/>
    <w:rsid w:val="000E1263"/>
    <w:rsid w:val="000E12A0"/>
    <w:rsid w:val="000E136E"/>
    <w:rsid w:val="000E1480"/>
    <w:rsid w:val="000E1578"/>
    <w:rsid w:val="000E157E"/>
    <w:rsid w:val="000E165B"/>
    <w:rsid w:val="000E16C9"/>
    <w:rsid w:val="000E173A"/>
    <w:rsid w:val="000E192A"/>
    <w:rsid w:val="000E19CD"/>
    <w:rsid w:val="000E1A3F"/>
    <w:rsid w:val="000E1AA3"/>
    <w:rsid w:val="000E1C10"/>
    <w:rsid w:val="000E1D1A"/>
    <w:rsid w:val="000E1F19"/>
    <w:rsid w:val="000E1F7D"/>
    <w:rsid w:val="000E1F7E"/>
    <w:rsid w:val="000E1FB7"/>
    <w:rsid w:val="000E2163"/>
    <w:rsid w:val="000E21F0"/>
    <w:rsid w:val="000E22B0"/>
    <w:rsid w:val="000E236F"/>
    <w:rsid w:val="000E26A7"/>
    <w:rsid w:val="000E2853"/>
    <w:rsid w:val="000E28EB"/>
    <w:rsid w:val="000E2935"/>
    <w:rsid w:val="000E2956"/>
    <w:rsid w:val="000E2987"/>
    <w:rsid w:val="000E2AC0"/>
    <w:rsid w:val="000E2DC6"/>
    <w:rsid w:val="000E2E64"/>
    <w:rsid w:val="000E2F36"/>
    <w:rsid w:val="000E313B"/>
    <w:rsid w:val="000E321C"/>
    <w:rsid w:val="000E3234"/>
    <w:rsid w:val="000E35A5"/>
    <w:rsid w:val="000E35C8"/>
    <w:rsid w:val="000E3647"/>
    <w:rsid w:val="000E36F9"/>
    <w:rsid w:val="000E376F"/>
    <w:rsid w:val="000E394F"/>
    <w:rsid w:val="000E39A1"/>
    <w:rsid w:val="000E3A7E"/>
    <w:rsid w:val="000E3AC6"/>
    <w:rsid w:val="000E3CBA"/>
    <w:rsid w:val="000E3D53"/>
    <w:rsid w:val="000E3DBE"/>
    <w:rsid w:val="000E3F14"/>
    <w:rsid w:val="000E4035"/>
    <w:rsid w:val="000E4129"/>
    <w:rsid w:val="000E419D"/>
    <w:rsid w:val="000E446B"/>
    <w:rsid w:val="000E44CC"/>
    <w:rsid w:val="000E4525"/>
    <w:rsid w:val="000E46AD"/>
    <w:rsid w:val="000E4787"/>
    <w:rsid w:val="000E489C"/>
    <w:rsid w:val="000E48BF"/>
    <w:rsid w:val="000E48E0"/>
    <w:rsid w:val="000E4957"/>
    <w:rsid w:val="000E4A67"/>
    <w:rsid w:val="000E4C11"/>
    <w:rsid w:val="000E4D81"/>
    <w:rsid w:val="000E4E36"/>
    <w:rsid w:val="000E4EC1"/>
    <w:rsid w:val="000E5026"/>
    <w:rsid w:val="000E52A1"/>
    <w:rsid w:val="000E5302"/>
    <w:rsid w:val="000E535D"/>
    <w:rsid w:val="000E540E"/>
    <w:rsid w:val="000E56D9"/>
    <w:rsid w:val="000E5722"/>
    <w:rsid w:val="000E5730"/>
    <w:rsid w:val="000E57CB"/>
    <w:rsid w:val="000E5805"/>
    <w:rsid w:val="000E58B7"/>
    <w:rsid w:val="000E5982"/>
    <w:rsid w:val="000E5B5F"/>
    <w:rsid w:val="000E5C4D"/>
    <w:rsid w:val="000E5C6E"/>
    <w:rsid w:val="000E5D55"/>
    <w:rsid w:val="000E5FE2"/>
    <w:rsid w:val="000E6504"/>
    <w:rsid w:val="000E6669"/>
    <w:rsid w:val="000E669E"/>
    <w:rsid w:val="000E670A"/>
    <w:rsid w:val="000E6872"/>
    <w:rsid w:val="000E6D16"/>
    <w:rsid w:val="000E6D68"/>
    <w:rsid w:val="000E6D6C"/>
    <w:rsid w:val="000E6D91"/>
    <w:rsid w:val="000E6E2A"/>
    <w:rsid w:val="000E6EF5"/>
    <w:rsid w:val="000E6F4C"/>
    <w:rsid w:val="000E6F98"/>
    <w:rsid w:val="000E6F9F"/>
    <w:rsid w:val="000E705A"/>
    <w:rsid w:val="000E7074"/>
    <w:rsid w:val="000E70E4"/>
    <w:rsid w:val="000E7172"/>
    <w:rsid w:val="000E71EA"/>
    <w:rsid w:val="000E7332"/>
    <w:rsid w:val="000E7417"/>
    <w:rsid w:val="000E74E4"/>
    <w:rsid w:val="000E7797"/>
    <w:rsid w:val="000E78F5"/>
    <w:rsid w:val="000E7998"/>
    <w:rsid w:val="000E7A16"/>
    <w:rsid w:val="000E7A5A"/>
    <w:rsid w:val="000E7B20"/>
    <w:rsid w:val="000E7C5F"/>
    <w:rsid w:val="000E7C98"/>
    <w:rsid w:val="000E7C9A"/>
    <w:rsid w:val="000E7CB0"/>
    <w:rsid w:val="000E7CF4"/>
    <w:rsid w:val="000E7FA4"/>
    <w:rsid w:val="000F0063"/>
    <w:rsid w:val="000F00F5"/>
    <w:rsid w:val="000F0134"/>
    <w:rsid w:val="000F0157"/>
    <w:rsid w:val="000F0273"/>
    <w:rsid w:val="000F03B1"/>
    <w:rsid w:val="000F0400"/>
    <w:rsid w:val="000F042A"/>
    <w:rsid w:val="000F0486"/>
    <w:rsid w:val="000F05B4"/>
    <w:rsid w:val="000F05BB"/>
    <w:rsid w:val="000F071E"/>
    <w:rsid w:val="000F079F"/>
    <w:rsid w:val="000F07D3"/>
    <w:rsid w:val="000F080E"/>
    <w:rsid w:val="000F08AA"/>
    <w:rsid w:val="000F08BA"/>
    <w:rsid w:val="000F093E"/>
    <w:rsid w:val="000F0AD0"/>
    <w:rsid w:val="000F0BD8"/>
    <w:rsid w:val="000F0D11"/>
    <w:rsid w:val="000F0EE7"/>
    <w:rsid w:val="000F0F78"/>
    <w:rsid w:val="000F124A"/>
    <w:rsid w:val="000F126E"/>
    <w:rsid w:val="000F1334"/>
    <w:rsid w:val="000F1427"/>
    <w:rsid w:val="000F15E8"/>
    <w:rsid w:val="000F15F8"/>
    <w:rsid w:val="000F16C3"/>
    <w:rsid w:val="000F16EC"/>
    <w:rsid w:val="000F1A76"/>
    <w:rsid w:val="000F1CDE"/>
    <w:rsid w:val="000F1D82"/>
    <w:rsid w:val="000F1D93"/>
    <w:rsid w:val="000F1DEB"/>
    <w:rsid w:val="000F1E63"/>
    <w:rsid w:val="000F1FE0"/>
    <w:rsid w:val="000F1FF6"/>
    <w:rsid w:val="000F207F"/>
    <w:rsid w:val="000F21AF"/>
    <w:rsid w:val="000F22F8"/>
    <w:rsid w:val="000F23EA"/>
    <w:rsid w:val="000F24B8"/>
    <w:rsid w:val="000F2543"/>
    <w:rsid w:val="000F2572"/>
    <w:rsid w:val="000F2592"/>
    <w:rsid w:val="000F26C0"/>
    <w:rsid w:val="000F2724"/>
    <w:rsid w:val="000F2727"/>
    <w:rsid w:val="000F27EB"/>
    <w:rsid w:val="000F2872"/>
    <w:rsid w:val="000F2A39"/>
    <w:rsid w:val="000F2A9B"/>
    <w:rsid w:val="000F2AD2"/>
    <w:rsid w:val="000F2BB7"/>
    <w:rsid w:val="000F2BE9"/>
    <w:rsid w:val="000F2CEF"/>
    <w:rsid w:val="000F2DE0"/>
    <w:rsid w:val="000F2EE8"/>
    <w:rsid w:val="000F2F22"/>
    <w:rsid w:val="000F2F32"/>
    <w:rsid w:val="000F2FD2"/>
    <w:rsid w:val="000F3052"/>
    <w:rsid w:val="000F3087"/>
    <w:rsid w:val="000F31C3"/>
    <w:rsid w:val="000F36D3"/>
    <w:rsid w:val="000F3A10"/>
    <w:rsid w:val="000F3BDF"/>
    <w:rsid w:val="000F3F0A"/>
    <w:rsid w:val="000F3F22"/>
    <w:rsid w:val="000F3FFF"/>
    <w:rsid w:val="000F4138"/>
    <w:rsid w:val="000F421A"/>
    <w:rsid w:val="000F427B"/>
    <w:rsid w:val="000F429C"/>
    <w:rsid w:val="000F4366"/>
    <w:rsid w:val="000F43C1"/>
    <w:rsid w:val="000F44FF"/>
    <w:rsid w:val="000F47B4"/>
    <w:rsid w:val="000F48F6"/>
    <w:rsid w:val="000F492C"/>
    <w:rsid w:val="000F49FC"/>
    <w:rsid w:val="000F4B55"/>
    <w:rsid w:val="000F4C6E"/>
    <w:rsid w:val="000F4C78"/>
    <w:rsid w:val="000F4CD4"/>
    <w:rsid w:val="000F4D63"/>
    <w:rsid w:val="000F4DC2"/>
    <w:rsid w:val="000F4DC5"/>
    <w:rsid w:val="000F4DCF"/>
    <w:rsid w:val="000F4E6F"/>
    <w:rsid w:val="000F4FAC"/>
    <w:rsid w:val="000F50DE"/>
    <w:rsid w:val="000F555B"/>
    <w:rsid w:val="000F55F7"/>
    <w:rsid w:val="000F573F"/>
    <w:rsid w:val="000F5816"/>
    <w:rsid w:val="000F5850"/>
    <w:rsid w:val="000F58F1"/>
    <w:rsid w:val="000F5A0C"/>
    <w:rsid w:val="000F5C23"/>
    <w:rsid w:val="000F5CF0"/>
    <w:rsid w:val="000F5CF3"/>
    <w:rsid w:val="000F5D34"/>
    <w:rsid w:val="000F5D4B"/>
    <w:rsid w:val="000F5E27"/>
    <w:rsid w:val="000F5EEC"/>
    <w:rsid w:val="000F5FB9"/>
    <w:rsid w:val="000F6000"/>
    <w:rsid w:val="000F6028"/>
    <w:rsid w:val="000F6052"/>
    <w:rsid w:val="000F6110"/>
    <w:rsid w:val="000F61D2"/>
    <w:rsid w:val="000F6299"/>
    <w:rsid w:val="000F6332"/>
    <w:rsid w:val="000F63DC"/>
    <w:rsid w:val="000F64BD"/>
    <w:rsid w:val="000F6506"/>
    <w:rsid w:val="000F65B5"/>
    <w:rsid w:val="000F66A4"/>
    <w:rsid w:val="000F675F"/>
    <w:rsid w:val="000F67A6"/>
    <w:rsid w:val="000F6AA6"/>
    <w:rsid w:val="000F6AB2"/>
    <w:rsid w:val="000F6AB9"/>
    <w:rsid w:val="000F6C66"/>
    <w:rsid w:val="000F6C96"/>
    <w:rsid w:val="000F6CAE"/>
    <w:rsid w:val="000F6CE5"/>
    <w:rsid w:val="000F6D7E"/>
    <w:rsid w:val="000F6DEE"/>
    <w:rsid w:val="000F6E57"/>
    <w:rsid w:val="000F70DC"/>
    <w:rsid w:val="000F7141"/>
    <w:rsid w:val="000F7160"/>
    <w:rsid w:val="000F7193"/>
    <w:rsid w:val="000F71D5"/>
    <w:rsid w:val="000F7289"/>
    <w:rsid w:val="000F7477"/>
    <w:rsid w:val="000F749B"/>
    <w:rsid w:val="000F754B"/>
    <w:rsid w:val="000F7582"/>
    <w:rsid w:val="000F76BE"/>
    <w:rsid w:val="000F76F2"/>
    <w:rsid w:val="000F76FB"/>
    <w:rsid w:val="000F770D"/>
    <w:rsid w:val="000F784F"/>
    <w:rsid w:val="000F7AA1"/>
    <w:rsid w:val="000F7BF7"/>
    <w:rsid w:val="000F7C66"/>
    <w:rsid w:val="000F7C8A"/>
    <w:rsid w:val="000F7CBA"/>
    <w:rsid w:val="000F7CE9"/>
    <w:rsid w:val="000F7D73"/>
    <w:rsid w:val="000F7DCE"/>
    <w:rsid w:val="00100016"/>
    <w:rsid w:val="00100099"/>
    <w:rsid w:val="00100193"/>
    <w:rsid w:val="00100194"/>
    <w:rsid w:val="001001F7"/>
    <w:rsid w:val="0010023D"/>
    <w:rsid w:val="001002D6"/>
    <w:rsid w:val="00100316"/>
    <w:rsid w:val="001003B2"/>
    <w:rsid w:val="0010050C"/>
    <w:rsid w:val="001005F5"/>
    <w:rsid w:val="001006EC"/>
    <w:rsid w:val="00100714"/>
    <w:rsid w:val="001008FF"/>
    <w:rsid w:val="00100A35"/>
    <w:rsid w:val="00100AD5"/>
    <w:rsid w:val="00100B22"/>
    <w:rsid w:val="00100B64"/>
    <w:rsid w:val="00100B93"/>
    <w:rsid w:val="00100CE7"/>
    <w:rsid w:val="00100EF7"/>
    <w:rsid w:val="00100F29"/>
    <w:rsid w:val="00100FC2"/>
    <w:rsid w:val="00100FD7"/>
    <w:rsid w:val="0010112C"/>
    <w:rsid w:val="00101351"/>
    <w:rsid w:val="00101730"/>
    <w:rsid w:val="00101828"/>
    <w:rsid w:val="00101B1A"/>
    <w:rsid w:val="00101B86"/>
    <w:rsid w:val="00101BBC"/>
    <w:rsid w:val="00101C0C"/>
    <w:rsid w:val="00101D72"/>
    <w:rsid w:val="00101E68"/>
    <w:rsid w:val="00101E9D"/>
    <w:rsid w:val="00102070"/>
    <w:rsid w:val="001020DA"/>
    <w:rsid w:val="00102222"/>
    <w:rsid w:val="0010222C"/>
    <w:rsid w:val="00102273"/>
    <w:rsid w:val="00102320"/>
    <w:rsid w:val="00102327"/>
    <w:rsid w:val="001023DB"/>
    <w:rsid w:val="001023EE"/>
    <w:rsid w:val="001024BB"/>
    <w:rsid w:val="001027D9"/>
    <w:rsid w:val="00102822"/>
    <w:rsid w:val="00102832"/>
    <w:rsid w:val="00102883"/>
    <w:rsid w:val="00102A6A"/>
    <w:rsid w:val="00102A84"/>
    <w:rsid w:val="00102A97"/>
    <w:rsid w:val="00102CC0"/>
    <w:rsid w:val="00102D48"/>
    <w:rsid w:val="00102D97"/>
    <w:rsid w:val="00102DB7"/>
    <w:rsid w:val="00102DEE"/>
    <w:rsid w:val="00102E2D"/>
    <w:rsid w:val="00102E85"/>
    <w:rsid w:val="00102ED9"/>
    <w:rsid w:val="00103050"/>
    <w:rsid w:val="00103425"/>
    <w:rsid w:val="001034E0"/>
    <w:rsid w:val="0010350A"/>
    <w:rsid w:val="00103634"/>
    <w:rsid w:val="00103637"/>
    <w:rsid w:val="00103757"/>
    <w:rsid w:val="0010386E"/>
    <w:rsid w:val="001038D0"/>
    <w:rsid w:val="001038DA"/>
    <w:rsid w:val="0010395C"/>
    <w:rsid w:val="00103E76"/>
    <w:rsid w:val="00103FDC"/>
    <w:rsid w:val="001041BF"/>
    <w:rsid w:val="001041D5"/>
    <w:rsid w:val="0010422E"/>
    <w:rsid w:val="00104385"/>
    <w:rsid w:val="0010441E"/>
    <w:rsid w:val="0010444B"/>
    <w:rsid w:val="00104485"/>
    <w:rsid w:val="0010458D"/>
    <w:rsid w:val="00104594"/>
    <w:rsid w:val="001045A3"/>
    <w:rsid w:val="001046AD"/>
    <w:rsid w:val="001046DD"/>
    <w:rsid w:val="00104720"/>
    <w:rsid w:val="0010472B"/>
    <w:rsid w:val="0010478D"/>
    <w:rsid w:val="001048D8"/>
    <w:rsid w:val="00104EBC"/>
    <w:rsid w:val="00104F81"/>
    <w:rsid w:val="001050B7"/>
    <w:rsid w:val="0010511A"/>
    <w:rsid w:val="00105143"/>
    <w:rsid w:val="00105299"/>
    <w:rsid w:val="0010530B"/>
    <w:rsid w:val="001054E4"/>
    <w:rsid w:val="00105577"/>
    <w:rsid w:val="001056D9"/>
    <w:rsid w:val="001057AB"/>
    <w:rsid w:val="00105801"/>
    <w:rsid w:val="00105954"/>
    <w:rsid w:val="00105A94"/>
    <w:rsid w:val="00105C52"/>
    <w:rsid w:val="00105D6F"/>
    <w:rsid w:val="00105DFC"/>
    <w:rsid w:val="00105E45"/>
    <w:rsid w:val="00105EE3"/>
    <w:rsid w:val="00105EEF"/>
    <w:rsid w:val="00106033"/>
    <w:rsid w:val="001061AC"/>
    <w:rsid w:val="001061F1"/>
    <w:rsid w:val="00106222"/>
    <w:rsid w:val="0010633A"/>
    <w:rsid w:val="0010633C"/>
    <w:rsid w:val="00106405"/>
    <w:rsid w:val="001064B5"/>
    <w:rsid w:val="00106636"/>
    <w:rsid w:val="00106757"/>
    <w:rsid w:val="001067BE"/>
    <w:rsid w:val="001069DD"/>
    <w:rsid w:val="00106C1E"/>
    <w:rsid w:val="00106D4F"/>
    <w:rsid w:val="00106E1D"/>
    <w:rsid w:val="00106EA6"/>
    <w:rsid w:val="00106F45"/>
    <w:rsid w:val="00106FE0"/>
    <w:rsid w:val="00107029"/>
    <w:rsid w:val="00107056"/>
    <w:rsid w:val="0010707D"/>
    <w:rsid w:val="0010755F"/>
    <w:rsid w:val="00107612"/>
    <w:rsid w:val="00107760"/>
    <w:rsid w:val="001077A8"/>
    <w:rsid w:val="00107898"/>
    <w:rsid w:val="001079C6"/>
    <w:rsid w:val="00107C44"/>
    <w:rsid w:val="00107C51"/>
    <w:rsid w:val="00107D1F"/>
    <w:rsid w:val="00107F25"/>
    <w:rsid w:val="0011003C"/>
    <w:rsid w:val="0011003D"/>
    <w:rsid w:val="0011018E"/>
    <w:rsid w:val="0011020F"/>
    <w:rsid w:val="0011022F"/>
    <w:rsid w:val="00110253"/>
    <w:rsid w:val="001102F5"/>
    <w:rsid w:val="0011045E"/>
    <w:rsid w:val="0011047A"/>
    <w:rsid w:val="00110516"/>
    <w:rsid w:val="0011053A"/>
    <w:rsid w:val="0011068C"/>
    <w:rsid w:val="00110773"/>
    <w:rsid w:val="001108D0"/>
    <w:rsid w:val="00110B50"/>
    <w:rsid w:val="00110B7A"/>
    <w:rsid w:val="00110BBA"/>
    <w:rsid w:val="00110C4A"/>
    <w:rsid w:val="00110CE7"/>
    <w:rsid w:val="00110D2D"/>
    <w:rsid w:val="00110FEF"/>
    <w:rsid w:val="00111017"/>
    <w:rsid w:val="00111122"/>
    <w:rsid w:val="00111326"/>
    <w:rsid w:val="00111407"/>
    <w:rsid w:val="0011142D"/>
    <w:rsid w:val="00111472"/>
    <w:rsid w:val="001115D0"/>
    <w:rsid w:val="00111647"/>
    <w:rsid w:val="0011174A"/>
    <w:rsid w:val="00111774"/>
    <w:rsid w:val="001117F1"/>
    <w:rsid w:val="0011184E"/>
    <w:rsid w:val="00111A5A"/>
    <w:rsid w:val="00111BB2"/>
    <w:rsid w:val="00111CEE"/>
    <w:rsid w:val="00112068"/>
    <w:rsid w:val="00112207"/>
    <w:rsid w:val="001124BA"/>
    <w:rsid w:val="001124E6"/>
    <w:rsid w:val="001126E8"/>
    <w:rsid w:val="0011295C"/>
    <w:rsid w:val="001129A6"/>
    <w:rsid w:val="001129BC"/>
    <w:rsid w:val="00112A70"/>
    <w:rsid w:val="00112ACE"/>
    <w:rsid w:val="00112B16"/>
    <w:rsid w:val="00112C86"/>
    <w:rsid w:val="00112DE6"/>
    <w:rsid w:val="00112EB4"/>
    <w:rsid w:val="00112EB7"/>
    <w:rsid w:val="001130A2"/>
    <w:rsid w:val="001130F2"/>
    <w:rsid w:val="00113197"/>
    <w:rsid w:val="001131E9"/>
    <w:rsid w:val="001132B3"/>
    <w:rsid w:val="001132F7"/>
    <w:rsid w:val="001133A9"/>
    <w:rsid w:val="00113530"/>
    <w:rsid w:val="001135B2"/>
    <w:rsid w:val="00113664"/>
    <w:rsid w:val="001137C3"/>
    <w:rsid w:val="001137E0"/>
    <w:rsid w:val="00113866"/>
    <w:rsid w:val="00113916"/>
    <w:rsid w:val="001139E8"/>
    <w:rsid w:val="00113B2A"/>
    <w:rsid w:val="00113B3C"/>
    <w:rsid w:val="00113B41"/>
    <w:rsid w:val="00113E1C"/>
    <w:rsid w:val="00113EB0"/>
    <w:rsid w:val="00113EB3"/>
    <w:rsid w:val="00113EE2"/>
    <w:rsid w:val="0011402B"/>
    <w:rsid w:val="0011416D"/>
    <w:rsid w:val="001142EE"/>
    <w:rsid w:val="001142F2"/>
    <w:rsid w:val="00114488"/>
    <w:rsid w:val="001144FC"/>
    <w:rsid w:val="0011458A"/>
    <w:rsid w:val="00114612"/>
    <w:rsid w:val="00114CB6"/>
    <w:rsid w:val="00114DDE"/>
    <w:rsid w:val="00114F53"/>
    <w:rsid w:val="00114FE5"/>
    <w:rsid w:val="00115189"/>
    <w:rsid w:val="001151C3"/>
    <w:rsid w:val="001151F3"/>
    <w:rsid w:val="00115328"/>
    <w:rsid w:val="0011538C"/>
    <w:rsid w:val="001153AC"/>
    <w:rsid w:val="0011557D"/>
    <w:rsid w:val="00115600"/>
    <w:rsid w:val="001156E8"/>
    <w:rsid w:val="0011577C"/>
    <w:rsid w:val="00115A82"/>
    <w:rsid w:val="00115AAD"/>
    <w:rsid w:val="00115CAA"/>
    <w:rsid w:val="00115F42"/>
    <w:rsid w:val="00115FAF"/>
    <w:rsid w:val="00115FFE"/>
    <w:rsid w:val="001160C9"/>
    <w:rsid w:val="001163B4"/>
    <w:rsid w:val="00116430"/>
    <w:rsid w:val="00116507"/>
    <w:rsid w:val="0011652C"/>
    <w:rsid w:val="00116577"/>
    <w:rsid w:val="001166E7"/>
    <w:rsid w:val="001167D7"/>
    <w:rsid w:val="001167FB"/>
    <w:rsid w:val="001168CA"/>
    <w:rsid w:val="001168D8"/>
    <w:rsid w:val="001168F1"/>
    <w:rsid w:val="00116975"/>
    <w:rsid w:val="00116A20"/>
    <w:rsid w:val="00116A44"/>
    <w:rsid w:val="00116BEA"/>
    <w:rsid w:val="00116C43"/>
    <w:rsid w:val="00116C77"/>
    <w:rsid w:val="00116CEA"/>
    <w:rsid w:val="00116CEF"/>
    <w:rsid w:val="00116E2F"/>
    <w:rsid w:val="00116E7E"/>
    <w:rsid w:val="00116EBF"/>
    <w:rsid w:val="00116FBD"/>
    <w:rsid w:val="00116FF5"/>
    <w:rsid w:val="001170D2"/>
    <w:rsid w:val="00117133"/>
    <w:rsid w:val="001172D6"/>
    <w:rsid w:val="001174E7"/>
    <w:rsid w:val="001174EE"/>
    <w:rsid w:val="001175BD"/>
    <w:rsid w:val="00117699"/>
    <w:rsid w:val="001177D7"/>
    <w:rsid w:val="00117AB6"/>
    <w:rsid w:val="00117ABC"/>
    <w:rsid w:val="00117AC5"/>
    <w:rsid w:val="00117B91"/>
    <w:rsid w:val="00117C74"/>
    <w:rsid w:val="00117FBB"/>
    <w:rsid w:val="00120041"/>
    <w:rsid w:val="001200FB"/>
    <w:rsid w:val="00120121"/>
    <w:rsid w:val="00120157"/>
    <w:rsid w:val="0012028D"/>
    <w:rsid w:val="001202BA"/>
    <w:rsid w:val="0012054D"/>
    <w:rsid w:val="001205E8"/>
    <w:rsid w:val="00120C52"/>
    <w:rsid w:val="00120EAD"/>
    <w:rsid w:val="001212B1"/>
    <w:rsid w:val="001213B1"/>
    <w:rsid w:val="0012151C"/>
    <w:rsid w:val="00121595"/>
    <w:rsid w:val="001215F5"/>
    <w:rsid w:val="00121634"/>
    <w:rsid w:val="00121645"/>
    <w:rsid w:val="0012188C"/>
    <w:rsid w:val="001218FC"/>
    <w:rsid w:val="00121907"/>
    <w:rsid w:val="0012196C"/>
    <w:rsid w:val="00121A4D"/>
    <w:rsid w:val="00121B38"/>
    <w:rsid w:val="00121B78"/>
    <w:rsid w:val="00121B82"/>
    <w:rsid w:val="00121C8C"/>
    <w:rsid w:val="00121E3A"/>
    <w:rsid w:val="00121F51"/>
    <w:rsid w:val="00121FE1"/>
    <w:rsid w:val="00122060"/>
    <w:rsid w:val="00122088"/>
    <w:rsid w:val="00122156"/>
    <w:rsid w:val="00122243"/>
    <w:rsid w:val="0012227D"/>
    <w:rsid w:val="001222A6"/>
    <w:rsid w:val="00122321"/>
    <w:rsid w:val="00122394"/>
    <w:rsid w:val="001223E6"/>
    <w:rsid w:val="00122617"/>
    <w:rsid w:val="00122803"/>
    <w:rsid w:val="00122852"/>
    <w:rsid w:val="001228A8"/>
    <w:rsid w:val="00122904"/>
    <w:rsid w:val="00122A2F"/>
    <w:rsid w:val="00122A4C"/>
    <w:rsid w:val="00122CAC"/>
    <w:rsid w:val="00122CEC"/>
    <w:rsid w:val="00122D61"/>
    <w:rsid w:val="00122D84"/>
    <w:rsid w:val="00122DC7"/>
    <w:rsid w:val="00122DF7"/>
    <w:rsid w:val="00122F8D"/>
    <w:rsid w:val="0012301E"/>
    <w:rsid w:val="0012302F"/>
    <w:rsid w:val="001230F6"/>
    <w:rsid w:val="00123252"/>
    <w:rsid w:val="00123281"/>
    <w:rsid w:val="0012351B"/>
    <w:rsid w:val="001238AC"/>
    <w:rsid w:val="00123AAF"/>
    <w:rsid w:val="00123C58"/>
    <w:rsid w:val="00123DFB"/>
    <w:rsid w:val="001241F4"/>
    <w:rsid w:val="001241F5"/>
    <w:rsid w:val="0012425E"/>
    <w:rsid w:val="00124356"/>
    <w:rsid w:val="001243F4"/>
    <w:rsid w:val="0012449F"/>
    <w:rsid w:val="001244CA"/>
    <w:rsid w:val="00124518"/>
    <w:rsid w:val="0012452D"/>
    <w:rsid w:val="0012462F"/>
    <w:rsid w:val="0012467E"/>
    <w:rsid w:val="001247C1"/>
    <w:rsid w:val="00124831"/>
    <w:rsid w:val="0012487A"/>
    <w:rsid w:val="00124935"/>
    <w:rsid w:val="001249FC"/>
    <w:rsid w:val="00124A09"/>
    <w:rsid w:val="00124C27"/>
    <w:rsid w:val="00124C82"/>
    <w:rsid w:val="00124CE5"/>
    <w:rsid w:val="00124D65"/>
    <w:rsid w:val="00124FF3"/>
    <w:rsid w:val="0012515F"/>
    <w:rsid w:val="0012522A"/>
    <w:rsid w:val="001252B5"/>
    <w:rsid w:val="00125388"/>
    <w:rsid w:val="001255E3"/>
    <w:rsid w:val="0012566E"/>
    <w:rsid w:val="001256F4"/>
    <w:rsid w:val="00125732"/>
    <w:rsid w:val="0012575C"/>
    <w:rsid w:val="00125A99"/>
    <w:rsid w:val="00125B34"/>
    <w:rsid w:val="00125BC8"/>
    <w:rsid w:val="00125CCB"/>
    <w:rsid w:val="00125D53"/>
    <w:rsid w:val="00125DA7"/>
    <w:rsid w:val="00125DA8"/>
    <w:rsid w:val="00125DC3"/>
    <w:rsid w:val="00125EDB"/>
    <w:rsid w:val="00125EF9"/>
    <w:rsid w:val="00125FCC"/>
    <w:rsid w:val="00126016"/>
    <w:rsid w:val="00126163"/>
    <w:rsid w:val="0012618D"/>
    <w:rsid w:val="00126269"/>
    <w:rsid w:val="001262C8"/>
    <w:rsid w:val="0012631C"/>
    <w:rsid w:val="00126388"/>
    <w:rsid w:val="001264C0"/>
    <w:rsid w:val="00126589"/>
    <w:rsid w:val="001266B0"/>
    <w:rsid w:val="00126810"/>
    <w:rsid w:val="0012699D"/>
    <w:rsid w:val="00126A0E"/>
    <w:rsid w:val="00126BDC"/>
    <w:rsid w:val="00126C40"/>
    <w:rsid w:val="00126C5E"/>
    <w:rsid w:val="00126E47"/>
    <w:rsid w:val="00126F63"/>
    <w:rsid w:val="00127005"/>
    <w:rsid w:val="0012741F"/>
    <w:rsid w:val="001274FD"/>
    <w:rsid w:val="00127818"/>
    <w:rsid w:val="00127935"/>
    <w:rsid w:val="00127A1C"/>
    <w:rsid w:val="00127ADC"/>
    <w:rsid w:val="00127D6D"/>
    <w:rsid w:val="00127F32"/>
    <w:rsid w:val="00130025"/>
    <w:rsid w:val="0013004E"/>
    <w:rsid w:val="00130150"/>
    <w:rsid w:val="0013022E"/>
    <w:rsid w:val="00130233"/>
    <w:rsid w:val="001302DC"/>
    <w:rsid w:val="001303F1"/>
    <w:rsid w:val="001304AC"/>
    <w:rsid w:val="001304C9"/>
    <w:rsid w:val="00130660"/>
    <w:rsid w:val="001306BF"/>
    <w:rsid w:val="00130959"/>
    <w:rsid w:val="00130A3F"/>
    <w:rsid w:val="00130B6A"/>
    <w:rsid w:val="00130BB7"/>
    <w:rsid w:val="00130BC0"/>
    <w:rsid w:val="00130BF8"/>
    <w:rsid w:val="00130C41"/>
    <w:rsid w:val="00130F51"/>
    <w:rsid w:val="00130F85"/>
    <w:rsid w:val="00130FB6"/>
    <w:rsid w:val="00130FFA"/>
    <w:rsid w:val="00130FFE"/>
    <w:rsid w:val="00131002"/>
    <w:rsid w:val="0013101C"/>
    <w:rsid w:val="00131105"/>
    <w:rsid w:val="0013113D"/>
    <w:rsid w:val="00131180"/>
    <w:rsid w:val="001311C6"/>
    <w:rsid w:val="001311C9"/>
    <w:rsid w:val="00131329"/>
    <w:rsid w:val="001313D1"/>
    <w:rsid w:val="00131460"/>
    <w:rsid w:val="001314B0"/>
    <w:rsid w:val="001314F4"/>
    <w:rsid w:val="001316CB"/>
    <w:rsid w:val="00131862"/>
    <w:rsid w:val="001318D8"/>
    <w:rsid w:val="001319DA"/>
    <w:rsid w:val="001319DE"/>
    <w:rsid w:val="00131A02"/>
    <w:rsid w:val="00131A34"/>
    <w:rsid w:val="00131C79"/>
    <w:rsid w:val="00131E17"/>
    <w:rsid w:val="00131F79"/>
    <w:rsid w:val="001321D8"/>
    <w:rsid w:val="001323F0"/>
    <w:rsid w:val="00132590"/>
    <w:rsid w:val="0013259E"/>
    <w:rsid w:val="00132655"/>
    <w:rsid w:val="00132724"/>
    <w:rsid w:val="0013276F"/>
    <w:rsid w:val="00132858"/>
    <w:rsid w:val="001329B7"/>
    <w:rsid w:val="00132A36"/>
    <w:rsid w:val="00132A52"/>
    <w:rsid w:val="00132A57"/>
    <w:rsid w:val="00132C6A"/>
    <w:rsid w:val="00132E8A"/>
    <w:rsid w:val="00132EAA"/>
    <w:rsid w:val="00132F56"/>
    <w:rsid w:val="00132F65"/>
    <w:rsid w:val="0013300C"/>
    <w:rsid w:val="001330C7"/>
    <w:rsid w:val="0013320D"/>
    <w:rsid w:val="001332FF"/>
    <w:rsid w:val="00133305"/>
    <w:rsid w:val="001333E5"/>
    <w:rsid w:val="00133412"/>
    <w:rsid w:val="00133624"/>
    <w:rsid w:val="00133758"/>
    <w:rsid w:val="001337EF"/>
    <w:rsid w:val="00133851"/>
    <w:rsid w:val="00133A10"/>
    <w:rsid w:val="00133A81"/>
    <w:rsid w:val="00133BC4"/>
    <w:rsid w:val="00133C99"/>
    <w:rsid w:val="00133CAE"/>
    <w:rsid w:val="00133D95"/>
    <w:rsid w:val="00133DDC"/>
    <w:rsid w:val="00133E6A"/>
    <w:rsid w:val="00133FA9"/>
    <w:rsid w:val="00134077"/>
    <w:rsid w:val="001340F9"/>
    <w:rsid w:val="0013450E"/>
    <w:rsid w:val="0013451E"/>
    <w:rsid w:val="001346D1"/>
    <w:rsid w:val="00134771"/>
    <w:rsid w:val="00134781"/>
    <w:rsid w:val="0013481B"/>
    <w:rsid w:val="00134855"/>
    <w:rsid w:val="00134871"/>
    <w:rsid w:val="001348B9"/>
    <w:rsid w:val="0013490A"/>
    <w:rsid w:val="00134B88"/>
    <w:rsid w:val="00134C25"/>
    <w:rsid w:val="00134C5D"/>
    <w:rsid w:val="00134EB8"/>
    <w:rsid w:val="00135028"/>
    <w:rsid w:val="00135199"/>
    <w:rsid w:val="001351E7"/>
    <w:rsid w:val="001353E0"/>
    <w:rsid w:val="0013547A"/>
    <w:rsid w:val="00135484"/>
    <w:rsid w:val="001356E0"/>
    <w:rsid w:val="00135727"/>
    <w:rsid w:val="001357BD"/>
    <w:rsid w:val="00135886"/>
    <w:rsid w:val="001358C7"/>
    <w:rsid w:val="00135B62"/>
    <w:rsid w:val="00135BBA"/>
    <w:rsid w:val="00135C29"/>
    <w:rsid w:val="00135CBE"/>
    <w:rsid w:val="00135DAE"/>
    <w:rsid w:val="00135E79"/>
    <w:rsid w:val="00135EEC"/>
    <w:rsid w:val="00135F13"/>
    <w:rsid w:val="00135FF8"/>
    <w:rsid w:val="001360E0"/>
    <w:rsid w:val="0013634B"/>
    <w:rsid w:val="0013637E"/>
    <w:rsid w:val="00136398"/>
    <w:rsid w:val="001364DF"/>
    <w:rsid w:val="00136596"/>
    <w:rsid w:val="001365A9"/>
    <w:rsid w:val="00136688"/>
    <w:rsid w:val="0013670F"/>
    <w:rsid w:val="0013675A"/>
    <w:rsid w:val="0013676D"/>
    <w:rsid w:val="001368B5"/>
    <w:rsid w:val="001369ED"/>
    <w:rsid w:val="00136A17"/>
    <w:rsid w:val="00136A25"/>
    <w:rsid w:val="00136A35"/>
    <w:rsid w:val="00136A45"/>
    <w:rsid w:val="00136B2B"/>
    <w:rsid w:val="00136C2C"/>
    <w:rsid w:val="00136CF3"/>
    <w:rsid w:val="00136F61"/>
    <w:rsid w:val="00137078"/>
    <w:rsid w:val="00137094"/>
    <w:rsid w:val="001371A1"/>
    <w:rsid w:val="0013734E"/>
    <w:rsid w:val="00137422"/>
    <w:rsid w:val="00137726"/>
    <w:rsid w:val="001378B1"/>
    <w:rsid w:val="001378BC"/>
    <w:rsid w:val="001379B0"/>
    <w:rsid w:val="00137A2C"/>
    <w:rsid w:val="00137AD5"/>
    <w:rsid w:val="00137AED"/>
    <w:rsid w:val="00137B40"/>
    <w:rsid w:val="00137B9F"/>
    <w:rsid w:val="00137C1C"/>
    <w:rsid w:val="00137DB3"/>
    <w:rsid w:val="00137EBF"/>
    <w:rsid w:val="00137F09"/>
    <w:rsid w:val="0014000F"/>
    <w:rsid w:val="00140156"/>
    <w:rsid w:val="00140189"/>
    <w:rsid w:val="0014023A"/>
    <w:rsid w:val="0014029D"/>
    <w:rsid w:val="001402DF"/>
    <w:rsid w:val="0014033C"/>
    <w:rsid w:val="00140502"/>
    <w:rsid w:val="00140764"/>
    <w:rsid w:val="001407C6"/>
    <w:rsid w:val="00140848"/>
    <w:rsid w:val="00140C2A"/>
    <w:rsid w:val="00140C36"/>
    <w:rsid w:val="00140C77"/>
    <w:rsid w:val="00140D23"/>
    <w:rsid w:val="00140DE1"/>
    <w:rsid w:val="00140EBD"/>
    <w:rsid w:val="00140F08"/>
    <w:rsid w:val="00140FE0"/>
    <w:rsid w:val="001410F1"/>
    <w:rsid w:val="0014115F"/>
    <w:rsid w:val="001411D2"/>
    <w:rsid w:val="0014128C"/>
    <w:rsid w:val="001412BC"/>
    <w:rsid w:val="00141313"/>
    <w:rsid w:val="00141351"/>
    <w:rsid w:val="00141581"/>
    <w:rsid w:val="0014193E"/>
    <w:rsid w:val="0014195B"/>
    <w:rsid w:val="0014196B"/>
    <w:rsid w:val="00141B40"/>
    <w:rsid w:val="00141B92"/>
    <w:rsid w:val="00141BB5"/>
    <w:rsid w:val="00141C73"/>
    <w:rsid w:val="00141D9C"/>
    <w:rsid w:val="00141E16"/>
    <w:rsid w:val="00141F9F"/>
    <w:rsid w:val="0014206D"/>
    <w:rsid w:val="00142182"/>
    <w:rsid w:val="001422CB"/>
    <w:rsid w:val="001422CC"/>
    <w:rsid w:val="001422E6"/>
    <w:rsid w:val="00142337"/>
    <w:rsid w:val="00142369"/>
    <w:rsid w:val="001423CC"/>
    <w:rsid w:val="00142490"/>
    <w:rsid w:val="001424A5"/>
    <w:rsid w:val="00142520"/>
    <w:rsid w:val="001425AA"/>
    <w:rsid w:val="00142732"/>
    <w:rsid w:val="00142B72"/>
    <w:rsid w:val="00142CD8"/>
    <w:rsid w:val="00142D75"/>
    <w:rsid w:val="00142D93"/>
    <w:rsid w:val="00142D96"/>
    <w:rsid w:val="00142E2B"/>
    <w:rsid w:val="00142EB8"/>
    <w:rsid w:val="00143033"/>
    <w:rsid w:val="00143080"/>
    <w:rsid w:val="001430D0"/>
    <w:rsid w:val="001431E6"/>
    <w:rsid w:val="00143436"/>
    <w:rsid w:val="00143733"/>
    <w:rsid w:val="001437A9"/>
    <w:rsid w:val="001437BA"/>
    <w:rsid w:val="001437C3"/>
    <w:rsid w:val="001437C8"/>
    <w:rsid w:val="00143837"/>
    <w:rsid w:val="0014398F"/>
    <w:rsid w:val="00143A16"/>
    <w:rsid w:val="00143A4B"/>
    <w:rsid w:val="00143A93"/>
    <w:rsid w:val="00143B7B"/>
    <w:rsid w:val="00143C2A"/>
    <w:rsid w:val="00143CAE"/>
    <w:rsid w:val="00143CD9"/>
    <w:rsid w:val="00143D0C"/>
    <w:rsid w:val="00143D41"/>
    <w:rsid w:val="00143DCA"/>
    <w:rsid w:val="00143EAA"/>
    <w:rsid w:val="00143F9C"/>
    <w:rsid w:val="00143F9D"/>
    <w:rsid w:val="00144118"/>
    <w:rsid w:val="001441A8"/>
    <w:rsid w:val="00144232"/>
    <w:rsid w:val="0014423C"/>
    <w:rsid w:val="0014427E"/>
    <w:rsid w:val="00144457"/>
    <w:rsid w:val="0014456F"/>
    <w:rsid w:val="001445C1"/>
    <w:rsid w:val="0014471C"/>
    <w:rsid w:val="00144775"/>
    <w:rsid w:val="001447B5"/>
    <w:rsid w:val="00144865"/>
    <w:rsid w:val="00144899"/>
    <w:rsid w:val="00144A2D"/>
    <w:rsid w:val="00144A7C"/>
    <w:rsid w:val="00144C99"/>
    <w:rsid w:val="00144D0C"/>
    <w:rsid w:val="00144D95"/>
    <w:rsid w:val="00144EC6"/>
    <w:rsid w:val="00144F49"/>
    <w:rsid w:val="00144FAA"/>
    <w:rsid w:val="001450E1"/>
    <w:rsid w:val="0014523F"/>
    <w:rsid w:val="00145307"/>
    <w:rsid w:val="001454DC"/>
    <w:rsid w:val="001454E5"/>
    <w:rsid w:val="0014564D"/>
    <w:rsid w:val="00145822"/>
    <w:rsid w:val="00145903"/>
    <w:rsid w:val="00145B15"/>
    <w:rsid w:val="00145BEE"/>
    <w:rsid w:val="00145DDC"/>
    <w:rsid w:val="00145EC9"/>
    <w:rsid w:val="00145F7F"/>
    <w:rsid w:val="001461C7"/>
    <w:rsid w:val="00146421"/>
    <w:rsid w:val="00146586"/>
    <w:rsid w:val="001465E2"/>
    <w:rsid w:val="00146649"/>
    <w:rsid w:val="001466B8"/>
    <w:rsid w:val="00146700"/>
    <w:rsid w:val="0014679D"/>
    <w:rsid w:val="001468A2"/>
    <w:rsid w:val="00146A65"/>
    <w:rsid w:val="00146A66"/>
    <w:rsid w:val="00146A93"/>
    <w:rsid w:val="00146B1B"/>
    <w:rsid w:val="00146B2F"/>
    <w:rsid w:val="00146B68"/>
    <w:rsid w:val="00146DCD"/>
    <w:rsid w:val="00146E12"/>
    <w:rsid w:val="00146E29"/>
    <w:rsid w:val="00146EA2"/>
    <w:rsid w:val="00146F3F"/>
    <w:rsid w:val="00146F9D"/>
    <w:rsid w:val="00147008"/>
    <w:rsid w:val="0014785B"/>
    <w:rsid w:val="001478F3"/>
    <w:rsid w:val="00147B25"/>
    <w:rsid w:val="00147B52"/>
    <w:rsid w:val="00147BAB"/>
    <w:rsid w:val="00147CF0"/>
    <w:rsid w:val="00147D55"/>
    <w:rsid w:val="00147F8D"/>
    <w:rsid w:val="00147FC8"/>
    <w:rsid w:val="00147FCA"/>
    <w:rsid w:val="0014DBB0"/>
    <w:rsid w:val="0015002E"/>
    <w:rsid w:val="0015007B"/>
    <w:rsid w:val="00150166"/>
    <w:rsid w:val="00150284"/>
    <w:rsid w:val="0015046D"/>
    <w:rsid w:val="001505B0"/>
    <w:rsid w:val="001505F0"/>
    <w:rsid w:val="001506FE"/>
    <w:rsid w:val="0015070D"/>
    <w:rsid w:val="0015079F"/>
    <w:rsid w:val="001507E1"/>
    <w:rsid w:val="00150930"/>
    <w:rsid w:val="0015097D"/>
    <w:rsid w:val="00150981"/>
    <w:rsid w:val="00150983"/>
    <w:rsid w:val="00150994"/>
    <w:rsid w:val="00150A24"/>
    <w:rsid w:val="00150B08"/>
    <w:rsid w:val="00150C1E"/>
    <w:rsid w:val="00150C6B"/>
    <w:rsid w:val="00150DF2"/>
    <w:rsid w:val="00150E41"/>
    <w:rsid w:val="00150F2E"/>
    <w:rsid w:val="00151036"/>
    <w:rsid w:val="001510A5"/>
    <w:rsid w:val="001511FE"/>
    <w:rsid w:val="0015128C"/>
    <w:rsid w:val="001512F2"/>
    <w:rsid w:val="0015133B"/>
    <w:rsid w:val="00151360"/>
    <w:rsid w:val="001513A3"/>
    <w:rsid w:val="00151428"/>
    <w:rsid w:val="0015150B"/>
    <w:rsid w:val="001516F3"/>
    <w:rsid w:val="001517C9"/>
    <w:rsid w:val="00151966"/>
    <w:rsid w:val="001519E0"/>
    <w:rsid w:val="001519F9"/>
    <w:rsid w:val="00151AF8"/>
    <w:rsid w:val="00151BAD"/>
    <w:rsid w:val="00151BF6"/>
    <w:rsid w:val="00151C75"/>
    <w:rsid w:val="00151CBD"/>
    <w:rsid w:val="00151E45"/>
    <w:rsid w:val="001521E2"/>
    <w:rsid w:val="0015221C"/>
    <w:rsid w:val="00152365"/>
    <w:rsid w:val="0015239D"/>
    <w:rsid w:val="0015242F"/>
    <w:rsid w:val="0015243F"/>
    <w:rsid w:val="001524B7"/>
    <w:rsid w:val="0015255E"/>
    <w:rsid w:val="001525C7"/>
    <w:rsid w:val="001525DE"/>
    <w:rsid w:val="0015264A"/>
    <w:rsid w:val="001526B3"/>
    <w:rsid w:val="00152874"/>
    <w:rsid w:val="001528EA"/>
    <w:rsid w:val="001529A4"/>
    <w:rsid w:val="00152AB7"/>
    <w:rsid w:val="00152AD5"/>
    <w:rsid w:val="00152AF5"/>
    <w:rsid w:val="00152B03"/>
    <w:rsid w:val="00152C13"/>
    <w:rsid w:val="00152C74"/>
    <w:rsid w:val="00152D04"/>
    <w:rsid w:val="00152EBF"/>
    <w:rsid w:val="00152F36"/>
    <w:rsid w:val="00152FDF"/>
    <w:rsid w:val="00153083"/>
    <w:rsid w:val="001530E0"/>
    <w:rsid w:val="0015325F"/>
    <w:rsid w:val="0015328D"/>
    <w:rsid w:val="001532FE"/>
    <w:rsid w:val="0015337E"/>
    <w:rsid w:val="001533AF"/>
    <w:rsid w:val="00153597"/>
    <w:rsid w:val="0015359D"/>
    <w:rsid w:val="0015360A"/>
    <w:rsid w:val="00153687"/>
    <w:rsid w:val="00153695"/>
    <w:rsid w:val="00153702"/>
    <w:rsid w:val="00153754"/>
    <w:rsid w:val="0015376E"/>
    <w:rsid w:val="00153860"/>
    <w:rsid w:val="001538FB"/>
    <w:rsid w:val="00153963"/>
    <w:rsid w:val="00153A91"/>
    <w:rsid w:val="00153AEA"/>
    <w:rsid w:val="00154015"/>
    <w:rsid w:val="0015402A"/>
    <w:rsid w:val="001540DC"/>
    <w:rsid w:val="00154443"/>
    <w:rsid w:val="00154454"/>
    <w:rsid w:val="00154479"/>
    <w:rsid w:val="001545AC"/>
    <w:rsid w:val="001545C8"/>
    <w:rsid w:val="001545E3"/>
    <w:rsid w:val="00154702"/>
    <w:rsid w:val="0015474F"/>
    <w:rsid w:val="0015477F"/>
    <w:rsid w:val="001547F4"/>
    <w:rsid w:val="00154B2E"/>
    <w:rsid w:val="00154B8D"/>
    <w:rsid w:val="00154C0A"/>
    <w:rsid w:val="00154D2A"/>
    <w:rsid w:val="00154D7D"/>
    <w:rsid w:val="00154DAD"/>
    <w:rsid w:val="00154FCD"/>
    <w:rsid w:val="001550EC"/>
    <w:rsid w:val="0015515B"/>
    <w:rsid w:val="0015517F"/>
    <w:rsid w:val="0015519D"/>
    <w:rsid w:val="00155282"/>
    <w:rsid w:val="001552F0"/>
    <w:rsid w:val="001553BA"/>
    <w:rsid w:val="001556A6"/>
    <w:rsid w:val="001556C5"/>
    <w:rsid w:val="00155BFF"/>
    <w:rsid w:val="00155C5E"/>
    <w:rsid w:val="00155D94"/>
    <w:rsid w:val="00155EB8"/>
    <w:rsid w:val="00155F1C"/>
    <w:rsid w:val="0015620D"/>
    <w:rsid w:val="00156662"/>
    <w:rsid w:val="001566C7"/>
    <w:rsid w:val="00156A56"/>
    <w:rsid w:val="00156AE2"/>
    <w:rsid w:val="00156B43"/>
    <w:rsid w:val="00156BCD"/>
    <w:rsid w:val="00156C5D"/>
    <w:rsid w:val="00156D45"/>
    <w:rsid w:val="00156E2C"/>
    <w:rsid w:val="00156F4F"/>
    <w:rsid w:val="0015702C"/>
    <w:rsid w:val="001571BF"/>
    <w:rsid w:val="0015725F"/>
    <w:rsid w:val="0015735D"/>
    <w:rsid w:val="00157455"/>
    <w:rsid w:val="001574A3"/>
    <w:rsid w:val="001575B3"/>
    <w:rsid w:val="001576E3"/>
    <w:rsid w:val="00157803"/>
    <w:rsid w:val="00157925"/>
    <w:rsid w:val="00157AA6"/>
    <w:rsid w:val="00157C3F"/>
    <w:rsid w:val="00157C7D"/>
    <w:rsid w:val="00157D66"/>
    <w:rsid w:val="001600FE"/>
    <w:rsid w:val="00160103"/>
    <w:rsid w:val="0016014D"/>
    <w:rsid w:val="001601CA"/>
    <w:rsid w:val="0016021B"/>
    <w:rsid w:val="001602AE"/>
    <w:rsid w:val="00160443"/>
    <w:rsid w:val="00160503"/>
    <w:rsid w:val="001606A6"/>
    <w:rsid w:val="0016076E"/>
    <w:rsid w:val="001607AF"/>
    <w:rsid w:val="001607B1"/>
    <w:rsid w:val="001608FF"/>
    <w:rsid w:val="00160A74"/>
    <w:rsid w:val="00160BD0"/>
    <w:rsid w:val="00160D9F"/>
    <w:rsid w:val="00160E58"/>
    <w:rsid w:val="001610B8"/>
    <w:rsid w:val="0016119C"/>
    <w:rsid w:val="00161269"/>
    <w:rsid w:val="0016127E"/>
    <w:rsid w:val="00161404"/>
    <w:rsid w:val="001614E2"/>
    <w:rsid w:val="00161587"/>
    <w:rsid w:val="0016158E"/>
    <w:rsid w:val="001616BD"/>
    <w:rsid w:val="00161769"/>
    <w:rsid w:val="00161821"/>
    <w:rsid w:val="00161826"/>
    <w:rsid w:val="0016185A"/>
    <w:rsid w:val="0016189A"/>
    <w:rsid w:val="001618CE"/>
    <w:rsid w:val="001619A8"/>
    <w:rsid w:val="00161A07"/>
    <w:rsid w:val="00161CCC"/>
    <w:rsid w:val="00161D60"/>
    <w:rsid w:val="00161E57"/>
    <w:rsid w:val="00161F04"/>
    <w:rsid w:val="0016202B"/>
    <w:rsid w:val="001620F4"/>
    <w:rsid w:val="001621EE"/>
    <w:rsid w:val="00162236"/>
    <w:rsid w:val="001622F8"/>
    <w:rsid w:val="0016235D"/>
    <w:rsid w:val="00162387"/>
    <w:rsid w:val="00162410"/>
    <w:rsid w:val="00162450"/>
    <w:rsid w:val="00162468"/>
    <w:rsid w:val="0016253D"/>
    <w:rsid w:val="00162728"/>
    <w:rsid w:val="0016282C"/>
    <w:rsid w:val="0016283C"/>
    <w:rsid w:val="00162859"/>
    <w:rsid w:val="001628C3"/>
    <w:rsid w:val="001629A3"/>
    <w:rsid w:val="001629FE"/>
    <w:rsid w:val="00162A69"/>
    <w:rsid w:val="00162A6A"/>
    <w:rsid w:val="00162AB5"/>
    <w:rsid w:val="00162AE3"/>
    <w:rsid w:val="00162B43"/>
    <w:rsid w:val="00162BEA"/>
    <w:rsid w:val="00162C71"/>
    <w:rsid w:val="00162D28"/>
    <w:rsid w:val="00162DCA"/>
    <w:rsid w:val="00162E51"/>
    <w:rsid w:val="00162ECB"/>
    <w:rsid w:val="00162F1B"/>
    <w:rsid w:val="00162F23"/>
    <w:rsid w:val="001631A7"/>
    <w:rsid w:val="001633E0"/>
    <w:rsid w:val="001633F2"/>
    <w:rsid w:val="001634EB"/>
    <w:rsid w:val="001635D8"/>
    <w:rsid w:val="0016360D"/>
    <w:rsid w:val="001636A1"/>
    <w:rsid w:val="00163743"/>
    <w:rsid w:val="0016384D"/>
    <w:rsid w:val="001638A1"/>
    <w:rsid w:val="001638F1"/>
    <w:rsid w:val="00163931"/>
    <w:rsid w:val="00163AC7"/>
    <w:rsid w:val="00163AF5"/>
    <w:rsid w:val="00163C46"/>
    <w:rsid w:val="00163C55"/>
    <w:rsid w:val="00163D9E"/>
    <w:rsid w:val="00163EE0"/>
    <w:rsid w:val="001640B1"/>
    <w:rsid w:val="001640E8"/>
    <w:rsid w:val="001644B6"/>
    <w:rsid w:val="00164608"/>
    <w:rsid w:val="0016460C"/>
    <w:rsid w:val="00164682"/>
    <w:rsid w:val="00164689"/>
    <w:rsid w:val="001647CA"/>
    <w:rsid w:val="001647DC"/>
    <w:rsid w:val="00164889"/>
    <w:rsid w:val="001649E7"/>
    <w:rsid w:val="00164B5B"/>
    <w:rsid w:val="00164D3A"/>
    <w:rsid w:val="00164D3B"/>
    <w:rsid w:val="00164D61"/>
    <w:rsid w:val="00164DD9"/>
    <w:rsid w:val="00164E3D"/>
    <w:rsid w:val="00164E87"/>
    <w:rsid w:val="00164F1A"/>
    <w:rsid w:val="00164F85"/>
    <w:rsid w:val="0016503A"/>
    <w:rsid w:val="00165536"/>
    <w:rsid w:val="001656E6"/>
    <w:rsid w:val="0016576E"/>
    <w:rsid w:val="00165AC3"/>
    <w:rsid w:val="00165B01"/>
    <w:rsid w:val="00165BFD"/>
    <w:rsid w:val="00165C70"/>
    <w:rsid w:val="00165D1F"/>
    <w:rsid w:val="00165D22"/>
    <w:rsid w:val="00165E2D"/>
    <w:rsid w:val="00165E3B"/>
    <w:rsid w:val="00165F3F"/>
    <w:rsid w:val="0016604B"/>
    <w:rsid w:val="00166050"/>
    <w:rsid w:val="0016611B"/>
    <w:rsid w:val="00166209"/>
    <w:rsid w:val="001662C3"/>
    <w:rsid w:val="001663D9"/>
    <w:rsid w:val="00166466"/>
    <w:rsid w:val="0016647A"/>
    <w:rsid w:val="0016648F"/>
    <w:rsid w:val="00166588"/>
    <w:rsid w:val="001665A1"/>
    <w:rsid w:val="00166626"/>
    <w:rsid w:val="001666B1"/>
    <w:rsid w:val="00166730"/>
    <w:rsid w:val="00166785"/>
    <w:rsid w:val="00166865"/>
    <w:rsid w:val="00166870"/>
    <w:rsid w:val="001669A6"/>
    <w:rsid w:val="001669BA"/>
    <w:rsid w:val="00166C69"/>
    <w:rsid w:val="00166E7D"/>
    <w:rsid w:val="00166EC6"/>
    <w:rsid w:val="00166F5F"/>
    <w:rsid w:val="00166FFD"/>
    <w:rsid w:val="00167073"/>
    <w:rsid w:val="0016710B"/>
    <w:rsid w:val="00167175"/>
    <w:rsid w:val="0016725E"/>
    <w:rsid w:val="0016728E"/>
    <w:rsid w:val="00167367"/>
    <w:rsid w:val="001677F9"/>
    <w:rsid w:val="001678A3"/>
    <w:rsid w:val="00167C35"/>
    <w:rsid w:val="00167D22"/>
    <w:rsid w:val="00167D55"/>
    <w:rsid w:val="00167F20"/>
    <w:rsid w:val="0017004F"/>
    <w:rsid w:val="001703EE"/>
    <w:rsid w:val="00170459"/>
    <w:rsid w:val="00170864"/>
    <w:rsid w:val="00170940"/>
    <w:rsid w:val="00170A33"/>
    <w:rsid w:val="00170B4B"/>
    <w:rsid w:val="00170B56"/>
    <w:rsid w:val="00170B87"/>
    <w:rsid w:val="00170B9E"/>
    <w:rsid w:val="00170D0C"/>
    <w:rsid w:val="00170D63"/>
    <w:rsid w:val="00170DB2"/>
    <w:rsid w:val="00170F4A"/>
    <w:rsid w:val="00170FA7"/>
    <w:rsid w:val="001710DC"/>
    <w:rsid w:val="0017114E"/>
    <w:rsid w:val="00171223"/>
    <w:rsid w:val="001712D5"/>
    <w:rsid w:val="001715CF"/>
    <w:rsid w:val="001715EF"/>
    <w:rsid w:val="00171785"/>
    <w:rsid w:val="0017187E"/>
    <w:rsid w:val="001718BC"/>
    <w:rsid w:val="00171A9C"/>
    <w:rsid w:val="00171B58"/>
    <w:rsid w:val="00171B87"/>
    <w:rsid w:val="00171BAE"/>
    <w:rsid w:val="00171D21"/>
    <w:rsid w:val="00171DAE"/>
    <w:rsid w:val="00171DD1"/>
    <w:rsid w:val="00171E4A"/>
    <w:rsid w:val="00171E72"/>
    <w:rsid w:val="00172013"/>
    <w:rsid w:val="001720DE"/>
    <w:rsid w:val="00172121"/>
    <w:rsid w:val="001722BF"/>
    <w:rsid w:val="00172369"/>
    <w:rsid w:val="0017252A"/>
    <w:rsid w:val="0017267E"/>
    <w:rsid w:val="001726D5"/>
    <w:rsid w:val="0017272E"/>
    <w:rsid w:val="0017289D"/>
    <w:rsid w:val="001728B1"/>
    <w:rsid w:val="001729B3"/>
    <w:rsid w:val="00172A1E"/>
    <w:rsid w:val="00172A2E"/>
    <w:rsid w:val="00172D13"/>
    <w:rsid w:val="00172D9F"/>
    <w:rsid w:val="00172E9B"/>
    <w:rsid w:val="00172EF2"/>
    <w:rsid w:val="00172F72"/>
    <w:rsid w:val="00173012"/>
    <w:rsid w:val="0017308E"/>
    <w:rsid w:val="0017308F"/>
    <w:rsid w:val="0017313D"/>
    <w:rsid w:val="001731B0"/>
    <w:rsid w:val="001732A9"/>
    <w:rsid w:val="00173466"/>
    <w:rsid w:val="00173493"/>
    <w:rsid w:val="00173544"/>
    <w:rsid w:val="00173914"/>
    <w:rsid w:val="00173A65"/>
    <w:rsid w:val="00173A6C"/>
    <w:rsid w:val="00173AAD"/>
    <w:rsid w:val="00173C9D"/>
    <w:rsid w:val="00173DA3"/>
    <w:rsid w:val="00173DBF"/>
    <w:rsid w:val="00173DD2"/>
    <w:rsid w:val="00173E2C"/>
    <w:rsid w:val="0017405E"/>
    <w:rsid w:val="001741BB"/>
    <w:rsid w:val="00174204"/>
    <w:rsid w:val="001743DF"/>
    <w:rsid w:val="0017444B"/>
    <w:rsid w:val="00174499"/>
    <w:rsid w:val="00174546"/>
    <w:rsid w:val="00174562"/>
    <w:rsid w:val="00174575"/>
    <w:rsid w:val="00174768"/>
    <w:rsid w:val="001747D8"/>
    <w:rsid w:val="001748D4"/>
    <w:rsid w:val="00174917"/>
    <w:rsid w:val="00174A10"/>
    <w:rsid w:val="00174A6E"/>
    <w:rsid w:val="00174ADF"/>
    <w:rsid w:val="00174B39"/>
    <w:rsid w:val="00174B47"/>
    <w:rsid w:val="00174BC2"/>
    <w:rsid w:val="00174C09"/>
    <w:rsid w:val="00174C3B"/>
    <w:rsid w:val="00174D3C"/>
    <w:rsid w:val="00174D88"/>
    <w:rsid w:val="00174F1A"/>
    <w:rsid w:val="00174F29"/>
    <w:rsid w:val="00175149"/>
    <w:rsid w:val="00175172"/>
    <w:rsid w:val="00175282"/>
    <w:rsid w:val="00175417"/>
    <w:rsid w:val="00175538"/>
    <w:rsid w:val="001755BF"/>
    <w:rsid w:val="00175650"/>
    <w:rsid w:val="0017570F"/>
    <w:rsid w:val="00175744"/>
    <w:rsid w:val="00175772"/>
    <w:rsid w:val="00175985"/>
    <w:rsid w:val="001759BE"/>
    <w:rsid w:val="001759C2"/>
    <w:rsid w:val="00175A36"/>
    <w:rsid w:val="00175B42"/>
    <w:rsid w:val="00175C88"/>
    <w:rsid w:val="00175CDC"/>
    <w:rsid w:val="00175D20"/>
    <w:rsid w:val="00175F3A"/>
    <w:rsid w:val="00176090"/>
    <w:rsid w:val="001760C8"/>
    <w:rsid w:val="0017616B"/>
    <w:rsid w:val="0017623C"/>
    <w:rsid w:val="00176328"/>
    <w:rsid w:val="0017637C"/>
    <w:rsid w:val="001765C3"/>
    <w:rsid w:val="001765EC"/>
    <w:rsid w:val="001765F5"/>
    <w:rsid w:val="00176700"/>
    <w:rsid w:val="00176728"/>
    <w:rsid w:val="00176738"/>
    <w:rsid w:val="0017683C"/>
    <w:rsid w:val="001768DA"/>
    <w:rsid w:val="00176A6F"/>
    <w:rsid w:val="00176AF4"/>
    <w:rsid w:val="00176BA2"/>
    <w:rsid w:val="00176CE1"/>
    <w:rsid w:val="00176CE6"/>
    <w:rsid w:val="00176F0A"/>
    <w:rsid w:val="00176F4C"/>
    <w:rsid w:val="00176F58"/>
    <w:rsid w:val="00176FCC"/>
    <w:rsid w:val="0017705C"/>
    <w:rsid w:val="00177066"/>
    <w:rsid w:val="001771BF"/>
    <w:rsid w:val="0017729B"/>
    <w:rsid w:val="0017729F"/>
    <w:rsid w:val="00177315"/>
    <w:rsid w:val="0017731E"/>
    <w:rsid w:val="00177327"/>
    <w:rsid w:val="00177581"/>
    <w:rsid w:val="0017763B"/>
    <w:rsid w:val="0017781D"/>
    <w:rsid w:val="0017791E"/>
    <w:rsid w:val="001779F7"/>
    <w:rsid w:val="00177AAB"/>
    <w:rsid w:val="00177BAB"/>
    <w:rsid w:val="00177E12"/>
    <w:rsid w:val="00177F0C"/>
    <w:rsid w:val="00177F54"/>
    <w:rsid w:val="00177FA5"/>
    <w:rsid w:val="00180071"/>
    <w:rsid w:val="00180096"/>
    <w:rsid w:val="001800F4"/>
    <w:rsid w:val="00180148"/>
    <w:rsid w:val="0018022B"/>
    <w:rsid w:val="00180288"/>
    <w:rsid w:val="0018032D"/>
    <w:rsid w:val="001803CC"/>
    <w:rsid w:val="00180515"/>
    <w:rsid w:val="00180581"/>
    <w:rsid w:val="001805EA"/>
    <w:rsid w:val="001806B2"/>
    <w:rsid w:val="001808A3"/>
    <w:rsid w:val="001808D6"/>
    <w:rsid w:val="0018097E"/>
    <w:rsid w:val="001809D2"/>
    <w:rsid w:val="00180A1F"/>
    <w:rsid w:val="00180ADA"/>
    <w:rsid w:val="00180B16"/>
    <w:rsid w:val="00180B2F"/>
    <w:rsid w:val="00180B83"/>
    <w:rsid w:val="00180B85"/>
    <w:rsid w:val="00180D3D"/>
    <w:rsid w:val="00180D3F"/>
    <w:rsid w:val="00180E1E"/>
    <w:rsid w:val="00181071"/>
    <w:rsid w:val="001810FC"/>
    <w:rsid w:val="0018119F"/>
    <w:rsid w:val="001811ED"/>
    <w:rsid w:val="0018126F"/>
    <w:rsid w:val="0018134D"/>
    <w:rsid w:val="00181368"/>
    <w:rsid w:val="0018164D"/>
    <w:rsid w:val="0018170E"/>
    <w:rsid w:val="0018170F"/>
    <w:rsid w:val="00181738"/>
    <w:rsid w:val="001817A1"/>
    <w:rsid w:val="001817B2"/>
    <w:rsid w:val="0018199C"/>
    <w:rsid w:val="00181C0D"/>
    <w:rsid w:val="00181E34"/>
    <w:rsid w:val="00182012"/>
    <w:rsid w:val="0018244A"/>
    <w:rsid w:val="001824DF"/>
    <w:rsid w:val="00182667"/>
    <w:rsid w:val="001827BC"/>
    <w:rsid w:val="001828CD"/>
    <w:rsid w:val="00182C6B"/>
    <w:rsid w:val="00182CB9"/>
    <w:rsid w:val="00182E03"/>
    <w:rsid w:val="00182E41"/>
    <w:rsid w:val="00182E62"/>
    <w:rsid w:val="00182F7B"/>
    <w:rsid w:val="00182F9C"/>
    <w:rsid w:val="00183079"/>
    <w:rsid w:val="0018333B"/>
    <w:rsid w:val="001833DF"/>
    <w:rsid w:val="001834B7"/>
    <w:rsid w:val="00183651"/>
    <w:rsid w:val="001836C4"/>
    <w:rsid w:val="001838D3"/>
    <w:rsid w:val="001839E8"/>
    <w:rsid w:val="00183A33"/>
    <w:rsid w:val="00183C7C"/>
    <w:rsid w:val="00183DAE"/>
    <w:rsid w:val="00183E18"/>
    <w:rsid w:val="00183E1D"/>
    <w:rsid w:val="00183E2C"/>
    <w:rsid w:val="00183F16"/>
    <w:rsid w:val="00183F8C"/>
    <w:rsid w:val="00183FC9"/>
    <w:rsid w:val="00184070"/>
    <w:rsid w:val="00184176"/>
    <w:rsid w:val="001841FE"/>
    <w:rsid w:val="001843EC"/>
    <w:rsid w:val="00184770"/>
    <w:rsid w:val="001847FA"/>
    <w:rsid w:val="00184858"/>
    <w:rsid w:val="0018488C"/>
    <w:rsid w:val="00184ABB"/>
    <w:rsid w:val="00184B27"/>
    <w:rsid w:val="00184B72"/>
    <w:rsid w:val="00184BA0"/>
    <w:rsid w:val="00184C7B"/>
    <w:rsid w:val="00184CE4"/>
    <w:rsid w:val="00184D58"/>
    <w:rsid w:val="00184D59"/>
    <w:rsid w:val="00184D92"/>
    <w:rsid w:val="00184DF1"/>
    <w:rsid w:val="00184E7F"/>
    <w:rsid w:val="00184F4D"/>
    <w:rsid w:val="00184FFD"/>
    <w:rsid w:val="00185015"/>
    <w:rsid w:val="00185074"/>
    <w:rsid w:val="001852B9"/>
    <w:rsid w:val="00185349"/>
    <w:rsid w:val="001853EF"/>
    <w:rsid w:val="00185464"/>
    <w:rsid w:val="001854D6"/>
    <w:rsid w:val="0018556D"/>
    <w:rsid w:val="001855D2"/>
    <w:rsid w:val="0018565C"/>
    <w:rsid w:val="0018571B"/>
    <w:rsid w:val="00185859"/>
    <w:rsid w:val="001859A7"/>
    <w:rsid w:val="001859D5"/>
    <w:rsid w:val="001859EC"/>
    <w:rsid w:val="00185A35"/>
    <w:rsid w:val="00185A79"/>
    <w:rsid w:val="00185D71"/>
    <w:rsid w:val="00185DE3"/>
    <w:rsid w:val="00185E27"/>
    <w:rsid w:val="00185EE0"/>
    <w:rsid w:val="00186041"/>
    <w:rsid w:val="00186080"/>
    <w:rsid w:val="001861BC"/>
    <w:rsid w:val="00186328"/>
    <w:rsid w:val="001864A8"/>
    <w:rsid w:val="00186571"/>
    <w:rsid w:val="001865B9"/>
    <w:rsid w:val="0018663B"/>
    <w:rsid w:val="00186648"/>
    <w:rsid w:val="00186710"/>
    <w:rsid w:val="00186769"/>
    <w:rsid w:val="00186996"/>
    <w:rsid w:val="00186A07"/>
    <w:rsid w:val="00186AD2"/>
    <w:rsid w:val="00186B1A"/>
    <w:rsid w:val="00186B6A"/>
    <w:rsid w:val="00186B73"/>
    <w:rsid w:val="00186C18"/>
    <w:rsid w:val="00186C77"/>
    <w:rsid w:val="00186CDB"/>
    <w:rsid w:val="00186DD3"/>
    <w:rsid w:val="00186E52"/>
    <w:rsid w:val="00186E68"/>
    <w:rsid w:val="00186E6B"/>
    <w:rsid w:val="00186EDE"/>
    <w:rsid w:val="00186F6C"/>
    <w:rsid w:val="0018708B"/>
    <w:rsid w:val="001871E9"/>
    <w:rsid w:val="00187201"/>
    <w:rsid w:val="0018724C"/>
    <w:rsid w:val="001872CD"/>
    <w:rsid w:val="00187327"/>
    <w:rsid w:val="00187349"/>
    <w:rsid w:val="00187395"/>
    <w:rsid w:val="001874BA"/>
    <w:rsid w:val="00187606"/>
    <w:rsid w:val="001878B0"/>
    <w:rsid w:val="00187953"/>
    <w:rsid w:val="001879AA"/>
    <w:rsid w:val="00187A5B"/>
    <w:rsid w:val="00187C04"/>
    <w:rsid w:val="00187C5E"/>
    <w:rsid w:val="00187D58"/>
    <w:rsid w:val="00187E5C"/>
    <w:rsid w:val="00190055"/>
    <w:rsid w:val="001900BB"/>
    <w:rsid w:val="001900BC"/>
    <w:rsid w:val="001900DD"/>
    <w:rsid w:val="001900F3"/>
    <w:rsid w:val="0019012D"/>
    <w:rsid w:val="001902A0"/>
    <w:rsid w:val="00190351"/>
    <w:rsid w:val="00190499"/>
    <w:rsid w:val="001904CB"/>
    <w:rsid w:val="001904D4"/>
    <w:rsid w:val="001905B2"/>
    <w:rsid w:val="0019069F"/>
    <w:rsid w:val="00190731"/>
    <w:rsid w:val="00190783"/>
    <w:rsid w:val="001908D4"/>
    <w:rsid w:val="00190B2F"/>
    <w:rsid w:val="00190C08"/>
    <w:rsid w:val="00190C21"/>
    <w:rsid w:val="00190C49"/>
    <w:rsid w:val="00190C5B"/>
    <w:rsid w:val="00190F1C"/>
    <w:rsid w:val="00190F4A"/>
    <w:rsid w:val="001910E4"/>
    <w:rsid w:val="0019118C"/>
    <w:rsid w:val="001911E6"/>
    <w:rsid w:val="0019144A"/>
    <w:rsid w:val="00191495"/>
    <w:rsid w:val="00191525"/>
    <w:rsid w:val="00191583"/>
    <w:rsid w:val="00191665"/>
    <w:rsid w:val="00191670"/>
    <w:rsid w:val="001916C4"/>
    <w:rsid w:val="00191785"/>
    <w:rsid w:val="001918FB"/>
    <w:rsid w:val="00191D6E"/>
    <w:rsid w:val="00191F14"/>
    <w:rsid w:val="00191FD2"/>
    <w:rsid w:val="00192077"/>
    <w:rsid w:val="00192095"/>
    <w:rsid w:val="0019219E"/>
    <w:rsid w:val="0019222E"/>
    <w:rsid w:val="00192235"/>
    <w:rsid w:val="001922EF"/>
    <w:rsid w:val="00192370"/>
    <w:rsid w:val="001924CF"/>
    <w:rsid w:val="0019258D"/>
    <w:rsid w:val="001927A4"/>
    <w:rsid w:val="0019283D"/>
    <w:rsid w:val="00192A14"/>
    <w:rsid w:val="00192A16"/>
    <w:rsid w:val="00192A2F"/>
    <w:rsid w:val="00192CDC"/>
    <w:rsid w:val="00192CDD"/>
    <w:rsid w:val="00192D4A"/>
    <w:rsid w:val="00192E52"/>
    <w:rsid w:val="00192EBC"/>
    <w:rsid w:val="00192EDC"/>
    <w:rsid w:val="00192F3C"/>
    <w:rsid w:val="00192FED"/>
    <w:rsid w:val="00193006"/>
    <w:rsid w:val="0019302A"/>
    <w:rsid w:val="0019313A"/>
    <w:rsid w:val="0019313B"/>
    <w:rsid w:val="00193143"/>
    <w:rsid w:val="001931E4"/>
    <w:rsid w:val="001931E7"/>
    <w:rsid w:val="001931F1"/>
    <w:rsid w:val="001932B1"/>
    <w:rsid w:val="00193764"/>
    <w:rsid w:val="001937B5"/>
    <w:rsid w:val="001938A6"/>
    <w:rsid w:val="00193B13"/>
    <w:rsid w:val="00193BBC"/>
    <w:rsid w:val="00193CAB"/>
    <w:rsid w:val="00193D63"/>
    <w:rsid w:val="00193EF2"/>
    <w:rsid w:val="00193F43"/>
    <w:rsid w:val="001940C7"/>
    <w:rsid w:val="00194267"/>
    <w:rsid w:val="00194539"/>
    <w:rsid w:val="001945AA"/>
    <w:rsid w:val="001945AF"/>
    <w:rsid w:val="001945E5"/>
    <w:rsid w:val="001946DB"/>
    <w:rsid w:val="00194824"/>
    <w:rsid w:val="001948E0"/>
    <w:rsid w:val="00194C76"/>
    <w:rsid w:val="00194CA4"/>
    <w:rsid w:val="00195052"/>
    <w:rsid w:val="00195267"/>
    <w:rsid w:val="00195294"/>
    <w:rsid w:val="0019531F"/>
    <w:rsid w:val="001954DB"/>
    <w:rsid w:val="0019554A"/>
    <w:rsid w:val="00195598"/>
    <w:rsid w:val="001957F6"/>
    <w:rsid w:val="0019590C"/>
    <w:rsid w:val="00195C29"/>
    <w:rsid w:val="00195C63"/>
    <w:rsid w:val="00195C97"/>
    <w:rsid w:val="00195CC4"/>
    <w:rsid w:val="00195EA6"/>
    <w:rsid w:val="00195EFB"/>
    <w:rsid w:val="00196284"/>
    <w:rsid w:val="00196425"/>
    <w:rsid w:val="00196496"/>
    <w:rsid w:val="00196514"/>
    <w:rsid w:val="00196530"/>
    <w:rsid w:val="001965D9"/>
    <w:rsid w:val="001965DC"/>
    <w:rsid w:val="0019670E"/>
    <w:rsid w:val="001967C8"/>
    <w:rsid w:val="00196B8A"/>
    <w:rsid w:val="00196DA7"/>
    <w:rsid w:val="00196E3E"/>
    <w:rsid w:val="00196F5D"/>
    <w:rsid w:val="00197073"/>
    <w:rsid w:val="00197107"/>
    <w:rsid w:val="00197330"/>
    <w:rsid w:val="001975D0"/>
    <w:rsid w:val="00197673"/>
    <w:rsid w:val="001977F6"/>
    <w:rsid w:val="00197939"/>
    <w:rsid w:val="00197A71"/>
    <w:rsid w:val="00197A80"/>
    <w:rsid w:val="00197AAD"/>
    <w:rsid w:val="00197C9A"/>
    <w:rsid w:val="00197CC8"/>
    <w:rsid w:val="00197D3B"/>
    <w:rsid w:val="00197F1A"/>
    <w:rsid w:val="00197F60"/>
    <w:rsid w:val="00197FAC"/>
    <w:rsid w:val="00198F2D"/>
    <w:rsid w:val="001A0071"/>
    <w:rsid w:val="001A00F9"/>
    <w:rsid w:val="001A0132"/>
    <w:rsid w:val="001A0192"/>
    <w:rsid w:val="001A0194"/>
    <w:rsid w:val="001A01B5"/>
    <w:rsid w:val="001A0362"/>
    <w:rsid w:val="001A03C2"/>
    <w:rsid w:val="001A0408"/>
    <w:rsid w:val="001A0496"/>
    <w:rsid w:val="001A0574"/>
    <w:rsid w:val="001A05E7"/>
    <w:rsid w:val="001A0608"/>
    <w:rsid w:val="001A0675"/>
    <w:rsid w:val="001A09ED"/>
    <w:rsid w:val="001A0B00"/>
    <w:rsid w:val="001A0BCC"/>
    <w:rsid w:val="001A0C63"/>
    <w:rsid w:val="001A0CB1"/>
    <w:rsid w:val="001A0F0A"/>
    <w:rsid w:val="001A0F43"/>
    <w:rsid w:val="001A12DD"/>
    <w:rsid w:val="001A13EE"/>
    <w:rsid w:val="001A1472"/>
    <w:rsid w:val="001A14D9"/>
    <w:rsid w:val="001A14E9"/>
    <w:rsid w:val="001A16EA"/>
    <w:rsid w:val="001A1838"/>
    <w:rsid w:val="001A19F0"/>
    <w:rsid w:val="001A1BD9"/>
    <w:rsid w:val="001A1C0C"/>
    <w:rsid w:val="001A1D0C"/>
    <w:rsid w:val="001A1D6C"/>
    <w:rsid w:val="001A1F04"/>
    <w:rsid w:val="001A1F1B"/>
    <w:rsid w:val="001A20D2"/>
    <w:rsid w:val="001A20F7"/>
    <w:rsid w:val="001A2108"/>
    <w:rsid w:val="001A2207"/>
    <w:rsid w:val="001A22D8"/>
    <w:rsid w:val="001A2466"/>
    <w:rsid w:val="001A24A8"/>
    <w:rsid w:val="001A267C"/>
    <w:rsid w:val="001A275B"/>
    <w:rsid w:val="001A2802"/>
    <w:rsid w:val="001A2833"/>
    <w:rsid w:val="001A28C3"/>
    <w:rsid w:val="001A2A64"/>
    <w:rsid w:val="001A2AC4"/>
    <w:rsid w:val="001A2B5D"/>
    <w:rsid w:val="001A2BBE"/>
    <w:rsid w:val="001A2D88"/>
    <w:rsid w:val="001A2E10"/>
    <w:rsid w:val="001A2E18"/>
    <w:rsid w:val="001A2E5F"/>
    <w:rsid w:val="001A2F82"/>
    <w:rsid w:val="001A2FE2"/>
    <w:rsid w:val="001A2FF5"/>
    <w:rsid w:val="001A3004"/>
    <w:rsid w:val="001A322C"/>
    <w:rsid w:val="001A3257"/>
    <w:rsid w:val="001A3327"/>
    <w:rsid w:val="001A349A"/>
    <w:rsid w:val="001A34DE"/>
    <w:rsid w:val="001A37D5"/>
    <w:rsid w:val="001A37F1"/>
    <w:rsid w:val="001A3814"/>
    <w:rsid w:val="001A38BC"/>
    <w:rsid w:val="001A3914"/>
    <w:rsid w:val="001A39BF"/>
    <w:rsid w:val="001A3A50"/>
    <w:rsid w:val="001A3DBC"/>
    <w:rsid w:val="001A3DDE"/>
    <w:rsid w:val="001A3E15"/>
    <w:rsid w:val="001A3E7E"/>
    <w:rsid w:val="001A3F23"/>
    <w:rsid w:val="001A3F6E"/>
    <w:rsid w:val="001A4134"/>
    <w:rsid w:val="001A41E9"/>
    <w:rsid w:val="001A423D"/>
    <w:rsid w:val="001A4432"/>
    <w:rsid w:val="001A4637"/>
    <w:rsid w:val="001A4791"/>
    <w:rsid w:val="001A47BF"/>
    <w:rsid w:val="001A47E7"/>
    <w:rsid w:val="001A480B"/>
    <w:rsid w:val="001A492A"/>
    <w:rsid w:val="001A49F3"/>
    <w:rsid w:val="001A4B40"/>
    <w:rsid w:val="001A4C61"/>
    <w:rsid w:val="001A4D91"/>
    <w:rsid w:val="001A4DCF"/>
    <w:rsid w:val="001A4E03"/>
    <w:rsid w:val="001A4F00"/>
    <w:rsid w:val="001A508D"/>
    <w:rsid w:val="001A50A9"/>
    <w:rsid w:val="001A50FF"/>
    <w:rsid w:val="001A5175"/>
    <w:rsid w:val="001A5207"/>
    <w:rsid w:val="001A5397"/>
    <w:rsid w:val="001A5498"/>
    <w:rsid w:val="001A5525"/>
    <w:rsid w:val="001A5776"/>
    <w:rsid w:val="001A5881"/>
    <w:rsid w:val="001A5940"/>
    <w:rsid w:val="001A5B4C"/>
    <w:rsid w:val="001A5BE2"/>
    <w:rsid w:val="001A5C3D"/>
    <w:rsid w:val="001A5C78"/>
    <w:rsid w:val="001A5E1A"/>
    <w:rsid w:val="001A5FE9"/>
    <w:rsid w:val="001A6540"/>
    <w:rsid w:val="001A6569"/>
    <w:rsid w:val="001A67D5"/>
    <w:rsid w:val="001A6820"/>
    <w:rsid w:val="001A6872"/>
    <w:rsid w:val="001A6B5D"/>
    <w:rsid w:val="001A6D45"/>
    <w:rsid w:val="001A6D46"/>
    <w:rsid w:val="001A6DB5"/>
    <w:rsid w:val="001A6E18"/>
    <w:rsid w:val="001A6E83"/>
    <w:rsid w:val="001A6E8B"/>
    <w:rsid w:val="001A6F42"/>
    <w:rsid w:val="001A6FA5"/>
    <w:rsid w:val="001A6FC9"/>
    <w:rsid w:val="001A70F8"/>
    <w:rsid w:val="001A7211"/>
    <w:rsid w:val="001A7480"/>
    <w:rsid w:val="001A74BF"/>
    <w:rsid w:val="001A7513"/>
    <w:rsid w:val="001A755C"/>
    <w:rsid w:val="001A75F4"/>
    <w:rsid w:val="001A7679"/>
    <w:rsid w:val="001A76FB"/>
    <w:rsid w:val="001A7B34"/>
    <w:rsid w:val="001A7CA8"/>
    <w:rsid w:val="001A7CE5"/>
    <w:rsid w:val="001A7D64"/>
    <w:rsid w:val="001A7DC7"/>
    <w:rsid w:val="001A7FAB"/>
    <w:rsid w:val="001AE89C"/>
    <w:rsid w:val="001B006A"/>
    <w:rsid w:val="001B007C"/>
    <w:rsid w:val="001B00D0"/>
    <w:rsid w:val="001B02C7"/>
    <w:rsid w:val="001B065E"/>
    <w:rsid w:val="001B067C"/>
    <w:rsid w:val="001B07A5"/>
    <w:rsid w:val="001B07C6"/>
    <w:rsid w:val="001B08FB"/>
    <w:rsid w:val="001B0958"/>
    <w:rsid w:val="001B095F"/>
    <w:rsid w:val="001B096C"/>
    <w:rsid w:val="001B09CE"/>
    <w:rsid w:val="001B09FC"/>
    <w:rsid w:val="001B0BB8"/>
    <w:rsid w:val="001B0DE4"/>
    <w:rsid w:val="001B0DF1"/>
    <w:rsid w:val="001B0E99"/>
    <w:rsid w:val="001B0ECE"/>
    <w:rsid w:val="001B10E7"/>
    <w:rsid w:val="001B112E"/>
    <w:rsid w:val="001B11C8"/>
    <w:rsid w:val="001B1284"/>
    <w:rsid w:val="001B1434"/>
    <w:rsid w:val="001B15B5"/>
    <w:rsid w:val="001B15D3"/>
    <w:rsid w:val="001B1620"/>
    <w:rsid w:val="001B1775"/>
    <w:rsid w:val="001B17C3"/>
    <w:rsid w:val="001B17CC"/>
    <w:rsid w:val="001B19D5"/>
    <w:rsid w:val="001B1B5A"/>
    <w:rsid w:val="001B1BD8"/>
    <w:rsid w:val="001B1FAE"/>
    <w:rsid w:val="001B2047"/>
    <w:rsid w:val="001B2183"/>
    <w:rsid w:val="001B21C8"/>
    <w:rsid w:val="001B2245"/>
    <w:rsid w:val="001B2285"/>
    <w:rsid w:val="001B22FC"/>
    <w:rsid w:val="001B230F"/>
    <w:rsid w:val="001B23D0"/>
    <w:rsid w:val="001B2448"/>
    <w:rsid w:val="001B24E0"/>
    <w:rsid w:val="001B2514"/>
    <w:rsid w:val="001B267A"/>
    <w:rsid w:val="001B269A"/>
    <w:rsid w:val="001B2746"/>
    <w:rsid w:val="001B2787"/>
    <w:rsid w:val="001B280F"/>
    <w:rsid w:val="001B2834"/>
    <w:rsid w:val="001B28C8"/>
    <w:rsid w:val="001B2978"/>
    <w:rsid w:val="001B2C3E"/>
    <w:rsid w:val="001B2C53"/>
    <w:rsid w:val="001B2CAD"/>
    <w:rsid w:val="001B2EEC"/>
    <w:rsid w:val="001B2F65"/>
    <w:rsid w:val="001B308E"/>
    <w:rsid w:val="001B324C"/>
    <w:rsid w:val="001B32E5"/>
    <w:rsid w:val="001B3327"/>
    <w:rsid w:val="001B35E9"/>
    <w:rsid w:val="001B3634"/>
    <w:rsid w:val="001B39D8"/>
    <w:rsid w:val="001B3B43"/>
    <w:rsid w:val="001B3C4E"/>
    <w:rsid w:val="001B3EEC"/>
    <w:rsid w:val="001B4076"/>
    <w:rsid w:val="001B415B"/>
    <w:rsid w:val="001B41C6"/>
    <w:rsid w:val="001B41C8"/>
    <w:rsid w:val="001B41FA"/>
    <w:rsid w:val="001B4271"/>
    <w:rsid w:val="001B4491"/>
    <w:rsid w:val="001B46BC"/>
    <w:rsid w:val="001B47B7"/>
    <w:rsid w:val="001B47CB"/>
    <w:rsid w:val="001B4800"/>
    <w:rsid w:val="001B4B07"/>
    <w:rsid w:val="001B4B92"/>
    <w:rsid w:val="001B4BBA"/>
    <w:rsid w:val="001B4C46"/>
    <w:rsid w:val="001B4D83"/>
    <w:rsid w:val="001B4F22"/>
    <w:rsid w:val="001B523E"/>
    <w:rsid w:val="001B52C1"/>
    <w:rsid w:val="001B5368"/>
    <w:rsid w:val="001B537F"/>
    <w:rsid w:val="001B539A"/>
    <w:rsid w:val="001B56BB"/>
    <w:rsid w:val="001B57F5"/>
    <w:rsid w:val="001B59ED"/>
    <w:rsid w:val="001B5B1B"/>
    <w:rsid w:val="001B5CC3"/>
    <w:rsid w:val="001B5DD4"/>
    <w:rsid w:val="001B5E38"/>
    <w:rsid w:val="001B5E96"/>
    <w:rsid w:val="001B5EAF"/>
    <w:rsid w:val="001B5F2E"/>
    <w:rsid w:val="001B5F7A"/>
    <w:rsid w:val="001B601F"/>
    <w:rsid w:val="001B60DC"/>
    <w:rsid w:val="001B627A"/>
    <w:rsid w:val="001B6351"/>
    <w:rsid w:val="001B6566"/>
    <w:rsid w:val="001B68CD"/>
    <w:rsid w:val="001B6A5B"/>
    <w:rsid w:val="001B6B48"/>
    <w:rsid w:val="001B6BA6"/>
    <w:rsid w:val="001B6C69"/>
    <w:rsid w:val="001B6F40"/>
    <w:rsid w:val="001B6F5C"/>
    <w:rsid w:val="001B6FAE"/>
    <w:rsid w:val="001B71E2"/>
    <w:rsid w:val="001B71F1"/>
    <w:rsid w:val="001B727B"/>
    <w:rsid w:val="001B739A"/>
    <w:rsid w:val="001B7475"/>
    <w:rsid w:val="001B7657"/>
    <w:rsid w:val="001B794A"/>
    <w:rsid w:val="001B7974"/>
    <w:rsid w:val="001B7A64"/>
    <w:rsid w:val="001B7AD5"/>
    <w:rsid w:val="001B7B1A"/>
    <w:rsid w:val="001B7BBF"/>
    <w:rsid w:val="001B7D1C"/>
    <w:rsid w:val="001B7D47"/>
    <w:rsid w:val="001B7E5C"/>
    <w:rsid w:val="001B7E7A"/>
    <w:rsid w:val="001B7EAE"/>
    <w:rsid w:val="001C01A3"/>
    <w:rsid w:val="001C020A"/>
    <w:rsid w:val="001C0224"/>
    <w:rsid w:val="001C02F1"/>
    <w:rsid w:val="001C0384"/>
    <w:rsid w:val="001C03EC"/>
    <w:rsid w:val="001C0467"/>
    <w:rsid w:val="001C0490"/>
    <w:rsid w:val="001C07DA"/>
    <w:rsid w:val="001C0993"/>
    <w:rsid w:val="001C0A35"/>
    <w:rsid w:val="001C0B87"/>
    <w:rsid w:val="001C0BFF"/>
    <w:rsid w:val="001C0C83"/>
    <w:rsid w:val="001C0E53"/>
    <w:rsid w:val="001C0E56"/>
    <w:rsid w:val="001C1034"/>
    <w:rsid w:val="001C10F9"/>
    <w:rsid w:val="001C11AC"/>
    <w:rsid w:val="001C12F6"/>
    <w:rsid w:val="001C1414"/>
    <w:rsid w:val="001C1451"/>
    <w:rsid w:val="001C14E5"/>
    <w:rsid w:val="001C1563"/>
    <w:rsid w:val="001C1571"/>
    <w:rsid w:val="001C15E1"/>
    <w:rsid w:val="001C16E4"/>
    <w:rsid w:val="001C16FC"/>
    <w:rsid w:val="001C174C"/>
    <w:rsid w:val="001C181E"/>
    <w:rsid w:val="001C191C"/>
    <w:rsid w:val="001C1A9B"/>
    <w:rsid w:val="001C1AE0"/>
    <w:rsid w:val="001C1BDE"/>
    <w:rsid w:val="001C1E7A"/>
    <w:rsid w:val="001C1FAF"/>
    <w:rsid w:val="001C2032"/>
    <w:rsid w:val="001C21E0"/>
    <w:rsid w:val="001C247D"/>
    <w:rsid w:val="001C24FC"/>
    <w:rsid w:val="001C2656"/>
    <w:rsid w:val="001C2763"/>
    <w:rsid w:val="001C27E2"/>
    <w:rsid w:val="001C2830"/>
    <w:rsid w:val="001C2A31"/>
    <w:rsid w:val="001C2A36"/>
    <w:rsid w:val="001C2BA3"/>
    <w:rsid w:val="001C2C0B"/>
    <w:rsid w:val="001C2C5B"/>
    <w:rsid w:val="001C2D99"/>
    <w:rsid w:val="001C2E9F"/>
    <w:rsid w:val="001C305B"/>
    <w:rsid w:val="001C30EE"/>
    <w:rsid w:val="001C3118"/>
    <w:rsid w:val="001C32BE"/>
    <w:rsid w:val="001C32C5"/>
    <w:rsid w:val="001C32E0"/>
    <w:rsid w:val="001C3318"/>
    <w:rsid w:val="001C33C0"/>
    <w:rsid w:val="001C341F"/>
    <w:rsid w:val="001C35EC"/>
    <w:rsid w:val="001C3632"/>
    <w:rsid w:val="001C367D"/>
    <w:rsid w:val="001C377A"/>
    <w:rsid w:val="001C38DF"/>
    <w:rsid w:val="001C3956"/>
    <w:rsid w:val="001C3A21"/>
    <w:rsid w:val="001C3AC0"/>
    <w:rsid w:val="001C3B32"/>
    <w:rsid w:val="001C3C42"/>
    <w:rsid w:val="001C3C63"/>
    <w:rsid w:val="001C3D14"/>
    <w:rsid w:val="001C3D53"/>
    <w:rsid w:val="001C3DA1"/>
    <w:rsid w:val="001C3E1B"/>
    <w:rsid w:val="001C3E4E"/>
    <w:rsid w:val="001C3ED4"/>
    <w:rsid w:val="001C3FD3"/>
    <w:rsid w:val="001C4047"/>
    <w:rsid w:val="001C40BF"/>
    <w:rsid w:val="001C42BB"/>
    <w:rsid w:val="001C4399"/>
    <w:rsid w:val="001C4446"/>
    <w:rsid w:val="001C4538"/>
    <w:rsid w:val="001C45AA"/>
    <w:rsid w:val="001C461D"/>
    <w:rsid w:val="001C468A"/>
    <w:rsid w:val="001C46A4"/>
    <w:rsid w:val="001C48D3"/>
    <w:rsid w:val="001C498B"/>
    <w:rsid w:val="001C49A5"/>
    <w:rsid w:val="001C4A59"/>
    <w:rsid w:val="001C4A79"/>
    <w:rsid w:val="001C4AD1"/>
    <w:rsid w:val="001C4B06"/>
    <w:rsid w:val="001C4B0B"/>
    <w:rsid w:val="001C4B30"/>
    <w:rsid w:val="001C4B52"/>
    <w:rsid w:val="001C4B9C"/>
    <w:rsid w:val="001C4C0D"/>
    <w:rsid w:val="001C4C55"/>
    <w:rsid w:val="001C4C63"/>
    <w:rsid w:val="001C4D19"/>
    <w:rsid w:val="001C4DA7"/>
    <w:rsid w:val="001C4ED4"/>
    <w:rsid w:val="001C4FDF"/>
    <w:rsid w:val="001C51D7"/>
    <w:rsid w:val="001C52C6"/>
    <w:rsid w:val="001C55E9"/>
    <w:rsid w:val="001C56DC"/>
    <w:rsid w:val="001C57EA"/>
    <w:rsid w:val="001C57F6"/>
    <w:rsid w:val="001C595D"/>
    <w:rsid w:val="001C59C4"/>
    <w:rsid w:val="001C5B64"/>
    <w:rsid w:val="001C5CC0"/>
    <w:rsid w:val="001C5F25"/>
    <w:rsid w:val="001C5F6B"/>
    <w:rsid w:val="001C5F75"/>
    <w:rsid w:val="001C5FC7"/>
    <w:rsid w:val="001C6011"/>
    <w:rsid w:val="001C6040"/>
    <w:rsid w:val="001C60FB"/>
    <w:rsid w:val="001C6217"/>
    <w:rsid w:val="001C622E"/>
    <w:rsid w:val="001C62A6"/>
    <w:rsid w:val="001C63BB"/>
    <w:rsid w:val="001C6424"/>
    <w:rsid w:val="001C6444"/>
    <w:rsid w:val="001C64C8"/>
    <w:rsid w:val="001C64EF"/>
    <w:rsid w:val="001C6547"/>
    <w:rsid w:val="001C658E"/>
    <w:rsid w:val="001C65D2"/>
    <w:rsid w:val="001C65FC"/>
    <w:rsid w:val="001C669E"/>
    <w:rsid w:val="001C66C1"/>
    <w:rsid w:val="001C670A"/>
    <w:rsid w:val="001C672F"/>
    <w:rsid w:val="001C6772"/>
    <w:rsid w:val="001C6791"/>
    <w:rsid w:val="001C696A"/>
    <w:rsid w:val="001C697F"/>
    <w:rsid w:val="001C6A87"/>
    <w:rsid w:val="001C6AE2"/>
    <w:rsid w:val="001C6BC8"/>
    <w:rsid w:val="001C6DF8"/>
    <w:rsid w:val="001C6E72"/>
    <w:rsid w:val="001C6EBC"/>
    <w:rsid w:val="001C6F1D"/>
    <w:rsid w:val="001C6F8B"/>
    <w:rsid w:val="001C7167"/>
    <w:rsid w:val="001C7182"/>
    <w:rsid w:val="001C7230"/>
    <w:rsid w:val="001C7329"/>
    <w:rsid w:val="001C7655"/>
    <w:rsid w:val="001C7728"/>
    <w:rsid w:val="001C794C"/>
    <w:rsid w:val="001C79E0"/>
    <w:rsid w:val="001C7A28"/>
    <w:rsid w:val="001C7AC7"/>
    <w:rsid w:val="001C7C6C"/>
    <w:rsid w:val="001C7CE5"/>
    <w:rsid w:val="001C7D6D"/>
    <w:rsid w:val="001C7E1C"/>
    <w:rsid w:val="001D02FF"/>
    <w:rsid w:val="001D035F"/>
    <w:rsid w:val="001D038A"/>
    <w:rsid w:val="001D0409"/>
    <w:rsid w:val="001D04C9"/>
    <w:rsid w:val="001D06CD"/>
    <w:rsid w:val="001D075F"/>
    <w:rsid w:val="001D0853"/>
    <w:rsid w:val="001D086F"/>
    <w:rsid w:val="001D0A1E"/>
    <w:rsid w:val="001D0B12"/>
    <w:rsid w:val="001D0B70"/>
    <w:rsid w:val="001D0BCE"/>
    <w:rsid w:val="001D0C36"/>
    <w:rsid w:val="001D0C85"/>
    <w:rsid w:val="001D0D10"/>
    <w:rsid w:val="001D0D9A"/>
    <w:rsid w:val="001D0F6D"/>
    <w:rsid w:val="001D1097"/>
    <w:rsid w:val="001D1104"/>
    <w:rsid w:val="001D112E"/>
    <w:rsid w:val="001D113D"/>
    <w:rsid w:val="001D12A6"/>
    <w:rsid w:val="001D1459"/>
    <w:rsid w:val="001D14A2"/>
    <w:rsid w:val="001D16D1"/>
    <w:rsid w:val="001D184F"/>
    <w:rsid w:val="001D1941"/>
    <w:rsid w:val="001D1C28"/>
    <w:rsid w:val="001D1C68"/>
    <w:rsid w:val="001D1D28"/>
    <w:rsid w:val="001D1D31"/>
    <w:rsid w:val="001D1E76"/>
    <w:rsid w:val="001D1FD8"/>
    <w:rsid w:val="001D1FD9"/>
    <w:rsid w:val="001D206E"/>
    <w:rsid w:val="001D2265"/>
    <w:rsid w:val="001D23F7"/>
    <w:rsid w:val="001D2409"/>
    <w:rsid w:val="001D252E"/>
    <w:rsid w:val="001D2540"/>
    <w:rsid w:val="001D2695"/>
    <w:rsid w:val="001D2725"/>
    <w:rsid w:val="001D2749"/>
    <w:rsid w:val="001D274B"/>
    <w:rsid w:val="001D2764"/>
    <w:rsid w:val="001D2768"/>
    <w:rsid w:val="001D27E0"/>
    <w:rsid w:val="001D2978"/>
    <w:rsid w:val="001D2981"/>
    <w:rsid w:val="001D29C6"/>
    <w:rsid w:val="001D2A22"/>
    <w:rsid w:val="001D2A81"/>
    <w:rsid w:val="001D2B24"/>
    <w:rsid w:val="001D2DCB"/>
    <w:rsid w:val="001D2E3A"/>
    <w:rsid w:val="001D2E4B"/>
    <w:rsid w:val="001D2F43"/>
    <w:rsid w:val="001D2FF9"/>
    <w:rsid w:val="001D3003"/>
    <w:rsid w:val="001D3073"/>
    <w:rsid w:val="001D30E8"/>
    <w:rsid w:val="001D3191"/>
    <w:rsid w:val="001D34A1"/>
    <w:rsid w:val="001D34D5"/>
    <w:rsid w:val="001D3529"/>
    <w:rsid w:val="001D352F"/>
    <w:rsid w:val="001D35EC"/>
    <w:rsid w:val="001D36C7"/>
    <w:rsid w:val="001D3825"/>
    <w:rsid w:val="001D3946"/>
    <w:rsid w:val="001D3BFB"/>
    <w:rsid w:val="001D3C33"/>
    <w:rsid w:val="001D3DC6"/>
    <w:rsid w:val="001D3DC9"/>
    <w:rsid w:val="001D3FAF"/>
    <w:rsid w:val="001D4061"/>
    <w:rsid w:val="001D41EF"/>
    <w:rsid w:val="001D4244"/>
    <w:rsid w:val="001D428E"/>
    <w:rsid w:val="001D43CD"/>
    <w:rsid w:val="001D4491"/>
    <w:rsid w:val="001D44ED"/>
    <w:rsid w:val="001D44F4"/>
    <w:rsid w:val="001D454D"/>
    <w:rsid w:val="001D458A"/>
    <w:rsid w:val="001D45B7"/>
    <w:rsid w:val="001D4646"/>
    <w:rsid w:val="001D4699"/>
    <w:rsid w:val="001D46B1"/>
    <w:rsid w:val="001D47B8"/>
    <w:rsid w:val="001D4865"/>
    <w:rsid w:val="001D493C"/>
    <w:rsid w:val="001D49E4"/>
    <w:rsid w:val="001D4A16"/>
    <w:rsid w:val="001D4A1D"/>
    <w:rsid w:val="001D4B19"/>
    <w:rsid w:val="001D4B9B"/>
    <w:rsid w:val="001D4C89"/>
    <w:rsid w:val="001D4D86"/>
    <w:rsid w:val="001D4DC7"/>
    <w:rsid w:val="001D4DC9"/>
    <w:rsid w:val="001D4DF8"/>
    <w:rsid w:val="001D4EFF"/>
    <w:rsid w:val="001D500C"/>
    <w:rsid w:val="001D5068"/>
    <w:rsid w:val="001D50F6"/>
    <w:rsid w:val="001D515A"/>
    <w:rsid w:val="001D51E2"/>
    <w:rsid w:val="001D52B7"/>
    <w:rsid w:val="001D53BE"/>
    <w:rsid w:val="001D5693"/>
    <w:rsid w:val="001D58D4"/>
    <w:rsid w:val="001D5981"/>
    <w:rsid w:val="001D5CFE"/>
    <w:rsid w:val="001D5D5C"/>
    <w:rsid w:val="001D5DBE"/>
    <w:rsid w:val="001D5E1A"/>
    <w:rsid w:val="001D5EBC"/>
    <w:rsid w:val="001D5F0E"/>
    <w:rsid w:val="001D5F6C"/>
    <w:rsid w:val="001D6056"/>
    <w:rsid w:val="001D60D0"/>
    <w:rsid w:val="001D6187"/>
    <w:rsid w:val="001D61A2"/>
    <w:rsid w:val="001D620A"/>
    <w:rsid w:val="001D6467"/>
    <w:rsid w:val="001D66E7"/>
    <w:rsid w:val="001D6816"/>
    <w:rsid w:val="001D68EF"/>
    <w:rsid w:val="001D6988"/>
    <w:rsid w:val="001D69E6"/>
    <w:rsid w:val="001D69F2"/>
    <w:rsid w:val="001D6B7A"/>
    <w:rsid w:val="001D6BC8"/>
    <w:rsid w:val="001D6C46"/>
    <w:rsid w:val="001D6CE1"/>
    <w:rsid w:val="001D6CFD"/>
    <w:rsid w:val="001D6E91"/>
    <w:rsid w:val="001D6FC8"/>
    <w:rsid w:val="001D7044"/>
    <w:rsid w:val="001D708F"/>
    <w:rsid w:val="001D70E6"/>
    <w:rsid w:val="001D7192"/>
    <w:rsid w:val="001D730B"/>
    <w:rsid w:val="001D7560"/>
    <w:rsid w:val="001D759A"/>
    <w:rsid w:val="001D75C3"/>
    <w:rsid w:val="001D76A8"/>
    <w:rsid w:val="001D78BE"/>
    <w:rsid w:val="001D7910"/>
    <w:rsid w:val="001D7919"/>
    <w:rsid w:val="001D7927"/>
    <w:rsid w:val="001D7A15"/>
    <w:rsid w:val="001D7C6D"/>
    <w:rsid w:val="001D7CC6"/>
    <w:rsid w:val="001D7DAD"/>
    <w:rsid w:val="001D7ECE"/>
    <w:rsid w:val="001E038F"/>
    <w:rsid w:val="001E039C"/>
    <w:rsid w:val="001E0585"/>
    <w:rsid w:val="001E05DD"/>
    <w:rsid w:val="001E079F"/>
    <w:rsid w:val="001E07A9"/>
    <w:rsid w:val="001E0864"/>
    <w:rsid w:val="001E08CD"/>
    <w:rsid w:val="001E093E"/>
    <w:rsid w:val="001E0A1F"/>
    <w:rsid w:val="001E0A65"/>
    <w:rsid w:val="001E0A6F"/>
    <w:rsid w:val="001E0AE6"/>
    <w:rsid w:val="001E0C26"/>
    <w:rsid w:val="001E0CC5"/>
    <w:rsid w:val="001E0CD6"/>
    <w:rsid w:val="001E0E2D"/>
    <w:rsid w:val="001E0F87"/>
    <w:rsid w:val="001E1148"/>
    <w:rsid w:val="001E14BD"/>
    <w:rsid w:val="001E15C7"/>
    <w:rsid w:val="001E16E5"/>
    <w:rsid w:val="001E1809"/>
    <w:rsid w:val="001E1885"/>
    <w:rsid w:val="001E18CF"/>
    <w:rsid w:val="001E1901"/>
    <w:rsid w:val="001E193A"/>
    <w:rsid w:val="001E1949"/>
    <w:rsid w:val="001E1A1F"/>
    <w:rsid w:val="001E1A52"/>
    <w:rsid w:val="001E1EA5"/>
    <w:rsid w:val="001E1F72"/>
    <w:rsid w:val="001E20AD"/>
    <w:rsid w:val="001E217A"/>
    <w:rsid w:val="001E21F5"/>
    <w:rsid w:val="001E2332"/>
    <w:rsid w:val="001E2336"/>
    <w:rsid w:val="001E24B2"/>
    <w:rsid w:val="001E2516"/>
    <w:rsid w:val="001E2587"/>
    <w:rsid w:val="001E2738"/>
    <w:rsid w:val="001E27DF"/>
    <w:rsid w:val="001E28CC"/>
    <w:rsid w:val="001E2912"/>
    <w:rsid w:val="001E2918"/>
    <w:rsid w:val="001E29A8"/>
    <w:rsid w:val="001E2B0F"/>
    <w:rsid w:val="001E2B7A"/>
    <w:rsid w:val="001E2CB8"/>
    <w:rsid w:val="001E2E25"/>
    <w:rsid w:val="001E3003"/>
    <w:rsid w:val="001E3095"/>
    <w:rsid w:val="001E30DC"/>
    <w:rsid w:val="001E3298"/>
    <w:rsid w:val="001E335C"/>
    <w:rsid w:val="001E3484"/>
    <w:rsid w:val="001E35B6"/>
    <w:rsid w:val="001E35BE"/>
    <w:rsid w:val="001E35E4"/>
    <w:rsid w:val="001E36EC"/>
    <w:rsid w:val="001E387C"/>
    <w:rsid w:val="001E38C2"/>
    <w:rsid w:val="001E395B"/>
    <w:rsid w:val="001E39D8"/>
    <w:rsid w:val="001E3B59"/>
    <w:rsid w:val="001E3C41"/>
    <w:rsid w:val="001E3DD5"/>
    <w:rsid w:val="001E3E66"/>
    <w:rsid w:val="001E3ECC"/>
    <w:rsid w:val="001E3F04"/>
    <w:rsid w:val="001E3FA7"/>
    <w:rsid w:val="001E43C1"/>
    <w:rsid w:val="001E43F3"/>
    <w:rsid w:val="001E4435"/>
    <w:rsid w:val="001E4447"/>
    <w:rsid w:val="001E450D"/>
    <w:rsid w:val="001E4523"/>
    <w:rsid w:val="001E45A2"/>
    <w:rsid w:val="001E4656"/>
    <w:rsid w:val="001E46F6"/>
    <w:rsid w:val="001E4797"/>
    <w:rsid w:val="001E47EF"/>
    <w:rsid w:val="001E4993"/>
    <w:rsid w:val="001E49B6"/>
    <w:rsid w:val="001E49F7"/>
    <w:rsid w:val="001E4AE7"/>
    <w:rsid w:val="001E4C74"/>
    <w:rsid w:val="001E4D1B"/>
    <w:rsid w:val="001E4DB3"/>
    <w:rsid w:val="001E4E27"/>
    <w:rsid w:val="001E4EF1"/>
    <w:rsid w:val="001E4FA1"/>
    <w:rsid w:val="001E4FE4"/>
    <w:rsid w:val="001E4FFB"/>
    <w:rsid w:val="001E5008"/>
    <w:rsid w:val="001E509A"/>
    <w:rsid w:val="001E536A"/>
    <w:rsid w:val="001E538C"/>
    <w:rsid w:val="001E5609"/>
    <w:rsid w:val="001E5635"/>
    <w:rsid w:val="001E5642"/>
    <w:rsid w:val="001E56F9"/>
    <w:rsid w:val="001E57D4"/>
    <w:rsid w:val="001E589E"/>
    <w:rsid w:val="001E5A58"/>
    <w:rsid w:val="001E5B2F"/>
    <w:rsid w:val="001E5B91"/>
    <w:rsid w:val="001E5BFB"/>
    <w:rsid w:val="001E5E17"/>
    <w:rsid w:val="001E5E7D"/>
    <w:rsid w:val="001E619A"/>
    <w:rsid w:val="001E62B3"/>
    <w:rsid w:val="001E62DD"/>
    <w:rsid w:val="001E635C"/>
    <w:rsid w:val="001E64D0"/>
    <w:rsid w:val="001E674E"/>
    <w:rsid w:val="001E67DE"/>
    <w:rsid w:val="001E67EB"/>
    <w:rsid w:val="001E6807"/>
    <w:rsid w:val="001E68F1"/>
    <w:rsid w:val="001E68FA"/>
    <w:rsid w:val="001E6976"/>
    <w:rsid w:val="001E6B82"/>
    <w:rsid w:val="001E6CF4"/>
    <w:rsid w:val="001E6D1F"/>
    <w:rsid w:val="001E6F1F"/>
    <w:rsid w:val="001E7106"/>
    <w:rsid w:val="001E714B"/>
    <w:rsid w:val="001E72E8"/>
    <w:rsid w:val="001E743F"/>
    <w:rsid w:val="001E751D"/>
    <w:rsid w:val="001E766E"/>
    <w:rsid w:val="001E79AE"/>
    <w:rsid w:val="001E7A28"/>
    <w:rsid w:val="001E7B2B"/>
    <w:rsid w:val="001E7B88"/>
    <w:rsid w:val="001E7BDE"/>
    <w:rsid w:val="001E7C74"/>
    <w:rsid w:val="001E7D63"/>
    <w:rsid w:val="001E7E05"/>
    <w:rsid w:val="001F0161"/>
    <w:rsid w:val="001F0171"/>
    <w:rsid w:val="001F01E5"/>
    <w:rsid w:val="001F0464"/>
    <w:rsid w:val="001F046A"/>
    <w:rsid w:val="001F0474"/>
    <w:rsid w:val="001F07FD"/>
    <w:rsid w:val="001F0833"/>
    <w:rsid w:val="001F086F"/>
    <w:rsid w:val="001F0883"/>
    <w:rsid w:val="001F0893"/>
    <w:rsid w:val="001F0A6A"/>
    <w:rsid w:val="001F0B3B"/>
    <w:rsid w:val="001F0C2F"/>
    <w:rsid w:val="001F0E1F"/>
    <w:rsid w:val="001F0F43"/>
    <w:rsid w:val="001F0FE3"/>
    <w:rsid w:val="001F11AD"/>
    <w:rsid w:val="001F11F2"/>
    <w:rsid w:val="001F1291"/>
    <w:rsid w:val="001F12F7"/>
    <w:rsid w:val="001F13B4"/>
    <w:rsid w:val="001F13C0"/>
    <w:rsid w:val="001F1405"/>
    <w:rsid w:val="001F14C7"/>
    <w:rsid w:val="001F154F"/>
    <w:rsid w:val="001F17D6"/>
    <w:rsid w:val="001F1C0F"/>
    <w:rsid w:val="001F1CA8"/>
    <w:rsid w:val="001F1D50"/>
    <w:rsid w:val="001F1EAB"/>
    <w:rsid w:val="001F1EDC"/>
    <w:rsid w:val="001F1FAC"/>
    <w:rsid w:val="001F2155"/>
    <w:rsid w:val="001F220B"/>
    <w:rsid w:val="001F22AD"/>
    <w:rsid w:val="001F244E"/>
    <w:rsid w:val="001F245A"/>
    <w:rsid w:val="001F2464"/>
    <w:rsid w:val="001F2491"/>
    <w:rsid w:val="001F24B7"/>
    <w:rsid w:val="001F2797"/>
    <w:rsid w:val="001F27E2"/>
    <w:rsid w:val="001F2912"/>
    <w:rsid w:val="001F2947"/>
    <w:rsid w:val="001F2D02"/>
    <w:rsid w:val="001F2DDC"/>
    <w:rsid w:val="001F2DF7"/>
    <w:rsid w:val="001F2E4E"/>
    <w:rsid w:val="001F2EE5"/>
    <w:rsid w:val="001F2F15"/>
    <w:rsid w:val="001F2F5B"/>
    <w:rsid w:val="001F317E"/>
    <w:rsid w:val="001F3593"/>
    <w:rsid w:val="001F36F4"/>
    <w:rsid w:val="001F37BF"/>
    <w:rsid w:val="001F3869"/>
    <w:rsid w:val="001F3B4A"/>
    <w:rsid w:val="001F3BE6"/>
    <w:rsid w:val="001F3C02"/>
    <w:rsid w:val="001F3CFE"/>
    <w:rsid w:val="001F3DA8"/>
    <w:rsid w:val="001F3F20"/>
    <w:rsid w:val="001F3F2A"/>
    <w:rsid w:val="001F3F6D"/>
    <w:rsid w:val="001F3FF4"/>
    <w:rsid w:val="001F41B3"/>
    <w:rsid w:val="001F42A9"/>
    <w:rsid w:val="001F442F"/>
    <w:rsid w:val="001F4702"/>
    <w:rsid w:val="001F4977"/>
    <w:rsid w:val="001F499A"/>
    <w:rsid w:val="001F4A10"/>
    <w:rsid w:val="001F4AD5"/>
    <w:rsid w:val="001F4D8F"/>
    <w:rsid w:val="001F4ED7"/>
    <w:rsid w:val="001F5091"/>
    <w:rsid w:val="001F526F"/>
    <w:rsid w:val="001F52B6"/>
    <w:rsid w:val="001F52EE"/>
    <w:rsid w:val="001F53E0"/>
    <w:rsid w:val="001F556D"/>
    <w:rsid w:val="001F55D3"/>
    <w:rsid w:val="001F5676"/>
    <w:rsid w:val="001F56CC"/>
    <w:rsid w:val="001F5727"/>
    <w:rsid w:val="001F575B"/>
    <w:rsid w:val="001F5783"/>
    <w:rsid w:val="001F5959"/>
    <w:rsid w:val="001F5A2D"/>
    <w:rsid w:val="001F5A9B"/>
    <w:rsid w:val="001F5AC3"/>
    <w:rsid w:val="001F5D6D"/>
    <w:rsid w:val="001F5E85"/>
    <w:rsid w:val="001F5EF1"/>
    <w:rsid w:val="001F5EFE"/>
    <w:rsid w:val="001F5FE3"/>
    <w:rsid w:val="001F5FFC"/>
    <w:rsid w:val="001F60E6"/>
    <w:rsid w:val="001F6106"/>
    <w:rsid w:val="001F61DA"/>
    <w:rsid w:val="001F62B2"/>
    <w:rsid w:val="001F6427"/>
    <w:rsid w:val="001F64F1"/>
    <w:rsid w:val="001F6506"/>
    <w:rsid w:val="001F654B"/>
    <w:rsid w:val="001F658D"/>
    <w:rsid w:val="001F664A"/>
    <w:rsid w:val="001F674C"/>
    <w:rsid w:val="001F6946"/>
    <w:rsid w:val="001F696A"/>
    <w:rsid w:val="001F699F"/>
    <w:rsid w:val="001F69DE"/>
    <w:rsid w:val="001F6B15"/>
    <w:rsid w:val="001F6B4D"/>
    <w:rsid w:val="001F6B53"/>
    <w:rsid w:val="001F6B65"/>
    <w:rsid w:val="001F6C43"/>
    <w:rsid w:val="001F6C5C"/>
    <w:rsid w:val="001F6C76"/>
    <w:rsid w:val="001F6C84"/>
    <w:rsid w:val="001F6DCD"/>
    <w:rsid w:val="001F6EA4"/>
    <w:rsid w:val="001F706B"/>
    <w:rsid w:val="001F7122"/>
    <w:rsid w:val="001F7154"/>
    <w:rsid w:val="001F7273"/>
    <w:rsid w:val="001F72D2"/>
    <w:rsid w:val="001F7317"/>
    <w:rsid w:val="001F73F7"/>
    <w:rsid w:val="001F74FC"/>
    <w:rsid w:val="001F754C"/>
    <w:rsid w:val="001F7586"/>
    <w:rsid w:val="001F75F8"/>
    <w:rsid w:val="001F760B"/>
    <w:rsid w:val="001F76EE"/>
    <w:rsid w:val="001F775C"/>
    <w:rsid w:val="001F791D"/>
    <w:rsid w:val="001F79A2"/>
    <w:rsid w:val="001F79F6"/>
    <w:rsid w:val="001F7A1D"/>
    <w:rsid w:val="001F7B00"/>
    <w:rsid w:val="001F7CD2"/>
    <w:rsid w:val="001F7D2C"/>
    <w:rsid w:val="001F7E89"/>
    <w:rsid w:val="001F7F5F"/>
    <w:rsid w:val="002000EF"/>
    <w:rsid w:val="0020014C"/>
    <w:rsid w:val="0020022E"/>
    <w:rsid w:val="00200320"/>
    <w:rsid w:val="00200560"/>
    <w:rsid w:val="00200565"/>
    <w:rsid w:val="002008E2"/>
    <w:rsid w:val="0020092D"/>
    <w:rsid w:val="00200A16"/>
    <w:rsid w:val="00200B6B"/>
    <w:rsid w:val="00200BBD"/>
    <w:rsid w:val="00200C05"/>
    <w:rsid w:val="00200D38"/>
    <w:rsid w:val="00200DE5"/>
    <w:rsid w:val="00201055"/>
    <w:rsid w:val="00201098"/>
    <w:rsid w:val="002011DC"/>
    <w:rsid w:val="0020124D"/>
    <w:rsid w:val="002012D4"/>
    <w:rsid w:val="00201446"/>
    <w:rsid w:val="002014BC"/>
    <w:rsid w:val="00201533"/>
    <w:rsid w:val="0020170F"/>
    <w:rsid w:val="00201790"/>
    <w:rsid w:val="002019EA"/>
    <w:rsid w:val="00201A6E"/>
    <w:rsid w:val="00201AAD"/>
    <w:rsid w:val="00201AC0"/>
    <w:rsid w:val="00201B0C"/>
    <w:rsid w:val="00201B55"/>
    <w:rsid w:val="00201BE3"/>
    <w:rsid w:val="00201C9B"/>
    <w:rsid w:val="00201C9D"/>
    <w:rsid w:val="00201D5D"/>
    <w:rsid w:val="00201DA2"/>
    <w:rsid w:val="00201DFF"/>
    <w:rsid w:val="00201F68"/>
    <w:rsid w:val="0020209C"/>
    <w:rsid w:val="00202193"/>
    <w:rsid w:val="00202201"/>
    <w:rsid w:val="00202210"/>
    <w:rsid w:val="00202266"/>
    <w:rsid w:val="002022FD"/>
    <w:rsid w:val="002023C1"/>
    <w:rsid w:val="0020258B"/>
    <w:rsid w:val="0020261B"/>
    <w:rsid w:val="002028F5"/>
    <w:rsid w:val="002029F7"/>
    <w:rsid w:val="00202A72"/>
    <w:rsid w:val="00202CB7"/>
    <w:rsid w:val="00202D2F"/>
    <w:rsid w:val="00202DC4"/>
    <w:rsid w:val="00202E59"/>
    <w:rsid w:val="00202F8A"/>
    <w:rsid w:val="00203021"/>
    <w:rsid w:val="0020304E"/>
    <w:rsid w:val="0020315A"/>
    <w:rsid w:val="00203226"/>
    <w:rsid w:val="002032B6"/>
    <w:rsid w:val="002033EF"/>
    <w:rsid w:val="00203409"/>
    <w:rsid w:val="0020351E"/>
    <w:rsid w:val="002037FB"/>
    <w:rsid w:val="002038B2"/>
    <w:rsid w:val="00203983"/>
    <w:rsid w:val="00203B15"/>
    <w:rsid w:val="00203B9C"/>
    <w:rsid w:val="00203BBC"/>
    <w:rsid w:val="00203CD8"/>
    <w:rsid w:val="00203D94"/>
    <w:rsid w:val="00203DDC"/>
    <w:rsid w:val="00203E5D"/>
    <w:rsid w:val="00203F7C"/>
    <w:rsid w:val="00203F88"/>
    <w:rsid w:val="002040EC"/>
    <w:rsid w:val="002040F0"/>
    <w:rsid w:val="0020425A"/>
    <w:rsid w:val="002042B7"/>
    <w:rsid w:val="002044B0"/>
    <w:rsid w:val="0020460F"/>
    <w:rsid w:val="002047CE"/>
    <w:rsid w:val="00204875"/>
    <w:rsid w:val="00204990"/>
    <w:rsid w:val="002049AB"/>
    <w:rsid w:val="00204CFA"/>
    <w:rsid w:val="00204D2A"/>
    <w:rsid w:val="00204E22"/>
    <w:rsid w:val="00204F8A"/>
    <w:rsid w:val="00204FAC"/>
    <w:rsid w:val="002050F9"/>
    <w:rsid w:val="002051A6"/>
    <w:rsid w:val="002054A2"/>
    <w:rsid w:val="002054CC"/>
    <w:rsid w:val="002056DA"/>
    <w:rsid w:val="002056E3"/>
    <w:rsid w:val="002056E7"/>
    <w:rsid w:val="0020576B"/>
    <w:rsid w:val="00205783"/>
    <w:rsid w:val="002058D8"/>
    <w:rsid w:val="0020590C"/>
    <w:rsid w:val="00205A90"/>
    <w:rsid w:val="00205B5A"/>
    <w:rsid w:val="00205C06"/>
    <w:rsid w:val="00205C0B"/>
    <w:rsid w:val="00205CF1"/>
    <w:rsid w:val="00205D43"/>
    <w:rsid w:val="00205D6D"/>
    <w:rsid w:val="00206005"/>
    <w:rsid w:val="0020604C"/>
    <w:rsid w:val="002061F5"/>
    <w:rsid w:val="00206456"/>
    <w:rsid w:val="002064BD"/>
    <w:rsid w:val="00206568"/>
    <w:rsid w:val="00206676"/>
    <w:rsid w:val="002066A4"/>
    <w:rsid w:val="002066C5"/>
    <w:rsid w:val="002066D7"/>
    <w:rsid w:val="00206858"/>
    <w:rsid w:val="0020698F"/>
    <w:rsid w:val="00206A58"/>
    <w:rsid w:val="00206A7B"/>
    <w:rsid w:val="00206AC7"/>
    <w:rsid w:val="00206AD1"/>
    <w:rsid w:val="00206AE5"/>
    <w:rsid w:val="00206B25"/>
    <w:rsid w:val="00206C01"/>
    <w:rsid w:val="00206E11"/>
    <w:rsid w:val="00206E2A"/>
    <w:rsid w:val="00206FBB"/>
    <w:rsid w:val="00206FE2"/>
    <w:rsid w:val="002070F1"/>
    <w:rsid w:val="00207114"/>
    <w:rsid w:val="002072B9"/>
    <w:rsid w:val="00207343"/>
    <w:rsid w:val="00207510"/>
    <w:rsid w:val="0020751C"/>
    <w:rsid w:val="002076DD"/>
    <w:rsid w:val="0020770B"/>
    <w:rsid w:val="0020773F"/>
    <w:rsid w:val="00207B51"/>
    <w:rsid w:val="00207B82"/>
    <w:rsid w:val="00207C61"/>
    <w:rsid w:val="00207CAA"/>
    <w:rsid w:val="00207CE8"/>
    <w:rsid w:val="00207E26"/>
    <w:rsid w:val="00207F83"/>
    <w:rsid w:val="00210000"/>
    <w:rsid w:val="00210010"/>
    <w:rsid w:val="00210127"/>
    <w:rsid w:val="00210236"/>
    <w:rsid w:val="00210432"/>
    <w:rsid w:val="0021084D"/>
    <w:rsid w:val="00210A97"/>
    <w:rsid w:val="00210B9E"/>
    <w:rsid w:val="00210DAE"/>
    <w:rsid w:val="00210FF5"/>
    <w:rsid w:val="00211255"/>
    <w:rsid w:val="002112EE"/>
    <w:rsid w:val="00211384"/>
    <w:rsid w:val="0021144B"/>
    <w:rsid w:val="002115A4"/>
    <w:rsid w:val="0021172B"/>
    <w:rsid w:val="00211769"/>
    <w:rsid w:val="00211791"/>
    <w:rsid w:val="002117D1"/>
    <w:rsid w:val="002117ED"/>
    <w:rsid w:val="00211812"/>
    <w:rsid w:val="00211889"/>
    <w:rsid w:val="002118DD"/>
    <w:rsid w:val="002118E7"/>
    <w:rsid w:val="00211943"/>
    <w:rsid w:val="00211975"/>
    <w:rsid w:val="00211DAA"/>
    <w:rsid w:val="00211DD2"/>
    <w:rsid w:val="00211FB0"/>
    <w:rsid w:val="00212324"/>
    <w:rsid w:val="00212725"/>
    <w:rsid w:val="00212746"/>
    <w:rsid w:val="00212783"/>
    <w:rsid w:val="002128FA"/>
    <w:rsid w:val="0021293C"/>
    <w:rsid w:val="002129DB"/>
    <w:rsid w:val="00212A80"/>
    <w:rsid w:val="00212D02"/>
    <w:rsid w:val="00212DE7"/>
    <w:rsid w:val="00212F4A"/>
    <w:rsid w:val="0021336D"/>
    <w:rsid w:val="00213457"/>
    <w:rsid w:val="002134A2"/>
    <w:rsid w:val="00213644"/>
    <w:rsid w:val="00213732"/>
    <w:rsid w:val="00213953"/>
    <w:rsid w:val="00213A77"/>
    <w:rsid w:val="00213C4D"/>
    <w:rsid w:val="00213D7A"/>
    <w:rsid w:val="00213E53"/>
    <w:rsid w:val="002140B8"/>
    <w:rsid w:val="002142A2"/>
    <w:rsid w:val="002142F4"/>
    <w:rsid w:val="0021431E"/>
    <w:rsid w:val="0021448C"/>
    <w:rsid w:val="002144BB"/>
    <w:rsid w:val="002144C2"/>
    <w:rsid w:val="002144F4"/>
    <w:rsid w:val="002146A0"/>
    <w:rsid w:val="002147E1"/>
    <w:rsid w:val="00214806"/>
    <w:rsid w:val="002148B1"/>
    <w:rsid w:val="002148F0"/>
    <w:rsid w:val="00214A42"/>
    <w:rsid w:val="00214B33"/>
    <w:rsid w:val="00214D92"/>
    <w:rsid w:val="00214F49"/>
    <w:rsid w:val="00214F76"/>
    <w:rsid w:val="0021501E"/>
    <w:rsid w:val="00215171"/>
    <w:rsid w:val="002151A8"/>
    <w:rsid w:val="002153EA"/>
    <w:rsid w:val="00215423"/>
    <w:rsid w:val="0021567A"/>
    <w:rsid w:val="00215979"/>
    <w:rsid w:val="00215A2F"/>
    <w:rsid w:val="00215ABC"/>
    <w:rsid w:val="00215B6C"/>
    <w:rsid w:val="00215C02"/>
    <w:rsid w:val="00215C1C"/>
    <w:rsid w:val="00215D10"/>
    <w:rsid w:val="00215D49"/>
    <w:rsid w:val="00215EDE"/>
    <w:rsid w:val="00215F12"/>
    <w:rsid w:val="00215F2F"/>
    <w:rsid w:val="00216041"/>
    <w:rsid w:val="00216049"/>
    <w:rsid w:val="002160B8"/>
    <w:rsid w:val="0021614E"/>
    <w:rsid w:val="002161E1"/>
    <w:rsid w:val="00216332"/>
    <w:rsid w:val="00216446"/>
    <w:rsid w:val="00216464"/>
    <w:rsid w:val="00216585"/>
    <w:rsid w:val="00216636"/>
    <w:rsid w:val="00216672"/>
    <w:rsid w:val="00216704"/>
    <w:rsid w:val="002167CB"/>
    <w:rsid w:val="00216841"/>
    <w:rsid w:val="002168F0"/>
    <w:rsid w:val="0021695D"/>
    <w:rsid w:val="00216AB3"/>
    <w:rsid w:val="00216BD9"/>
    <w:rsid w:val="00216C6D"/>
    <w:rsid w:val="00216C7D"/>
    <w:rsid w:val="00216D90"/>
    <w:rsid w:val="00216E3F"/>
    <w:rsid w:val="00216F78"/>
    <w:rsid w:val="002170B6"/>
    <w:rsid w:val="0021713E"/>
    <w:rsid w:val="002171ED"/>
    <w:rsid w:val="00217216"/>
    <w:rsid w:val="00217319"/>
    <w:rsid w:val="00217340"/>
    <w:rsid w:val="00217346"/>
    <w:rsid w:val="0021737C"/>
    <w:rsid w:val="0021748C"/>
    <w:rsid w:val="002174DB"/>
    <w:rsid w:val="00217534"/>
    <w:rsid w:val="00217607"/>
    <w:rsid w:val="00217892"/>
    <w:rsid w:val="0021789B"/>
    <w:rsid w:val="00217983"/>
    <w:rsid w:val="00217A7C"/>
    <w:rsid w:val="00217C08"/>
    <w:rsid w:val="00217C54"/>
    <w:rsid w:val="00217DE7"/>
    <w:rsid w:val="00217E1D"/>
    <w:rsid w:val="00217FD7"/>
    <w:rsid w:val="0022006E"/>
    <w:rsid w:val="002201D3"/>
    <w:rsid w:val="002202D1"/>
    <w:rsid w:val="00220337"/>
    <w:rsid w:val="00220395"/>
    <w:rsid w:val="0022046F"/>
    <w:rsid w:val="002204E5"/>
    <w:rsid w:val="00220617"/>
    <w:rsid w:val="002209DD"/>
    <w:rsid w:val="00220A4A"/>
    <w:rsid w:val="00220AE2"/>
    <w:rsid w:val="00220B7F"/>
    <w:rsid w:val="00220BBB"/>
    <w:rsid w:val="00220C6D"/>
    <w:rsid w:val="00220CA7"/>
    <w:rsid w:val="00220F45"/>
    <w:rsid w:val="00220FD4"/>
    <w:rsid w:val="00221070"/>
    <w:rsid w:val="0022126A"/>
    <w:rsid w:val="0022128D"/>
    <w:rsid w:val="00221589"/>
    <w:rsid w:val="0022166B"/>
    <w:rsid w:val="002216C9"/>
    <w:rsid w:val="00221725"/>
    <w:rsid w:val="00221777"/>
    <w:rsid w:val="002218EB"/>
    <w:rsid w:val="00221A69"/>
    <w:rsid w:val="00221C41"/>
    <w:rsid w:val="00221D3C"/>
    <w:rsid w:val="00221FC8"/>
    <w:rsid w:val="00222171"/>
    <w:rsid w:val="0022241F"/>
    <w:rsid w:val="00222429"/>
    <w:rsid w:val="00222843"/>
    <w:rsid w:val="002228E7"/>
    <w:rsid w:val="00222A91"/>
    <w:rsid w:val="00222B58"/>
    <w:rsid w:val="00222C91"/>
    <w:rsid w:val="00222D9E"/>
    <w:rsid w:val="00222F91"/>
    <w:rsid w:val="00222FEC"/>
    <w:rsid w:val="002230DE"/>
    <w:rsid w:val="002230DF"/>
    <w:rsid w:val="002230FE"/>
    <w:rsid w:val="00223269"/>
    <w:rsid w:val="002233A8"/>
    <w:rsid w:val="00223618"/>
    <w:rsid w:val="0022364E"/>
    <w:rsid w:val="002236B3"/>
    <w:rsid w:val="00223723"/>
    <w:rsid w:val="002238B6"/>
    <w:rsid w:val="00223A03"/>
    <w:rsid w:val="00223AA3"/>
    <w:rsid w:val="00223B45"/>
    <w:rsid w:val="00223C2F"/>
    <w:rsid w:val="00223D10"/>
    <w:rsid w:val="00223DB5"/>
    <w:rsid w:val="002242F9"/>
    <w:rsid w:val="00224482"/>
    <w:rsid w:val="002244C2"/>
    <w:rsid w:val="0022460A"/>
    <w:rsid w:val="002247EE"/>
    <w:rsid w:val="00224878"/>
    <w:rsid w:val="002248D4"/>
    <w:rsid w:val="00224945"/>
    <w:rsid w:val="002249C8"/>
    <w:rsid w:val="00224AA9"/>
    <w:rsid w:val="00224AFC"/>
    <w:rsid w:val="00224B95"/>
    <w:rsid w:val="00224BC0"/>
    <w:rsid w:val="00224C7C"/>
    <w:rsid w:val="00224D92"/>
    <w:rsid w:val="00224EDC"/>
    <w:rsid w:val="00224F73"/>
    <w:rsid w:val="00224FD4"/>
    <w:rsid w:val="00224FD9"/>
    <w:rsid w:val="00225069"/>
    <w:rsid w:val="00225202"/>
    <w:rsid w:val="002253D4"/>
    <w:rsid w:val="0022557A"/>
    <w:rsid w:val="00225584"/>
    <w:rsid w:val="002255A1"/>
    <w:rsid w:val="002257D4"/>
    <w:rsid w:val="00225874"/>
    <w:rsid w:val="002259DA"/>
    <w:rsid w:val="00225A89"/>
    <w:rsid w:val="00225A9B"/>
    <w:rsid w:val="00225B6A"/>
    <w:rsid w:val="00225BF0"/>
    <w:rsid w:val="00225C95"/>
    <w:rsid w:val="00225CBB"/>
    <w:rsid w:val="00225CCA"/>
    <w:rsid w:val="00225E00"/>
    <w:rsid w:val="00225E23"/>
    <w:rsid w:val="00225E82"/>
    <w:rsid w:val="00225F2A"/>
    <w:rsid w:val="00225F2D"/>
    <w:rsid w:val="0022605C"/>
    <w:rsid w:val="002260D6"/>
    <w:rsid w:val="00226118"/>
    <w:rsid w:val="00226174"/>
    <w:rsid w:val="00226176"/>
    <w:rsid w:val="00226204"/>
    <w:rsid w:val="0022633D"/>
    <w:rsid w:val="002263D7"/>
    <w:rsid w:val="0022649F"/>
    <w:rsid w:val="0022658B"/>
    <w:rsid w:val="00226597"/>
    <w:rsid w:val="0022659D"/>
    <w:rsid w:val="00226872"/>
    <w:rsid w:val="002268E0"/>
    <w:rsid w:val="00226904"/>
    <w:rsid w:val="00226983"/>
    <w:rsid w:val="002269EB"/>
    <w:rsid w:val="00226B83"/>
    <w:rsid w:val="00226BA7"/>
    <w:rsid w:val="00226BF1"/>
    <w:rsid w:val="00226BF9"/>
    <w:rsid w:val="00226C2C"/>
    <w:rsid w:val="00226C9F"/>
    <w:rsid w:val="00226D6F"/>
    <w:rsid w:val="00226ECF"/>
    <w:rsid w:val="00226F86"/>
    <w:rsid w:val="00227084"/>
    <w:rsid w:val="002270F9"/>
    <w:rsid w:val="00227130"/>
    <w:rsid w:val="00227144"/>
    <w:rsid w:val="0022714E"/>
    <w:rsid w:val="002271F3"/>
    <w:rsid w:val="00227254"/>
    <w:rsid w:val="00227270"/>
    <w:rsid w:val="00227274"/>
    <w:rsid w:val="00227292"/>
    <w:rsid w:val="002273FE"/>
    <w:rsid w:val="002274C1"/>
    <w:rsid w:val="002274DD"/>
    <w:rsid w:val="00227655"/>
    <w:rsid w:val="00227673"/>
    <w:rsid w:val="00227730"/>
    <w:rsid w:val="00227955"/>
    <w:rsid w:val="0022796D"/>
    <w:rsid w:val="002279ED"/>
    <w:rsid w:val="002279F1"/>
    <w:rsid w:val="00227A88"/>
    <w:rsid w:val="00227AA7"/>
    <w:rsid w:val="00227BCB"/>
    <w:rsid w:val="00227C3E"/>
    <w:rsid w:val="00227C7A"/>
    <w:rsid w:val="00227C97"/>
    <w:rsid w:val="00227DFF"/>
    <w:rsid w:val="00227E15"/>
    <w:rsid w:val="00227F5C"/>
    <w:rsid w:val="00227F9C"/>
    <w:rsid w:val="00230348"/>
    <w:rsid w:val="002303E3"/>
    <w:rsid w:val="00230470"/>
    <w:rsid w:val="002304A3"/>
    <w:rsid w:val="002305E9"/>
    <w:rsid w:val="002306E6"/>
    <w:rsid w:val="002307DF"/>
    <w:rsid w:val="00230A22"/>
    <w:rsid w:val="00230C1C"/>
    <w:rsid w:val="00230C24"/>
    <w:rsid w:val="00230EB6"/>
    <w:rsid w:val="00231114"/>
    <w:rsid w:val="002311F0"/>
    <w:rsid w:val="00231210"/>
    <w:rsid w:val="00231284"/>
    <w:rsid w:val="002312A9"/>
    <w:rsid w:val="002312EA"/>
    <w:rsid w:val="002313A2"/>
    <w:rsid w:val="002313D2"/>
    <w:rsid w:val="0023157E"/>
    <w:rsid w:val="0023164C"/>
    <w:rsid w:val="00231742"/>
    <w:rsid w:val="00231760"/>
    <w:rsid w:val="00231863"/>
    <w:rsid w:val="00231888"/>
    <w:rsid w:val="002319B8"/>
    <w:rsid w:val="00231B10"/>
    <w:rsid w:val="00231B47"/>
    <w:rsid w:val="00231BAE"/>
    <w:rsid w:val="00231DD7"/>
    <w:rsid w:val="00231DEC"/>
    <w:rsid w:val="00232032"/>
    <w:rsid w:val="002320F8"/>
    <w:rsid w:val="002321A0"/>
    <w:rsid w:val="002328E7"/>
    <w:rsid w:val="00232A74"/>
    <w:rsid w:val="00232C26"/>
    <w:rsid w:val="00232D4E"/>
    <w:rsid w:val="00232DB6"/>
    <w:rsid w:val="00232EAE"/>
    <w:rsid w:val="00233100"/>
    <w:rsid w:val="00233128"/>
    <w:rsid w:val="0023316B"/>
    <w:rsid w:val="002331BF"/>
    <w:rsid w:val="0023326F"/>
    <w:rsid w:val="002332B6"/>
    <w:rsid w:val="0023334D"/>
    <w:rsid w:val="002335D8"/>
    <w:rsid w:val="00233858"/>
    <w:rsid w:val="0023398A"/>
    <w:rsid w:val="002339DA"/>
    <w:rsid w:val="00233AB4"/>
    <w:rsid w:val="00233C6E"/>
    <w:rsid w:val="00233DC4"/>
    <w:rsid w:val="00233FA2"/>
    <w:rsid w:val="00233FCC"/>
    <w:rsid w:val="00234366"/>
    <w:rsid w:val="00234403"/>
    <w:rsid w:val="00234430"/>
    <w:rsid w:val="00234461"/>
    <w:rsid w:val="0023457C"/>
    <w:rsid w:val="002345AD"/>
    <w:rsid w:val="002345EC"/>
    <w:rsid w:val="00234612"/>
    <w:rsid w:val="00234841"/>
    <w:rsid w:val="00234922"/>
    <w:rsid w:val="00234B31"/>
    <w:rsid w:val="00234B4F"/>
    <w:rsid w:val="00234D92"/>
    <w:rsid w:val="00234DBD"/>
    <w:rsid w:val="00234FA1"/>
    <w:rsid w:val="002350CF"/>
    <w:rsid w:val="002351BB"/>
    <w:rsid w:val="002351C3"/>
    <w:rsid w:val="002351FA"/>
    <w:rsid w:val="002352CA"/>
    <w:rsid w:val="002354EE"/>
    <w:rsid w:val="00235600"/>
    <w:rsid w:val="002357F5"/>
    <w:rsid w:val="002358B8"/>
    <w:rsid w:val="0023591B"/>
    <w:rsid w:val="00235AF9"/>
    <w:rsid w:val="00235B02"/>
    <w:rsid w:val="00235BDB"/>
    <w:rsid w:val="00235C28"/>
    <w:rsid w:val="00235F0B"/>
    <w:rsid w:val="00236005"/>
    <w:rsid w:val="00236040"/>
    <w:rsid w:val="00236199"/>
    <w:rsid w:val="002361DB"/>
    <w:rsid w:val="002362D2"/>
    <w:rsid w:val="00236398"/>
    <w:rsid w:val="00236755"/>
    <w:rsid w:val="00236761"/>
    <w:rsid w:val="00236A54"/>
    <w:rsid w:val="00236A6F"/>
    <w:rsid w:val="00236AD1"/>
    <w:rsid w:val="00236BE2"/>
    <w:rsid w:val="00236CEA"/>
    <w:rsid w:val="00236D45"/>
    <w:rsid w:val="00236ED4"/>
    <w:rsid w:val="00236F83"/>
    <w:rsid w:val="00236F86"/>
    <w:rsid w:val="00236FF3"/>
    <w:rsid w:val="0023700C"/>
    <w:rsid w:val="0023716E"/>
    <w:rsid w:val="002371AF"/>
    <w:rsid w:val="0023739D"/>
    <w:rsid w:val="002374BA"/>
    <w:rsid w:val="00237537"/>
    <w:rsid w:val="0023778E"/>
    <w:rsid w:val="002378F7"/>
    <w:rsid w:val="00237937"/>
    <w:rsid w:val="002379B6"/>
    <w:rsid w:val="00237A02"/>
    <w:rsid w:val="00237B80"/>
    <w:rsid w:val="00237C7A"/>
    <w:rsid w:val="00237CB0"/>
    <w:rsid w:val="00237E09"/>
    <w:rsid w:val="00237F1C"/>
    <w:rsid w:val="00237F5A"/>
    <w:rsid w:val="00240132"/>
    <w:rsid w:val="00240229"/>
    <w:rsid w:val="00240353"/>
    <w:rsid w:val="00240360"/>
    <w:rsid w:val="002403E8"/>
    <w:rsid w:val="00240474"/>
    <w:rsid w:val="00240536"/>
    <w:rsid w:val="00240583"/>
    <w:rsid w:val="002406BD"/>
    <w:rsid w:val="0024070A"/>
    <w:rsid w:val="00240767"/>
    <w:rsid w:val="002407A6"/>
    <w:rsid w:val="00240847"/>
    <w:rsid w:val="00240883"/>
    <w:rsid w:val="00240892"/>
    <w:rsid w:val="002409A2"/>
    <w:rsid w:val="002409B8"/>
    <w:rsid w:val="00240BA6"/>
    <w:rsid w:val="00240BD8"/>
    <w:rsid w:val="00240DB6"/>
    <w:rsid w:val="00240DF3"/>
    <w:rsid w:val="00240E61"/>
    <w:rsid w:val="00240E68"/>
    <w:rsid w:val="00240EB6"/>
    <w:rsid w:val="00240FC8"/>
    <w:rsid w:val="0024108F"/>
    <w:rsid w:val="002410BF"/>
    <w:rsid w:val="002412DE"/>
    <w:rsid w:val="00241368"/>
    <w:rsid w:val="002414C2"/>
    <w:rsid w:val="002414E0"/>
    <w:rsid w:val="00241563"/>
    <w:rsid w:val="00241569"/>
    <w:rsid w:val="00241597"/>
    <w:rsid w:val="002416D0"/>
    <w:rsid w:val="00241733"/>
    <w:rsid w:val="002417D7"/>
    <w:rsid w:val="00241967"/>
    <w:rsid w:val="00241BDA"/>
    <w:rsid w:val="00241D23"/>
    <w:rsid w:val="00241D40"/>
    <w:rsid w:val="00241E09"/>
    <w:rsid w:val="00241F70"/>
    <w:rsid w:val="00241FCB"/>
    <w:rsid w:val="0024204B"/>
    <w:rsid w:val="00242074"/>
    <w:rsid w:val="00242085"/>
    <w:rsid w:val="002420FF"/>
    <w:rsid w:val="00242283"/>
    <w:rsid w:val="002422C2"/>
    <w:rsid w:val="00242412"/>
    <w:rsid w:val="00242454"/>
    <w:rsid w:val="002425EF"/>
    <w:rsid w:val="002426F1"/>
    <w:rsid w:val="002426FB"/>
    <w:rsid w:val="00242952"/>
    <w:rsid w:val="00242A49"/>
    <w:rsid w:val="00242B7C"/>
    <w:rsid w:val="00242CBF"/>
    <w:rsid w:val="00242D2B"/>
    <w:rsid w:val="00242E03"/>
    <w:rsid w:val="00242E98"/>
    <w:rsid w:val="00242F25"/>
    <w:rsid w:val="00242F3A"/>
    <w:rsid w:val="00242F7A"/>
    <w:rsid w:val="00242FC1"/>
    <w:rsid w:val="00243143"/>
    <w:rsid w:val="00243278"/>
    <w:rsid w:val="002432B6"/>
    <w:rsid w:val="0024333B"/>
    <w:rsid w:val="0024334A"/>
    <w:rsid w:val="0024335A"/>
    <w:rsid w:val="0024337D"/>
    <w:rsid w:val="002436CA"/>
    <w:rsid w:val="00243709"/>
    <w:rsid w:val="0024372D"/>
    <w:rsid w:val="00243816"/>
    <w:rsid w:val="00243973"/>
    <w:rsid w:val="00243A93"/>
    <w:rsid w:val="00243DC5"/>
    <w:rsid w:val="00243E1C"/>
    <w:rsid w:val="00243E42"/>
    <w:rsid w:val="00243F99"/>
    <w:rsid w:val="00244100"/>
    <w:rsid w:val="00244128"/>
    <w:rsid w:val="002442F0"/>
    <w:rsid w:val="002442F7"/>
    <w:rsid w:val="00244321"/>
    <w:rsid w:val="0024433B"/>
    <w:rsid w:val="0024447E"/>
    <w:rsid w:val="00244543"/>
    <w:rsid w:val="00244584"/>
    <w:rsid w:val="002445BE"/>
    <w:rsid w:val="00244A04"/>
    <w:rsid w:val="00244B8C"/>
    <w:rsid w:val="00244BF3"/>
    <w:rsid w:val="00244CAB"/>
    <w:rsid w:val="00244E66"/>
    <w:rsid w:val="00244E82"/>
    <w:rsid w:val="00244F50"/>
    <w:rsid w:val="00244FD6"/>
    <w:rsid w:val="002451DD"/>
    <w:rsid w:val="00245318"/>
    <w:rsid w:val="002453A5"/>
    <w:rsid w:val="002453BE"/>
    <w:rsid w:val="002453E3"/>
    <w:rsid w:val="00245623"/>
    <w:rsid w:val="0024571C"/>
    <w:rsid w:val="0024572A"/>
    <w:rsid w:val="00245753"/>
    <w:rsid w:val="0024577F"/>
    <w:rsid w:val="00245780"/>
    <w:rsid w:val="002457EF"/>
    <w:rsid w:val="002458D5"/>
    <w:rsid w:val="002458FC"/>
    <w:rsid w:val="00245B8E"/>
    <w:rsid w:val="00245D9F"/>
    <w:rsid w:val="00245E1B"/>
    <w:rsid w:val="00245E34"/>
    <w:rsid w:val="00245F75"/>
    <w:rsid w:val="0024609E"/>
    <w:rsid w:val="002460BF"/>
    <w:rsid w:val="002461A2"/>
    <w:rsid w:val="0024624E"/>
    <w:rsid w:val="00246379"/>
    <w:rsid w:val="0024661C"/>
    <w:rsid w:val="002466B1"/>
    <w:rsid w:val="002466B7"/>
    <w:rsid w:val="002466D5"/>
    <w:rsid w:val="002467AF"/>
    <w:rsid w:val="002469BE"/>
    <w:rsid w:val="00246C3B"/>
    <w:rsid w:val="00246D4E"/>
    <w:rsid w:val="00246D76"/>
    <w:rsid w:val="00246E41"/>
    <w:rsid w:val="0024716B"/>
    <w:rsid w:val="002471BB"/>
    <w:rsid w:val="002471E9"/>
    <w:rsid w:val="0024731F"/>
    <w:rsid w:val="0024756E"/>
    <w:rsid w:val="00247705"/>
    <w:rsid w:val="002477F3"/>
    <w:rsid w:val="00247812"/>
    <w:rsid w:val="002479DD"/>
    <w:rsid w:val="00247AB6"/>
    <w:rsid w:val="00247C45"/>
    <w:rsid w:val="00247CB3"/>
    <w:rsid w:val="00247D95"/>
    <w:rsid w:val="00250000"/>
    <w:rsid w:val="00250094"/>
    <w:rsid w:val="002500DC"/>
    <w:rsid w:val="0025011C"/>
    <w:rsid w:val="00250161"/>
    <w:rsid w:val="00250188"/>
    <w:rsid w:val="002501A2"/>
    <w:rsid w:val="00250348"/>
    <w:rsid w:val="0025042C"/>
    <w:rsid w:val="00250433"/>
    <w:rsid w:val="00250577"/>
    <w:rsid w:val="0025074A"/>
    <w:rsid w:val="0025094C"/>
    <w:rsid w:val="002509F9"/>
    <w:rsid w:val="00250AE2"/>
    <w:rsid w:val="00250BEC"/>
    <w:rsid w:val="00250C15"/>
    <w:rsid w:val="00250DAE"/>
    <w:rsid w:val="00250DC5"/>
    <w:rsid w:val="00250DE7"/>
    <w:rsid w:val="00251151"/>
    <w:rsid w:val="002512B2"/>
    <w:rsid w:val="0025147E"/>
    <w:rsid w:val="002517AC"/>
    <w:rsid w:val="002517E9"/>
    <w:rsid w:val="00251901"/>
    <w:rsid w:val="00251903"/>
    <w:rsid w:val="00251A4C"/>
    <w:rsid w:val="00251B4B"/>
    <w:rsid w:val="00251BA1"/>
    <w:rsid w:val="00251D3B"/>
    <w:rsid w:val="00251D82"/>
    <w:rsid w:val="00251D88"/>
    <w:rsid w:val="00251E43"/>
    <w:rsid w:val="00251E97"/>
    <w:rsid w:val="002522BD"/>
    <w:rsid w:val="002522EF"/>
    <w:rsid w:val="00252471"/>
    <w:rsid w:val="00252676"/>
    <w:rsid w:val="00252699"/>
    <w:rsid w:val="002527C2"/>
    <w:rsid w:val="002529B2"/>
    <w:rsid w:val="00252A63"/>
    <w:rsid w:val="00252B25"/>
    <w:rsid w:val="00252B3B"/>
    <w:rsid w:val="00252B5D"/>
    <w:rsid w:val="00252BD5"/>
    <w:rsid w:val="00252CA4"/>
    <w:rsid w:val="00252CF7"/>
    <w:rsid w:val="00252DE1"/>
    <w:rsid w:val="00252F0F"/>
    <w:rsid w:val="00252F63"/>
    <w:rsid w:val="00252FB8"/>
    <w:rsid w:val="00253012"/>
    <w:rsid w:val="0025302F"/>
    <w:rsid w:val="002530EC"/>
    <w:rsid w:val="00253268"/>
    <w:rsid w:val="002532F0"/>
    <w:rsid w:val="002534D2"/>
    <w:rsid w:val="002535BD"/>
    <w:rsid w:val="00253851"/>
    <w:rsid w:val="00253BE6"/>
    <w:rsid w:val="00253D8D"/>
    <w:rsid w:val="00253DB3"/>
    <w:rsid w:val="00253E0E"/>
    <w:rsid w:val="00253E16"/>
    <w:rsid w:val="00253F17"/>
    <w:rsid w:val="00253F1A"/>
    <w:rsid w:val="00253F50"/>
    <w:rsid w:val="00253F55"/>
    <w:rsid w:val="00253F9C"/>
    <w:rsid w:val="00253FF4"/>
    <w:rsid w:val="002543B0"/>
    <w:rsid w:val="00254475"/>
    <w:rsid w:val="0025449B"/>
    <w:rsid w:val="00254557"/>
    <w:rsid w:val="0025474C"/>
    <w:rsid w:val="0025474E"/>
    <w:rsid w:val="002547BB"/>
    <w:rsid w:val="0025480D"/>
    <w:rsid w:val="00254888"/>
    <w:rsid w:val="002548CA"/>
    <w:rsid w:val="002549CB"/>
    <w:rsid w:val="002549D2"/>
    <w:rsid w:val="002549E1"/>
    <w:rsid w:val="00254A13"/>
    <w:rsid w:val="00254A59"/>
    <w:rsid w:val="00254B9C"/>
    <w:rsid w:val="00254BF2"/>
    <w:rsid w:val="00254C32"/>
    <w:rsid w:val="00254C48"/>
    <w:rsid w:val="00254CAB"/>
    <w:rsid w:val="00254D29"/>
    <w:rsid w:val="00254D4C"/>
    <w:rsid w:val="00254E35"/>
    <w:rsid w:val="00254EB0"/>
    <w:rsid w:val="00254EDF"/>
    <w:rsid w:val="00254F04"/>
    <w:rsid w:val="00255009"/>
    <w:rsid w:val="0025510E"/>
    <w:rsid w:val="0025513E"/>
    <w:rsid w:val="00255402"/>
    <w:rsid w:val="0025557F"/>
    <w:rsid w:val="0025574D"/>
    <w:rsid w:val="002557A8"/>
    <w:rsid w:val="002558D1"/>
    <w:rsid w:val="00255B11"/>
    <w:rsid w:val="00255B2C"/>
    <w:rsid w:val="00255BC4"/>
    <w:rsid w:val="00255BFC"/>
    <w:rsid w:val="00255C20"/>
    <w:rsid w:val="00255C65"/>
    <w:rsid w:val="00255C86"/>
    <w:rsid w:val="00255D39"/>
    <w:rsid w:val="00255D5E"/>
    <w:rsid w:val="00255D61"/>
    <w:rsid w:val="00255D9C"/>
    <w:rsid w:val="00255FAD"/>
    <w:rsid w:val="00255FC0"/>
    <w:rsid w:val="00256128"/>
    <w:rsid w:val="00256159"/>
    <w:rsid w:val="00256165"/>
    <w:rsid w:val="002561FE"/>
    <w:rsid w:val="002563E0"/>
    <w:rsid w:val="00256418"/>
    <w:rsid w:val="00256426"/>
    <w:rsid w:val="00256462"/>
    <w:rsid w:val="002564D0"/>
    <w:rsid w:val="0025663D"/>
    <w:rsid w:val="00256688"/>
    <w:rsid w:val="00256759"/>
    <w:rsid w:val="00256868"/>
    <w:rsid w:val="0025695F"/>
    <w:rsid w:val="00256962"/>
    <w:rsid w:val="0025697D"/>
    <w:rsid w:val="002569C4"/>
    <w:rsid w:val="00256B86"/>
    <w:rsid w:val="00256D36"/>
    <w:rsid w:val="00256D4A"/>
    <w:rsid w:val="00256F09"/>
    <w:rsid w:val="00256F28"/>
    <w:rsid w:val="00256F54"/>
    <w:rsid w:val="0025700A"/>
    <w:rsid w:val="002570F1"/>
    <w:rsid w:val="00257139"/>
    <w:rsid w:val="0025723A"/>
    <w:rsid w:val="0025728E"/>
    <w:rsid w:val="0025734D"/>
    <w:rsid w:val="002574AE"/>
    <w:rsid w:val="0025770D"/>
    <w:rsid w:val="00257903"/>
    <w:rsid w:val="00257979"/>
    <w:rsid w:val="0025798B"/>
    <w:rsid w:val="002579F7"/>
    <w:rsid w:val="00257A08"/>
    <w:rsid w:val="00257ACA"/>
    <w:rsid w:val="00257BF0"/>
    <w:rsid w:val="00257CD2"/>
    <w:rsid w:val="00257CF3"/>
    <w:rsid w:val="00257E2F"/>
    <w:rsid w:val="00257E46"/>
    <w:rsid w:val="00257F7C"/>
    <w:rsid w:val="00257FD5"/>
    <w:rsid w:val="00260029"/>
    <w:rsid w:val="0026008D"/>
    <w:rsid w:val="002600C4"/>
    <w:rsid w:val="0026016C"/>
    <w:rsid w:val="002601FF"/>
    <w:rsid w:val="0026028C"/>
    <w:rsid w:val="0026047D"/>
    <w:rsid w:val="002604BA"/>
    <w:rsid w:val="00260544"/>
    <w:rsid w:val="0026064D"/>
    <w:rsid w:val="00260676"/>
    <w:rsid w:val="002606A7"/>
    <w:rsid w:val="00260914"/>
    <w:rsid w:val="0026091E"/>
    <w:rsid w:val="00260B07"/>
    <w:rsid w:val="00260BB2"/>
    <w:rsid w:val="00260CF7"/>
    <w:rsid w:val="002610A9"/>
    <w:rsid w:val="002610B7"/>
    <w:rsid w:val="002610BC"/>
    <w:rsid w:val="002610C8"/>
    <w:rsid w:val="0026117E"/>
    <w:rsid w:val="00261248"/>
    <w:rsid w:val="0026125F"/>
    <w:rsid w:val="0026145F"/>
    <w:rsid w:val="0026149F"/>
    <w:rsid w:val="0026164C"/>
    <w:rsid w:val="0026176D"/>
    <w:rsid w:val="002619E7"/>
    <w:rsid w:val="00261ABA"/>
    <w:rsid w:val="00261B10"/>
    <w:rsid w:val="00261C3C"/>
    <w:rsid w:val="00261D87"/>
    <w:rsid w:val="00261DA2"/>
    <w:rsid w:val="00261EA9"/>
    <w:rsid w:val="00262004"/>
    <w:rsid w:val="0026232C"/>
    <w:rsid w:val="0026241D"/>
    <w:rsid w:val="00262588"/>
    <w:rsid w:val="002625B4"/>
    <w:rsid w:val="0026277D"/>
    <w:rsid w:val="002628DF"/>
    <w:rsid w:val="0026291A"/>
    <w:rsid w:val="00262989"/>
    <w:rsid w:val="002629EE"/>
    <w:rsid w:val="00262A31"/>
    <w:rsid w:val="00262A88"/>
    <w:rsid w:val="00262C50"/>
    <w:rsid w:val="00262EC7"/>
    <w:rsid w:val="00262EE5"/>
    <w:rsid w:val="00262F7B"/>
    <w:rsid w:val="00262FC4"/>
    <w:rsid w:val="00263126"/>
    <w:rsid w:val="00263148"/>
    <w:rsid w:val="002631CA"/>
    <w:rsid w:val="0026321C"/>
    <w:rsid w:val="00263283"/>
    <w:rsid w:val="002633B3"/>
    <w:rsid w:val="002633F3"/>
    <w:rsid w:val="0026343B"/>
    <w:rsid w:val="00263444"/>
    <w:rsid w:val="00263471"/>
    <w:rsid w:val="002634B5"/>
    <w:rsid w:val="00263672"/>
    <w:rsid w:val="002636ED"/>
    <w:rsid w:val="002636FD"/>
    <w:rsid w:val="00263740"/>
    <w:rsid w:val="00263981"/>
    <w:rsid w:val="002639C5"/>
    <w:rsid w:val="00263AC6"/>
    <w:rsid w:val="00263B06"/>
    <w:rsid w:val="00263BC3"/>
    <w:rsid w:val="00263D19"/>
    <w:rsid w:val="00263DDE"/>
    <w:rsid w:val="00263E22"/>
    <w:rsid w:val="00263E8E"/>
    <w:rsid w:val="002640D5"/>
    <w:rsid w:val="002641F3"/>
    <w:rsid w:val="00264296"/>
    <w:rsid w:val="002643A2"/>
    <w:rsid w:val="00264437"/>
    <w:rsid w:val="00264501"/>
    <w:rsid w:val="0026453D"/>
    <w:rsid w:val="002645EF"/>
    <w:rsid w:val="00264612"/>
    <w:rsid w:val="00264676"/>
    <w:rsid w:val="0026475A"/>
    <w:rsid w:val="002647A4"/>
    <w:rsid w:val="002647C9"/>
    <w:rsid w:val="00264838"/>
    <w:rsid w:val="002648E5"/>
    <w:rsid w:val="00264916"/>
    <w:rsid w:val="00264BE5"/>
    <w:rsid w:val="00264C21"/>
    <w:rsid w:val="00264C55"/>
    <w:rsid w:val="00264CEE"/>
    <w:rsid w:val="00264D4D"/>
    <w:rsid w:val="00264D7D"/>
    <w:rsid w:val="00264DE2"/>
    <w:rsid w:val="00264E5B"/>
    <w:rsid w:val="00265089"/>
    <w:rsid w:val="0026514E"/>
    <w:rsid w:val="002651C2"/>
    <w:rsid w:val="002651E3"/>
    <w:rsid w:val="00265247"/>
    <w:rsid w:val="00265320"/>
    <w:rsid w:val="002653F4"/>
    <w:rsid w:val="00265420"/>
    <w:rsid w:val="002655BF"/>
    <w:rsid w:val="0026560D"/>
    <w:rsid w:val="00265655"/>
    <w:rsid w:val="00265663"/>
    <w:rsid w:val="002656B9"/>
    <w:rsid w:val="0026578E"/>
    <w:rsid w:val="002657E1"/>
    <w:rsid w:val="002657FA"/>
    <w:rsid w:val="00265859"/>
    <w:rsid w:val="002659DC"/>
    <w:rsid w:val="002659F1"/>
    <w:rsid w:val="00265AD8"/>
    <w:rsid w:val="00265D62"/>
    <w:rsid w:val="00265DA7"/>
    <w:rsid w:val="00265EF9"/>
    <w:rsid w:val="00265F14"/>
    <w:rsid w:val="00265F37"/>
    <w:rsid w:val="00265FC7"/>
    <w:rsid w:val="00265FF0"/>
    <w:rsid w:val="002661AD"/>
    <w:rsid w:val="002661B8"/>
    <w:rsid w:val="002662B6"/>
    <w:rsid w:val="00266321"/>
    <w:rsid w:val="0026657E"/>
    <w:rsid w:val="00266610"/>
    <w:rsid w:val="00266615"/>
    <w:rsid w:val="00266643"/>
    <w:rsid w:val="0026672E"/>
    <w:rsid w:val="002668C3"/>
    <w:rsid w:val="00266C20"/>
    <w:rsid w:val="00266CDD"/>
    <w:rsid w:val="00266CEF"/>
    <w:rsid w:val="00266CFA"/>
    <w:rsid w:val="00266FAC"/>
    <w:rsid w:val="00266FEE"/>
    <w:rsid w:val="0026703E"/>
    <w:rsid w:val="00267072"/>
    <w:rsid w:val="00267090"/>
    <w:rsid w:val="002671C2"/>
    <w:rsid w:val="00267212"/>
    <w:rsid w:val="002673A7"/>
    <w:rsid w:val="00267410"/>
    <w:rsid w:val="0026742C"/>
    <w:rsid w:val="002674F8"/>
    <w:rsid w:val="0026751D"/>
    <w:rsid w:val="002675FC"/>
    <w:rsid w:val="00267625"/>
    <w:rsid w:val="00267734"/>
    <w:rsid w:val="0026776A"/>
    <w:rsid w:val="0026784E"/>
    <w:rsid w:val="0026793D"/>
    <w:rsid w:val="002679BC"/>
    <w:rsid w:val="00267A28"/>
    <w:rsid w:val="00267B75"/>
    <w:rsid w:val="00267D9D"/>
    <w:rsid w:val="00267E0E"/>
    <w:rsid w:val="00267E9C"/>
    <w:rsid w:val="00267FF4"/>
    <w:rsid w:val="00270144"/>
    <w:rsid w:val="0027014F"/>
    <w:rsid w:val="00270183"/>
    <w:rsid w:val="002703C8"/>
    <w:rsid w:val="00270812"/>
    <w:rsid w:val="002708F8"/>
    <w:rsid w:val="00270924"/>
    <w:rsid w:val="002709A6"/>
    <w:rsid w:val="002709DF"/>
    <w:rsid w:val="00270BA3"/>
    <w:rsid w:val="00270CBF"/>
    <w:rsid w:val="00270DBF"/>
    <w:rsid w:val="00270DDC"/>
    <w:rsid w:val="00270EAC"/>
    <w:rsid w:val="00270FB0"/>
    <w:rsid w:val="0027105E"/>
    <w:rsid w:val="00271277"/>
    <w:rsid w:val="002717E4"/>
    <w:rsid w:val="00271996"/>
    <w:rsid w:val="00271A3A"/>
    <w:rsid w:val="00271AA4"/>
    <w:rsid w:val="00271BC7"/>
    <w:rsid w:val="00271CD1"/>
    <w:rsid w:val="00271D74"/>
    <w:rsid w:val="00271E79"/>
    <w:rsid w:val="00271F1E"/>
    <w:rsid w:val="00271F71"/>
    <w:rsid w:val="0027203C"/>
    <w:rsid w:val="0027208A"/>
    <w:rsid w:val="0027216B"/>
    <w:rsid w:val="00272239"/>
    <w:rsid w:val="002722E4"/>
    <w:rsid w:val="0027279E"/>
    <w:rsid w:val="002727AF"/>
    <w:rsid w:val="002727C8"/>
    <w:rsid w:val="0027280F"/>
    <w:rsid w:val="00272857"/>
    <w:rsid w:val="002729EB"/>
    <w:rsid w:val="00272AE8"/>
    <w:rsid w:val="00272B7C"/>
    <w:rsid w:val="00272C5E"/>
    <w:rsid w:val="00272D72"/>
    <w:rsid w:val="00272E0D"/>
    <w:rsid w:val="00272E50"/>
    <w:rsid w:val="00272EFF"/>
    <w:rsid w:val="00272F6D"/>
    <w:rsid w:val="00272FD2"/>
    <w:rsid w:val="0027319F"/>
    <w:rsid w:val="002732F5"/>
    <w:rsid w:val="002732FB"/>
    <w:rsid w:val="00273344"/>
    <w:rsid w:val="0027345A"/>
    <w:rsid w:val="00273496"/>
    <w:rsid w:val="002734A0"/>
    <w:rsid w:val="00273526"/>
    <w:rsid w:val="00273591"/>
    <w:rsid w:val="0027360E"/>
    <w:rsid w:val="002736C7"/>
    <w:rsid w:val="002736FC"/>
    <w:rsid w:val="002737A7"/>
    <w:rsid w:val="0027385D"/>
    <w:rsid w:val="002738F7"/>
    <w:rsid w:val="00273995"/>
    <w:rsid w:val="00273B0E"/>
    <w:rsid w:val="00273B41"/>
    <w:rsid w:val="00273BF5"/>
    <w:rsid w:val="00273CE8"/>
    <w:rsid w:val="00273D07"/>
    <w:rsid w:val="00273DE2"/>
    <w:rsid w:val="00273EE4"/>
    <w:rsid w:val="00273F61"/>
    <w:rsid w:val="00273F84"/>
    <w:rsid w:val="0027407A"/>
    <w:rsid w:val="0027412A"/>
    <w:rsid w:val="002741C3"/>
    <w:rsid w:val="00274214"/>
    <w:rsid w:val="00274412"/>
    <w:rsid w:val="0027444B"/>
    <w:rsid w:val="00274767"/>
    <w:rsid w:val="0027496E"/>
    <w:rsid w:val="00274A23"/>
    <w:rsid w:val="00274AE1"/>
    <w:rsid w:val="00274C3E"/>
    <w:rsid w:val="00274C74"/>
    <w:rsid w:val="00274D5D"/>
    <w:rsid w:val="00274E01"/>
    <w:rsid w:val="00274E08"/>
    <w:rsid w:val="00274E6B"/>
    <w:rsid w:val="00274EF3"/>
    <w:rsid w:val="00274F88"/>
    <w:rsid w:val="00275006"/>
    <w:rsid w:val="0027505B"/>
    <w:rsid w:val="002750D7"/>
    <w:rsid w:val="00275129"/>
    <w:rsid w:val="002751E7"/>
    <w:rsid w:val="002752CD"/>
    <w:rsid w:val="002752F2"/>
    <w:rsid w:val="0027550D"/>
    <w:rsid w:val="002755CF"/>
    <w:rsid w:val="00275698"/>
    <w:rsid w:val="0027587D"/>
    <w:rsid w:val="0027589A"/>
    <w:rsid w:val="00275915"/>
    <w:rsid w:val="00275A59"/>
    <w:rsid w:val="00275AFC"/>
    <w:rsid w:val="00275B9F"/>
    <w:rsid w:val="00275CCE"/>
    <w:rsid w:val="00275DE3"/>
    <w:rsid w:val="00275F50"/>
    <w:rsid w:val="00275F8A"/>
    <w:rsid w:val="002760AF"/>
    <w:rsid w:val="00276262"/>
    <w:rsid w:val="00276371"/>
    <w:rsid w:val="00276447"/>
    <w:rsid w:val="0027646C"/>
    <w:rsid w:val="00276580"/>
    <w:rsid w:val="00276720"/>
    <w:rsid w:val="0027679F"/>
    <w:rsid w:val="0027681B"/>
    <w:rsid w:val="00276833"/>
    <w:rsid w:val="0027697D"/>
    <w:rsid w:val="00276989"/>
    <w:rsid w:val="00276AE5"/>
    <w:rsid w:val="00276B2C"/>
    <w:rsid w:val="00276BBF"/>
    <w:rsid w:val="00276BF3"/>
    <w:rsid w:val="00276C32"/>
    <w:rsid w:val="00276C86"/>
    <w:rsid w:val="00276CC2"/>
    <w:rsid w:val="00276E17"/>
    <w:rsid w:val="00277040"/>
    <w:rsid w:val="00277290"/>
    <w:rsid w:val="00277616"/>
    <w:rsid w:val="0027785D"/>
    <w:rsid w:val="0027796F"/>
    <w:rsid w:val="00277982"/>
    <w:rsid w:val="002779A3"/>
    <w:rsid w:val="00277BAC"/>
    <w:rsid w:val="00277BB8"/>
    <w:rsid w:val="00277C1E"/>
    <w:rsid w:val="00277C1F"/>
    <w:rsid w:val="00277D6B"/>
    <w:rsid w:val="00277FA2"/>
    <w:rsid w:val="00280199"/>
    <w:rsid w:val="00280225"/>
    <w:rsid w:val="0028036D"/>
    <w:rsid w:val="002803D9"/>
    <w:rsid w:val="00280492"/>
    <w:rsid w:val="002804EE"/>
    <w:rsid w:val="002805CF"/>
    <w:rsid w:val="002806C2"/>
    <w:rsid w:val="002806E7"/>
    <w:rsid w:val="002806FB"/>
    <w:rsid w:val="002807C6"/>
    <w:rsid w:val="002807D4"/>
    <w:rsid w:val="00280846"/>
    <w:rsid w:val="0028095F"/>
    <w:rsid w:val="00280A7A"/>
    <w:rsid w:val="00280D2F"/>
    <w:rsid w:val="00280DE5"/>
    <w:rsid w:val="00280E47"/>
    <w:rsid w:val="00280E9B"/>
    <w:rsid w:val="00280ECE"/>
    <w:rsid w:val="00280F36"/>
    <w:rsid w:val="00281090"/>
    <w:rsid w:val="00281135"/>
    <w:rsid w:val="002811F5"/>
    <w:rsid w:val="002812CF"/>
    <w:rsid w:val="0028134C"/>
    <w:rsid w:val="002813BE"/>
    <w:rsid w:val="002814CA"/>
    <w:rsid w:val="0028159A"/>
    <w:rsid w:val="00281642"/>
    <w:rsid w:val="00281725"/>
    <w:rsid w:val="0028175D"/>
    <w:rsid w:val="00281840"/>
    <w:rsid w:val="002818CA"/>
    <w:rsid w:val="002818D7"/>
    <w:rsid w:val="002819EF"/>
    <w:rsid w:val="00281B0A"/>
    <w:rsid w:val="00281B8E"/>
    <w:rsid w:val="00281BB1"/>
    <w:rsid w:val="00281BF0"/>
    <w:rsid w:val="00281CE1"/>
    <w:rsid w:val="00281D72"/>
    <w:rsid w:val="00281F16"/>
    <w:rsid w:val="00281F94"/>
    <w:rsid w:val="002820DA"/>
    <w:rsid w:val="00282289"/>
    <w:rsid w:val="00282360"/>
    <w:rsid w:val="002823EB"/>
    <w:rsid w:val="002824C9"/>
    <w:rsid w:val="002824DC"/>
    <w:rsid w:val="0028267B"/>
    <w:rsid w:val="0028272D"/>
    <w:rsid w:val="00282781"/>
    <w:rsid w:val="002827D0"/>
    <w:rsid w:val="0028281F"/>
    <w:rsid w:val="002828BD"/>
    <w:rsid w:val="00282911"/>
    <w:rsid w:val="00282944"/>
    <w:rsid w:val="00282990"/>
    <w:rsid w:val="00282A01"/>
    <w:rsid w:val="00282A46"/>
    <w:rsid w:val="00282ACF"/>
    <w:rsid w:val="00282C2D"/>
    <w:rsid w:val="00282C56"/>
    <w:rsid w:val="00282E86"/>
    <w:rsid w:val="00283071"/>
    <w:rsid w:val="00283362"/>
    <w:rsid w:val="002834CD"/>
    <w:rsid w:val="00283580"/>
    <w:rsid w:val="002835D1"/>
    <w:rsid w:val="0028360E"/>
    <w:rsid w:val="00283691"/>
    <w:rsid w:val="002836D3"/>
    <w:rsid w:val="0028388E"/>
    <w:rsid w:val="002838B1"/>
    <w:rsid w:val="0028391C"/>
    <w:rsid w:val="00283921"/>
    <w:rsid w:val="00283942"/>
    <w:rsid w:val="00283975"/>
    <w:rsid w:val="00283A1B"/>
    <w:rsid w:val="00283C64"/>
    <w:rsid w:val="00283CEF"/>
    <w:rsid w:val="00283D3E"/>
    <w:rsid w:val="00283EC3"/>
    <w:rsid w:val="00283F40"/>
    <w:rsid w:val="00283FAE"/>
    <w:rsid w:val="002840D2"/>
    <w:rsid w:val="00284188"/>
    <w:rsid w:val="002842C2"/>
    <w:rsid w:val="00284686"/>
    <w:rsid w:val="002846ED"/>
    <w:rsid w:val="00284822"/>
    <w:rsid w:val="0028486C"/>
    <w:rsid w:val="00284980"/>
    <w:rsid w:val="00284A9E"/>
    <w:rsid w:val="00284BE5"/>
    <w:rsid w:val="00284BF6"/>
    <w:rsid w:val="00284C34"/>
    <w:rsid w:val="00284CCF"/>
    <w:rsid w:val="00284E08"/>
    <w:rsid w:val="00284F83"/>
    <w:rsid w:val="0028528B"/>
    <w:rsid w:val="002852DB"/>
    <w:rsid w:val="0028531D"/>
    <w:rsid w:val="002853C1"/>
    <w:rsid w:val="00285443"/>
    <w:rsid w:val="00285522"/>
    <w:rsid w:val="002856F5"/>
    <w:rsid w:val="002856FB"/>
    <w:rsid w:val="002859CF"/>
    <w:rsid w:val="00285A07"/>
    <w:rsid w:val="00285BFE"/>
    <w:rsid w:val="00285C58"/>
    <w:rsid w:val="00285CCC"/>
    <w:rsid w:val="00285E9D"/>
    <w:rsid w:val="00285EB1"/>
    <w:rsid w:val="0028612E"/>
    <w:rsid w:val="0028614B"/>
    <w:rsid w:val="002861B1"/>
    <w:rsid w:val="002861EF"/>
    <w:rsid w:val="002862C6"/>
    <w:rsid w:val="002863AC"/>
    <w:rsid w:val="00286461"/>
    <w:rsid w:val="00286536"/>
    <w:rsid w:val="00286947"/>
    <w:rsid w:val="00286B5C"/>
    <w:rsid w:val="00286BAE"/>
    <w:rsid w:val="00286BE3"/>
    <w:rsid w:val="00286E34"/>
    <w:rsid w:val="00286E51"/>
    <w:rsid w:val="00286E7D"/>
    <w:rsid w:val="00287197"/>
    <w:rsid w:val="00287349"/>
    <w:rsid w:val="0028745A"/>
    <w:rsid w:val="002874A2"/>
    <w:rsid w:val="002875F2"/>
    <w:rsid w:val="0028767A"/>
    <w:rsid w:val="0028794E"/>
    <w:rsid w:val="00287977"/>
    <w:rsid w:val="00287A60"/>
    <w:rsid w:val="00287BFF"/>
    <w:rsid w:val="00287D14"/>
    <w:rsid w:val="00287E14"/>
    <w:rsid w:val="00287EB3"/>
    <w:rsid w:val="00287F87"/>
    <w:rsid w:val="0028E788"/>
    <w:rsid w:val="002900D3"/>
    <w:rsid w:val="002900DA"/>
    <w:rsid w:val="002901FA"/>
    <w:rsid w:val="0029053F"/>
    <w:rsid w:val="00290646"/>
    <w:rsid w:val="002906AE"/>
    <w:rsid w:val="0029078A"/>
    <w:rsid w:val="002908AE"/>
    <w:rsid w:val="002908B8"/>
    <w:rsid w:val="00290908"/>
    <w:rsid w:val="00290959"/>
    <w:rsid w:val="00290985"/>
    <w:rsid w:val="00290996"/>
    <w:rsid w:val="00290A95"/>
    <w:rsid w:val="00290AC8"/>
    <w:rsid w:val="00290B57"/>
    <w:rsid w:val="00290BB2"/>
    <w:rsid w:val="00290BD8"/>
    <w:rsid w:val="00290DCC"/>
    <w:rsid w:val="00290E06"/>
    <w:rsid w:val="00290E10"/>
    <w:rsid w:val="00290E43"/>
    <w:rsid w:val="00290F53"/>
    <w:rsid w:val="00290F5D"/>
    <w:rsid w:val="00290FA8"/>
    <w:rsid w:val="00290FD7"/>
    <w:rsid w:val="00290FFE"/>
    <w:rsid w:val="00291057"/>
    <w:rsid w:val="002911A7"/>
    <w:rsid w:val="00291201"/>
    <w:rsid w:val="00291213"/>
    <w:rsid w:val="00291230"/>
    <w:rsid w:val="00291258"/>
    <w:rsid w:val="002913A4"/>
    <w:rsid w:val="00291438"/>
    <w:rsid w:val="002916CF"/>
    <w:rsid w:val="0029184E"/>
    <w:rsid w:val="0029185D"/>
    <w:rsid w:val="0029187F"/>
    <w:rsid w:val="00291932"/>
    <w:rsid w:val="00291A3C"/>
    <w:rsid w:val="00291AC6"/>
    <w:rsid w:val="00291ED8"/>
    <w:rsid w:val="00292359"/>
    <w:rsid w:val="002924C0"/>
    <w:rsid w:val="00292578"/>
    <w:rsid w:val="00292596"/>
    <w:rsid w:val="002926F6"/>
    <w:rsid w:val="0029276E"/>
    <w:rsid w:val="00292857"/>
    <w:rsid w:val="00292BE4"/>
    <w:rsid w:val="00292C1E"/>
    <w:rsid w:val="00292C31"/>
    <w:rsid w:val="00292DEF"/>
    <w:rsid w:val="00292EBA"/>
    <w:rsid w:val="00292FD3"/>
    <w:rsid w:val="0029310D"/>
    <w:rsid w:val="00293159"/>
    <w:rsid w:val="0029315D"/>
    <w:rsid w:val="00293175"/>
    <w:rsid w:val="00293340"/>
    <w:rsid w:val="002933D0"/>
    <w:rsid w:val="002934DD"/>
    <w:rsid w:val="002935F5"/>
    <w:rsid w:val="00293A91"/>
    <w:rsid w:val="00293A9D"/>
    <w:rsid w:val="00293BD8"/>
    <w:rsid w:val="00293D22"/>
    <w:rsid w:val="00293D30"/>
    <w:rsid w:val="00293D94"/>
    <w:rsid w:val="00293F39"/>
    <w:rsid w:val="00294109"/>
    <w:rsid w:val="002944A7"/>
    <w:rsid w:val="00294514"/>
    <w:rsid w:val="00294579"/>
    <w:rsid w:val="00294878"/>
    <w:rsid w:val="00294B97"/>
    <w:rsid w:val="00294BF5"/>
    <w:rsid w:val="00294C83"/>
    <w:rsid w:val="00294CD0"/>
    <w:rsid w:val="00294CDB"/>
    <w:rsid w:val="00294D1B"/>
    <w:rsid w:val="002950B1"/>
    <w:rsid w:val="002950C0"/>
    <w:rsid w:val="002951B2"/>
    <w:rsid w:val="002951D2"/>
    <w:rsid w:val="0029529C"/>
    <w:rsid w:val="002952F3"/>
    <w:rsid w:val="00295342"/>
    <w:rsid w:val="00295436"/>
    <w:rsid w:val="00295451"/>
    <w:rsid w:val="002955BE"/>
    <w:rsid w:val="00295637"/>
    <w:rsid w:val="00295640"/>
    <w:rsid w:val="00295959"/>
    <w:rsid w:val="0029597B"/>
    <w:rsid w:val="002959D9"/>
    <w:rsid w:val="00295B2C"/>
    <w:rsid w:val="00295B32"/>
    <w:rsid w:val="00295B99"/>
    <w:rsid w:val="00295D09"/>
    <w:rsid w:val="00295DEF"/>
    <w:rsid w:val="00296089"/>
    <w:rsid w:val="00296142"/>
    <w:rsid w:val="00296214"/>
    <w:rsid w:val="00296220"/>
    <w:rsid w:val="00296295"/>
    <w:rsid w:val="002963C7"/>
    <w:rsid w:val="002963FA"/>
    <w:rsid w:val="002964C8"/>
    <w:rsid w:val="002964F9"/>
    <w:rsid w:val="00296504"/>
    <w:rsid w:val="00296566"/>
    <w:rsid w:val="00296581"/>
    <w:rsid w:val="00296861"/>
    <w:rsid w:val="00296A7E"/>
    <w:rsid w:val="00296A91"/>
    <w:rsid w:val="00296D48"/>
    <w:rsid w:val="00296DE5"/>
    <w:rsid w:val="00296FC1"/>
    <w:rsid w:val="0029701B"/>
    <w:rsid w:val="00297031"/>
    <w:rsid w:val="00297147"/>
    <w:rsid w:val="002971FA"/>
    <w:rsid w:val="00297484"/>
    <w:rsid w:val="002976FA"/>
    <w:rsid w:val="002977CF"/>
    <w:rsid w:val="002978DD"/>
    <w:rsid w:val="00297931"/>
    <w:rsid w:val="00297A9E"/>
    <w:rsid w:val="00297AA5"/>
    <w:rsid w:val="00297BD1"/>
    <w:rsid w:val="00297C27"/>
    <w:rsid w:val="00297D0F"/>
    <w:rsid w:val="00297D4B"/>
    <w:rsid w:val="00297DD5"/>
    <w:rsid w:val="002A01A9"/>
    <w:rsid w:val="002A027B"/>
    <w:rsid w:val="002A02DD"/>
    <w:rsid w:val="002A03EF"/>
    <w:rsid w:val="002A047D"/>
    <w:rsid w:val="002A0484"/>
    <w:rsid w:val="002A0563"/>
    <w:rsid w:val="002A05AA"/>
    <w:rsid w:val="002A05C7"/>
    <w:rsid w:val="002A076A"/>
    <w:rsid w:val="002A093F"/>
    <w:rsid w:val="002A0D76"/>
    <w:rsid w:val="002A0E09"/>
    <w:rsid w:val="002A0EB6"/>
    <w:rsid w:val="002A0FE0"/>
    <w:rsid w:val="002A1156"/>
    <w:rsid w:val="002A1293"/>
    <w:rsid w:val="002A133D"/>
    <w:rsid w:val="002A151D"/>
    <w:rsid w:val="002A173D"/>
    <w:rsid w:val="002A190B"/>
    <w:rsid w:val="002A1B3D"/>
    <w:rsid w:val="002A1B6F"/>
    <w:rsid w:val="002A1C0C"/>
    <w:rsid w:val="002A1C18"/>
    <w:rsid w:val="002A1C75"/>
    <w:rsid w:val="002A1CF8"/>
    <w:rsid w:val="002A1D1C"/>
    <w:rsid w:val="002A1E36"/>
    <w:rsid w:val="002A1E67"/>
    <w:rsid w:val="002A1E79"/>
    <w:rsid w:val="002A1EC6"/>
    <w:rsid w:val="002A1F21"/>
    <w:rsid w:val="002A204E"/>
    <w:rsid w:val="002A2329"/>
    <w:rsid w:val="002A2362"/>
    <w:rsid w:val="002A2426"/>
    <w:rsid w:val="002A276B"/>
    <w:rsid w:val="002A277B"/>
    <w:rsid w:val="002A27A0"/>
    <w:rsid w:val="002A2A27"/>
    <w:rsid w:val="002A2A2F"/>
    <w:rsid w:val="002A2AFA"/>
    <w:rsid w:val="002A2B47"/>
    <w:rsid w:val="002A2FF1"/>
    <w:rsid w:val="002A3050"/>
    <w:rsid w:val="002A30BA"/>
    <w:rsid w:val="002A30E9"/>
    <w:rsid w:val="002A3117"/>
    <w:rsid w:val="002A3191"/>
    <w:rsid w:val="002A3291"/>
    <w:rsid w:val="002A3371"/>
    <w:rsid w:val="002A344B"/>
    <w:rsid w:val="002A35AA"/>
    <w:rsid w:val="002A3690"/>
    <w:rsid w:val="002A3725"/>
    <w:rsid w:val="002A377D"/>
    <w:rsid w:val="002A37FF"/>
    <w:rsid w:val="002A384E"/>
    <w:rsid w:val="002A387D"/>
    <w:rsid w:val="002A3908"/>
    <w:rsid w:val="002A393C"/>
    <w:rsid w:val="002A39C9"/>
    <w:rsid w:val="002A3AED"/>
    <w:rsid w:val="002A3D54"/>
    <w:rsid w:val="002A3D76"/>
    <w:rsid w:val="002A3E97"/>
    <w:rsid w:val="002A3EFB"/>
    <w:rsid w:val="002A3FC3"/>
    <w:rsid w:val="002A4057"/>
    <w:rsid w:val="002A40DA"/>
    <w:rsid w:val="002A410F"/>
    <w:rsid w:val="002A4153"/>
    <w:rsid w:val="002A41FD"/>
    <w:rsid w:val="002A4399"/>
    <w:rsid w:val="002A43BD"/>
    <w:rsid w:val="002A451B"/>
    <w:rsid w:val="002A479C"/>
    <w:rsid w:val="002A47EF"/>
    <w:rsid w:val="002A49CC"/>
    <w:rsid w:val="002A4A25"/>
    <w:rsid w:val="002A4ACA"/>
    <w:rsid w:val="002A4F22"/>
    <w:rsid w:val="002A4F40"/>
    <w:rsid w:val="002A4FA8"/>
    <w:rsid w:val="002A5013"/>
    <w:rsid w:val="002A5147"/>
    <w:rsid w:val="002A51D9"/>
    <w:rsid w:val="002A51F2"/>
    <w:rsid w:val="002A522C"/>
    <w:rsid w:val="002A52B7"/>
    <w:rsid w:val="002A52D9"/>
    <w:rsid w:val="002A54AB"/>
    <w:rsid w:val="002A56C1"/>
    <w:rsid w:val="002A56D9"/>
    <w:rsid w:val="002A570B"/>
    <w:rsid w:val="002A57B0"/>
    <w:rsid w:val="002A57D6"/>
    <w:rsid w:val="002A5801"/>
    <w:rsid w:val="002A59DE"/>
    <w:rsid w:val="002A5A69"/>
    <w:rsid w:val="002A5C0F"/>
    <w:rsid w:val="002A5C7D"/>
    <w:rsid w:val="002A5D4C"/>
    <w:rsid w:val="002A5D99"/>
    <w:rsid w:val="002A6189"/>
    <w:rsid w:val="002A62BE"/>
    <w:rsid w:val="002A6320"/>
    <w:rsid w:val="002A63EF"/>
    <w:rsid w:val="002A640B"/>
    <w:rsid w:val="002A6486"/>
    <w:rsid w:val="002A676F"/>
    <w:rsid w:val="002A6970"/>
    <w:rsid w:val="002A6A78"/>
    <w:rsid w:val="002A6C5D"/>
    <w:rsid w:val="002A6CF5"/>
    <w:rsid w:val="002A6D94"/>
    <w:rsid w:val="002A6DC8"/>
    <w:rsid w:val="002A6DD6"/>
    <w:rsid w:val="002A6FD9"/>
    <w:rsid w:val="002A7027"/>
    <w:rsid w:val="002A7035"/>
    <w:rsid w:val="002A715F"/>
    <w:rsid w:val="002A718B"/>
    <w:rsid w:val="002A723A"/>
    <w:rsid w:val="002A72A1"/>
    <w:rsid w:val="002A72D3"/>
    <w:rsid w:val="002A72EB"/>
    <w:rsid w:val="002A72FB"/>
    <w:rsid w:val="002A7396"/>
    <w:rsid w:val="002A74C9"/>
    <w:rsid w:val="002A759E"/>
    <w:rsid w:val="002A7777"/>
    <w:rsid w:val="002A78A1"/>
    <w:rsid w:val="002A7A2A"/>
    <w:rsid w:val="002A7B9D"/>
    <w:rsid w:val="002A7BD4"/>
    <w:rsid w:val="002A7BDD"/>
    <w:rsid w:val="002A7D4D"/>
    <w:rsid w:val="002A7D89"/>
    <w:rsid w:val="002A7FFE"/>
    <w:rsid w:val="002B02E4"/>
    <w:rsid w:val="002B0374"/>
    <w:rsid w:val="002B0444"/>
    <w:rsid w:val="002B0478"/>
    <w:rsid w:val="002B04F4"/>
    <w:rsid w:val="002B0533"/>
    <w:rsid w:val="002B05C3"/>
    <w:rsid w:val="002B0684"/>
    <w:rsid w:val="002B069F"/>
    <w:rsid w:val="002B082C"/>
    <w:rsid w:val="002B0A73"/>
    <w:rsid w:val="002B0BB1"/>
    <w:rsid w:val="002B0D69"/>
    <w:rsid w:val="002B0F0F"/>
    <w:rsid w:val="002B1073"/>
    <w:rsid w:val="002B11E4"/>
    <w:rsid w:val="002B13BD"/>
    <w:rsid w:val="002B14EE"/>
    <w:rsid w:val="002B1612"/>
    <w:rsid w:val="002B1663"/>
    <w:rsid w:val="002B174C"/>
    <w:rsid w:val="002B1757"/>
    <w:rsid w:val="002B1796"/>
    <w:rsid w:val="002B1993"/>
    <w:rsid w:val="002B19A1"/>
    <w:rsid w:val="002B19DD"/>
    <w:rsid w:val="002B1B30"/>
    <w:rsid w:val="002B1BA6"/>
    <w:rsid w:val="002B1CCC"/>
    <w:rsid w:val="002B1E6C"/>
    <w:rsid w:val="002B1EEE"/>
    <w:rsid w:val="002B1FEE"/>
    <w:rsid w:val="002B209D"/>
    <w:rsid w:val="002B22E9"/>
    <w:rsid w:val="002B2369"/>
    <w:rsid w:val="002B244A"/>
    <w:rsid w:val="002B2458"/>
    <w:rsid w:val="002B24FB"/>
    <w:rsid w:val="002B2509"/>
    <w:rsid w:val="002B254F"/>
    <w:rsid w:val="002B257A"/>
    <w:rsid w:val="002B262D"/>
    <w:rsid w:val="002B27E3"/>
    <w:rsid w:val="002B2826"/>
    <w:rsid w:val="002B2B04"/>
    <w:rsid w:val="002B2BDC"/>
    <w:rsid w:val="002B2C77"/>
    <w:rsid w:val="002B2C80"/>
    <w:rsid w:val="002B2CF3"/>
    <w:rsid w:val="002B2CF7"/>
    <w:rsid w:val="002B2D80"/>
    <w:rsid w:val="002B2EE6"/>
    <w:rsid w:val="002B2F7B"/>
    <w:rsid w:val="002B302A"/>
    <w:rsid w:val="002B30FF"/>
    <w:rsid w:val="002B326C"/>
    <w:rsid w:val="002B32F0"/>
    <w:rsid w:val="002B3376"/>
    <w:rsid w:val="002B3406"/>
    <w:rsid w:val="002B349B"/>
    <w:rsid w:val="002B358F"/>
    <w:rsid w:val="002B3600"/>
    <w:rsid w:val="002B36D7"/>
    <w:rsid w:val="002B379B"/>
    <w:rsid w:val="002B38E6"/>
    <w:rsid w:val="002B3963"/>
    <w:rsid w:val="002B3BF0"/>
    <w:rsid w:val="002B3C61"/>
    <w:rsid w:val="002B3D04"/>
    <w:rsid w:val="002B3D8C"/>
    <w:rsid w:val="002B3DB0"/>
    <w:rsid w:val="002B3DEE"/>
    <w:rsid w:val="002B3E04"/>
    <w:rsid w:val="002B3E27"/>
    <w:rsid w:val="002B3E6E"/>
    <w:rsid w:val="002B3EC5"/>
    <w:rsid w:val="002B3EDA"/>
    <w:rsid w:val="002B3F3A"/>
    <w:rsid w:val="002B3F5C"/>
    <w:rsid w:val="002B409F"/>
    <w:rsid w:val="002B4147"/>
    <w:rsid w:val="002B41E9"/>
    <w:rsid w:val="002B42BD"/>
    <w:rsid w:val="002B4342"/>
    <w:rsid w:val="002B46D3"/>
    <w:rsid w:val="002B4A15"/>
    <w:rsid w:val="002B4BB8"/>
    <w:rsid w:val="002B4CD0"/>
    <w:rsid w:val="002B4D25"/>
    <w:rsid w:val="002B4D9F"/>
    <w:rsid w:val="002B4E91"/>
    <w:rsid w:val="002B4EAD"/>
    <w:rsid w:val="002B4FC1"/>
    <w:rsid w:val="002B4FC3"/>
    <w:rsid w:val="002B5051"/>
    <w:rsid w:val="002B5152"/>
    <w:rsid w:val="002B521A"/>
    <w:rsid w:val="002B5275"/>
    <w:rsid w:val="002B52B1"/>
    <w:rsid w:val="002B5728"/>
    <w:rsid w:val="002B5743"/>
    <w:rsid w:val="002B58DF"/>
    <w:rsid w:val="002B5B22"/>
    <w:rsid w:val="002B5B61"/>
    <w:rsid w:val="002B5B87"/>
    <w:rsid w:val="002B5C5B"/>
    <w:rsid w:val="002B5D76"/>
    <w:rsid w:val="002B5DFB"/>
    <w:rsid w:val="002B5E30"/>
    <w:rsid w:val="002B5E52"/>
    <w:rsid w:val="002B616E"/>
    <w:rsid w:val="002B617F"/>
    <w:rsid w:val="002B618E"/>
    <w:rsid w:val="002B61A9"/>
    <w:rsid w:val="002B61D4"/>
    <w:rsid w:val="002B623A"/>
    <w:rsid w:val="002B631F"/>
    <w:rsid w:val="002B64EF"/>
    <w:rsid w:val="002B6526"/>
    <w:rsid w:val="002B65EB"/>
    <w:rsid w:val="002B663B"/>
    <w:rsid w:val="002B6688"/>
    <w:rsid w:val="002B66D0"/>
    <w:rsid w:val="002B66D1"/>
    <w:rsid w:val="002B676A"/>
    <w:rsid w:val="002B6787"/>
    <w:rsid w:val="002B67CC"/>
    <w:rsid w:val="002B67F1"/>
    <w:rsid w:val="002B68EB"/>
    <w:rsid w:val="002B691D"/>
    <w:rsid w:val="002B6A0C"/>
    <w:rsid w:val="002B6A18"/>
    <w:rsid w:val="002B6A61"/>
    <w:rsid w:val="002B6C52"/>
    <w:rsid w:val="002B6CEF"/>
    <w:rsid w:val="002B6DEB"/>
    <w:rsid w:val="002B700C"/>
    <w:rsid w:val="002B70EC"/>
    <w:rsid w:val="002B7284"/>
    <w:rsid w:val="002B7323"/>
    <w:rsid w:val="002B73EE"/>
    <w:rsid w:val="002B756D"/>
    <w:rsid w:val="002B774A"/>
    <w:rsid w:val="002B77BB"/>
    <w:rsid w:val="002B77FC"/>
    <w:rsid w:val="002B7868"/>
    <w:rsid w:val="002B78B1"/>
    <w:rsid w:val="002B78EE"/>
    <w:rsid w:val="002B7985"/>
    <w:rsid w:val="002B7A7B"/>
    <w:rsid w:val="002B7B51"/>
    <w:rsid w:val="002B7CEE"/>
    <w:rsid w:val="002B7D0E"/>
    <w:rsid w:val="002C003E"/>
    <w:rsid w:val="002C0276"/>
    <w:rsid w:val="002C03B3"/>
    <w:rsid w:val="002C03D7"/>
    <w:rsid w:val="002C0428"/>
    <w:rsid w:val="002C0444"/>
    <w:rsid w:val="002C0452"/>
    <w:rsid w:val="002C04A2"/>
    <w:rsid w:val="002C04D2"/>
    <w:rsid w:val="002C0602"/>
    <w:rsid w:val="002C063D"/>
    <w:rsid w:val="002C065A"/>
    <w:rsid w:val="002C071A"/>
    <w:rsid w:val="002C091C"/>
    <w:rsid w:val="002C094B"/>
    <w:rsid w:val="002C0B6D"/>
    <w:rsid w:val="002C0CAB"/>
    <w:rsid w:val="002C0CEE"/>
    <w:rsid w:val="002C0D65"/>
    <w:rsid w:val="002C0D9D"/>
    <w:rsid w:val="002C0DC4"/>
    <w:rsid w:val="002C0E94"/>
    <w:rsid w:val="002C0EEF"/>
    <w:rsid w:val="002C0F5E"/>
    <w:rsid w:val="002C0FDC"/>
    <w:rsid w:val="002C1001"/>
    <w:rsid w:val="002C146F"/>
    <w:rsid w:val="002C1491"/>
    <w:rsid w:val="002C152D"/>
    <w:rsid w:val="002C16E9"/>
    <w:rsid w:val="002C183D"/>
    <w:rsid w:val="002C1AAD"/>
    <w:rsid w:val="002C1AF6"/>
    <w:rsid w:val="002C1B3D"/>
    <w:rsid w:val="002C1BD3"/>
    <w:rsid w:val="002C1E38"/>
    <w:rsid w:val="002C1E46"/>
    <w:rsid w:val="002C203F"/>
    <w:rsid w:val="002C20A8"/>
    <w:rsid w:val="002C20CE"/>
    <w:rsid w:val="002C2210"/>
    <w:rsid w:val="002C2231"/>
    <w:rsid w:val="002C2298"/>
    <w:rsid w:val="002C22A3"/>
    <w:rsid w:val="002C22D4"/>
    <w:rsid w:val="002C2394"/>
    <w:rsid w:val="002C254F"/>
    <w:rsid w:val="002C25EA"/>
    <w:rsid w:val="002C2746"/>
    <w:rsid w:val="002C2888"/>
    <w:rsid w:val="002C2913"/>
    <w:rsid w:val="002C2950"/>
    <w:rsid w:val="002C2A38"/>
    <w:rsid w:val="002C2B5C"/>
    <w:rsid w:val="002C2C2A"/>
    <w:rsid w:val="002C2C89"/>
    <w:rsid w:val="002C2E9A"/>
    <w:rsid w:val="002C2F22"/>
    <w:rsid w:val="002C2F91"/>
    <w:rsid w:val="002C30CE"/>
    <w:rsid w:val="002C3317"/>
    <w:rsid w:val="002C3507"/>
    <w:rsid w:val="002C352F"/>
    <w:rsid w:val="002C3703"/>
    <w:rsid w:val="002C384E"/>
    <w:rsid w:val="002C3B6B"/>
    <w:rsid w:val="002C3EB7"/>
    <w:rsid w:val="002C3EC6"/>
    <w:rsid w:val="002C3F7B"/>
    <w:rsid w:val="002C4081"/>
    <w:rsid w:val="002C41C3"/>
    <w:rsid w:val="002C436C"/>
    <w:rsid w:val="002C45ED"/>
    <w:rsid w:val="002C46DF"/>
    <w:rsid w:val="002C46E6"/>
    <w:rsid w:val="002C4754"/>
    <w:rsid w:val="002C478E"/>
    <w:rsid w:val="002C486A"/>
    <w:rsid w:val="002C48BD"/>
    <w:rsid w:val="002C492E"/>
    <w:rsid w:val="002C4977"/>
    <w:rsid w:val="002C49B8"/>
    <w:rsid w:val="002C4C00"/>
    <w:rsid w:val="002C4D87"/>
    <w:rsid w:val="002C4DF2"/>
    <w:rsid w:val="002C4EB0"/>
    <w:rsid w:val="002C4F8D"/>
    <w:rsid w:val="002C5026"/>
    <w:rsid w:val="002C5058"/>
    <w:rsid w:val="002C50FA"/>
    <w:rsid w:val="002C5120"/>
    <w:rsid w:val="002C513C"/>
    <w:rsid w:val="002C51CE"/>
    <w:rsid w:val="002C52BA"/>
    <w:rsid w:val="002C545B"/>
    <w:rsid w:val="002C54F6"/>
    <w:rsid w:val="002C5593"/>
    <w:rsid w:val="002C55CC"/>
    <w:rsid w:val="002C5746"/>
    <w:rsid w:val="002C59C4"/>
    <w:rsid w:val="002C5AC2"/>
    <w:rsid w:val="002C5DA1"/>
    <w:rsid w:val="002C5DC6"/>
    <w:rsid w:val="002C5EB3"/>
    <w:rsid w:val="002C613A"/>
    <w:rsid w:val="002C616F"/>
    <w:rsid w:val="002C62D2"/>
    <w:rsid w:val="002C637F"/>
    <w:rsid w:val="002C6387"/>
    <w:rsid w:val="002C63E6"/>
    <w:rsid w:val="002C6479"/>
    <w:rsid w:val="002C649D"/>
    <w:rsid w:val="002C6538"/>
    <w:rsid w:val="002C67CF"/>
    <w:rsid w:val="002C68AE"/>
    <w:rsid w:val="002C6A86"/>
    <w:rsid w:val="002C6AF5"/>
    <w:rsid w:val="002C6B8F"/>
    <w:rsid w:val="002C6B90"/>
    <w:rsid w:val="002C6C5F"/>
    <w:rsid w:val="002C6D70"/>
    <w:rsid w:val="002C6D94"/>
    <w:rsid w:val="002C6F11"/>
    <w:rsid w:val="002C6FF5"/>
    <w:rsid w:val="002C7034"/>
    <w:rsid w:val="002C7037"/>
    <w:rsid w:val="002C7147"/>
    <w:rsid w:val="002C716B"/>
    <w:rsid w:val="002C737F"/>
    <w:rsid w:val="002C7388"/>
    <w:rsid w:val="002C73BC"/>
    <w:rsid w:val="002C744F"/>
    <w:rsid w:val="002C7467"/>
    <w:rsid w:val="002C749D"/>
    <w:rsid w:val="002C75CB"/>
    <w:rsid w:val="002C768C"/>
    <w:rsid w:val="002C76EF"/>
    <w:rsid w:val="002C7A6F"/>
    <w:rsid w:val="002C7A70"/>
    <w:rsid w:val="002C7C06"/>
    <w:rsid w:val="002C7C2B"/>
    <w:rsid w:val="002C7CA4"/>
    <w:rsid w:val="002C7D63"/>
    <w:rsid w:val="002C7ED5"/>
    <w:rsid w:val="002C7EEA"/>
    <w:rsid w:val="002D0065"/>
    <w:rsid w:val="002D0097"/>
    <w:rsid w:val="002D00BC"/>
    <w:rsid w:val="002D03FA"/>
    <w:rsid w:val="002D03FB"/>
    <w:rsid w:val="002D073A"/>
    <w:rsid w:val="002D07F6"/>
    <w:rsid w:val="002D087D"/>
    <w:rsid w:val="002D0B82"/>
    <w:rsid w:val="002D0C5F"/>
    <w:rsid w:val="002D0CAB"/>
    <w:rsid w:val="002D0CC2"/>
    <w:rsid w:val="002D0F0D"/>
    <w:rsid w:val="002D103C"/>
    <w:rsid w:val="002D105B"/>
    <w:rsid w:val="002D11F5"/>
    <w:rsid w:val="002D12C4"/>
    <w:rsid w:val="002D1344"/>
    <w:rsid w:val="002D1490"/>
    <w:rsid w:val="002D14DE"/>
    <w:rsid w:val="002D1546"/>
    <w:rsid w:val="002D1667"/>
    <w:rsid w:val="002D16CF"/>
    <w:rsid w:val="002D1ACB"/>
    <w:rsid w:val="002D1BB6"/>
    <w:rsid w:val="002D1CF9"/>
    <w:rsid w:val="002D1DCC"/>
    <w:rsid w:val="002D2160"/>
    <w:rsid w:val="002D219C"/>
    <w:rsid w:val="002D21F5"/>
    <w:rsid w:val="002D230C"/>
    <w:rsid w:val="002D2430"/>
    <w:rsid w:val="002D2553"/>
    <w:rsid w:val="002D273F"/>
    <w:rsid w:val="002D2743"/>
    <w:rsid w:val="002D286F"/>
    <w:rsid w:val="002D28BC"/>
    <w:rsid w:val="002D2A3C"/>
    <w:rsid w:val="002D2B37"/>
    <w:rsid w:val="002D2BB0"/>
    <w:rsid w:val="002D2C61"/>
    <w:rsid w:val="002D2D71"/>
    <w:rsid w:val="002D2DD4"/>
    <w:rsid w:val="002D2ECF"/>
    <w:rsid w:val="002D2F98"/>
    <w:rsid w:val="002D3011"/>
    <w:rsid w:val="002D3090"/>
    <w:rsid w:val="002D3262"/>
    <w:rsid w:val="002D32BF"/>
    <w:rsid w:val="002D3407"/>
    <w:rsid w:val="002D35B6"/>
    <w:rsid w:val="002D3651"/>
    <w:rsid w:val="002D366B"/>
    <w:rsid w:val="002D376E"/>
    <w:rsid w:val="002D3813"/>
    <w:rsid w:val="002D3825"/>
    <w:rsid w:val="002D38BC"/>
    <w:rsid w:val="002D38CD"/>
    <w:rsid w:val="002D3924"/>
    <w:rsid w:val="002D3954"/>
    <w:rsid w:val="002D399B"/>
    <w:rsid w:val="002D39B1"/>
    <w:rsid w:val="002D3A8E"/>
    <w:rsid w:val="002D3B40"/>
    <w:rsid w:val="002D3B47"/>
    <w:rsid w:val="002D3B6B"/>
    <w:rsid w:val="002D3B6C"/>
    <w:rsid w:val="002D3CC9"/>
    <w:rsid w:val="002D3F36"/>
    <w:rsid w:val="002D3F53"/>
    <w:rsid w:val="002D3FC5"/>
    <w:rsid w:val="002D40F1"/>
    <w:rsid w:val="002D43A9"/>
    <w:rsid w:val="002D43DF"/>
    <w:rsid w:val="002D43FE"/>
    <w:rsid w:val="002D4487"/>
    <w:rsid w:val="002D4536"/>
    <w:rsid w:val="002D4597"/>
    <w:rsid w:val="002D4706"/>
    <w:rsid w:val="002D479F"/>
    <w:rsid w:val="002D482D"/>
    <w:rsid w:val="002D495E"/>
    <w:rsid w:val="002D4A0F"/>
    <w:rsid w:val="002D4A48"/>
    <w:rsid w:val="002D4B2E"/>
    <w:rsid w:val="002D4D01"/>
    <w:rsid w:val="002D4EDB"/>
    <w:rsid w:val="002D4EE1"/>
    <w:rsid w:val="002D4EF8"/>
    <w:rsid w:val="002D4FFE"/>
    <w:rsid w:val="002D5052"/>
    <w:rsid w:val="002D50AC"/>
    <w:rsid w:val="002D50BF"/>
    <w:rsid w:val="002D5395"/>
    <w:rsid w:val="002D5490"/>
    <w:rsid w:val="002D5610"/>
    <w:rsid w:val="002D5735"/>
    <w:rsid w:val="002D584C"/>
    <w:rsid w:val="002D5939"/>
    <w:rsid w:val="002D5976"/>
    <w:rsid w:val="002D5989"/>
    <w:rsid w:val="002D599B"/>
    <w:rsid w:val="002D59A7"/>
    <w:rsid w:val="002D5C2B"/>
    <w:rsid w:val="002D5D1D"/>
    <w:rsid w:val="002D5E1F"/>
    <w:rsid w:val="002D5F3D"/>
    <w:rsid w:val="002D5FB9"/>
    <w:rsid w:val="002D6034"/>
    <w:rsid w:val="002D6113"/>
    <w:rsid w:val="002D6180"/>
    <w:rsid w:val="002D62A4"/>
    <w:rsid w:val="002D633F"/>
    <w:rsid w:val="002D6377"/>
    <w:rsid w:val="002D643F"/>
    <w:rsid w:val="002D6448"/>
    <w:rsid w:val="002D67B7"/>
    <w:rsid w:val="002D6914"/>
    <w:rsid w:val="002D6934"/>
    <w:rsid w:val="002D6A8D"/>
    <w:rsid w:val="002D6B89"/>
    <w:rsid w:val="002D6BAD"/>
    <w:rsid w:val="002D6BF6"/>
    <w:rsid w:val="002D6D26"/>
    <w:rsid w:val="002D6D28"/>
    <w:rsid w:val="002D6F34"/>
    <w:rsid w:val="002D7034"/>
    <w:rsid w:val="002D729F"/>
    <w:rsid w:val="002D72C2"/>
    <w:rsid w:val="002D738E"/>
    <w:rsid w:val="002D7505"/>
    <w:rsid w:val="002D75C8"/>
    <w:rsid w:val="002D7613"/>
    <w:rsid w:val="002D762E"/>
    <w:rsid w:val="002D775B"/>
    <w:rsid w:val="002D775E"/>
    <w:rsid w:val="002D7B04"/>
    <w:rsid w:val="002D7B3D"/>
    <w:rsid w:val="002D7BEC"/>
    <w:rsid w:val="002D7C1C"/>
    <w:rsid w:val="002D7C65"/>
    <w:rsid w:val="002D7C95"/>
    <w:rsid w:val="002D7CD0"/>
    <w:rsid w:val="002D7E79"/>
    <w:rsid w:val="002E0064"/>
    <w:rsid w:val="002E00E7"/>
    <w:rsid w:val="002E00F2"/>
    <w:rsid w:val="002E0126"/>
    <w:rsid w:val="002E02CA"/>
    <w:rsid w:val="002E0421"/>
    <w:rsid w:val="002E04C1"/>
    <w:rsid w:val="002E055A"/>
    <w:rsid w:val="002E05E5"/>
    <w:rsid w:val="002E06DB"/>
    <w:rsid w:val="002E0833"/>
    <w:rsid w:val="002E09A3"/>
    <w:rsid w:val="002E09CE"/>
    <w:rsid w:val="002E09D4"/>
    <w:rsid w:val="002E0A63"/>
    <w:rsid w:val="002E0C1C"/>
    <w:rsid w:val="002E0C3A"/>
    <w:rsid w:val="002E0C5F"/>
    <w:rsid w:val="002E0C8C"/>
    <w:rsid w:val="002E0CA4"/>
    <w:rsid w:val="002E0F36"/>
    <w:rsid w:val="002E0F54"/>
    <w:rsid w:val="002E1046"/>
    <w:rsid w:val="002E114C"/>
    <w:rsid w:val="002E12CF"/>
    <w:rsid w:val="002E143B"/>
    <w:rsid w:val="002E14CE"/>
    <w:rsid w:val="002E16F3"/>
    <w:rsid w:val="002E175F"/>
    <w:rsid w:val="002E1818"/>
    <w:rsid w:val="002E182A"/>
    <w:rsid w:val="002E18DA"/>
    <w:rsid w:val="002E1920"/>
    <w:rsid w:val="002E1926"/>
    <w:rsid w:val="002E1969"/>
    <w:rsid w:val="002E198A"/>
    <w:rsid w:val="002E19A1"/>
    <w:rsid w:val="002E1C79"/>
    <w:rsid w:val="002E1C8C"/>
    <w:rsid w:val="002E1E0A"/>
    <w:rsid w:val="002E1E0E"/>
    <w:rsid w:val="002E1EAF"/>
    <w:rsid w:val="002E1F56"/>
    <w:rsid w:val="002E20FD"/>
    <w:rsid w:val="002E215D"/>
    <w:rsid w:val="002E22CE"/>
    <w:rsid w:val="002E2409"/>
    <w:rsid w:val="002E2633"/>
    <w:rsid w:val="002E26F8"/>
    <w:rsid w:val="002E27F9"/>
    <w:rsid w:val="002E28CB"/>
    <w:rsid w:val="002E2974"/>
    <w:rsid w:val="002E29CA"/>
    <w:rsid w:val="002E2B12"/>
    <w:rsid w:val="002E2C4D"/>
    <w:rsid w:val="002E2DBD"/>
    <w:rsid w:val="002E2F1D"/>
    <w:rsid w:val="002E2F31"/>
    <w:rsid w:val="002E2FD9"/>
    <w:rsid w:val="002E30B5"/>
    <w:rsid w:val="002E30B6"/>
    <w:rsid w:val="002E30E5"/>
    <w:rsid w:val="002E329A"/>
    <w:rsid w:val="002E32BA"/>
    <w:rsid w:val="002E3328"/>
    <w:rsid w:val="002E3424"/>
    <w:rsid w:val="002E3531"/>
    <w:rsid w:val="002E3632"/>
    <w:rsid w:val="002E365C"/>
    <w:rsid w:val="002E3735"/>
    <w:rsid w:val="002E379A"/>
    <w:rsid w:val="002E38D0"/>
    <w:rsid w:val="002E38DA"/>
    <w:rsid w:val="002E3908"/>
    <w:rsid w:val="002E395B"/>
    <w:rsid w:val="002E3A3F"/>
    <w:rsid w:val="002E3A95"/>
    <w:rsid w:val="002E3B67"/>
    <w:rsid w:val="002E3CCE"/>
    <w:rsid w:val="002E3CF0"/>
    <w:rsid w:val="002E3FC2"/>
    <w:rsid w:val="002E408A"/>
    <w:rsid w:val="002E4164"/>
    <w:rsid w:val="002E4182"/>
    <w:rsid w:val="002E41C5"/>
    <w:rsid w:val="002E4AD5"/>
    <w:rsid w:val="002E4B1E"/>
    <w:rsid w:val="002E4C1A"/>
    <w:rsid w:val="002E4C23"/>
    <w:rsid w:val="002E4CE2"/>
    <w:rsid w:val="002E4E7C"/>
    <w:rsid w:val="002E4EDC"/>
    <w:rsid w:val="002E4F6A"/>
    <w:rsid w:val="002E4F6C"/>
    <w:rsid w:val="002E4FBE"/>
    <w:rsid w:val="002E4FFD"/>
    <w:rsid w:val="002E50F2"/>
    <w:rsid w:val="002E51C2"/>
    <w:rsid w:val="002E527D"/>
    <w:rsid w:val="002E536D"/>
    <w:rsid w:val="002E543E"/>
    <w:rsid w:val="002E54D2"/>
    <w:rsid w:val="002E5679"/>
    <w:rsid w:val="002E5687"/>
    <w:rsid w:val="002E5778"/>
    <w:rsid w:val="002E589B"/>
    <w:rsid w:val="002E5909"/>
    <w:rsid w:val="002E5A41"/>
    <w:rsid w:val="002E5AE8"/>
    <w:rsid w:val="002E5D02"/>
    <w:rsid w:val="002E5DA0"/>
    <w:rsid w:val="002E5ED7"/>
    <w:rsid w:val="002E5FBE"/>
    <w:rsid w:val="002E5FD9"/>
    <w:rsid w:val="002E608C"/>
    <w:rsid w:val="002E6091"/>
    <w:rsid w:val="002E60BD"/>
    <w:rsid w:val="002E60BF"/>
    <w:rsid w:val="002E61A7"/>
    <w:rsid w:val="002E623E"/>
    <w:rsid w:val="002E6263"/>
    <w:rsid w:val="002E6320"/>
    <w:rsid w:val="002E6418"/>
    <w:rsid w:val="002E6465"/>
    <w:rsid w:val="002E649D"/>
    <w:rsid w:val="002E655D"/>
    <w:rsid w:val="002E6988"/>
    <w:rsid w:val="002E6A70"/>
    <w:rsid w:val="002E6B4C"/>
    <w:rsid w:val="002E6C04"/>
    <w:rsid w:val="002E6DA8"/>
    <w:rsid w:val="002E6F6D"/>
    <w:rsid w:val="002E7157"/>
    <w:rsid w:val="002E7189"/>
    <w:rsid w:val="002E71D8"/>
    <w:rsid w:val="002E72E4"/>
    <w:rsid w:val="002E7329"/>
    <w:rsid w:val="002E7371"/>
    <w:rsid w:val="002E73AC"/>
    <w:rsid w:val="002E73DB"/>
    <w:rsid w:val="002E7417"/>
    <w:rsid w:val="002E75C8"/>
    <w:rsid w:val="002E78F3"/>
    <w:rsid w:val="002E7920"/>
    <w:rsid w:val="002E7B22"/>
    <w:rsid w:val="002E7BE3"/>
    <w:rsid w:val="002E7C07"/>
    <w:rsid w:val="002E7C25"/>
    <w:rsid w:val="002E7E71"/>
    <w:rsid w:val="002E7EA9"/>
    <w:rsid w:val="002E7FCD"/>
    <w:rsid w:val="002EAEB1"/>
    <w:rsid w:val="002EEAB8"/>
    <w:rsid w:val="002F00F4"/>
    <w:rsid w:val="002F0171"/>
    <w:rsid w:val="002F01A3"/>
    <w:rsid w:val="002F01AC"/>
    <w:rsid w:val="002F01B8"/>
    <w:rsid w:val="002F01F7"/>
    <w:rsid w:val="002F022D"/>
    <w:rsid w:val="002F0576"/>
    <w:rsid w:val="002F05C0"/>
    <w:rsid w:val="002F0853"/>
    <w:rsid w:val="002F08FE"/>
    <w:rsid w:val="002F0AC7"/>
    <w:rsid w:val="002F0CCB"/>
    <w:rsid w:val="002F0E30"/>
    <w:rsid w:val="002F0E65"/>
    <w:rsid w:val="002F1024"/>
    <w:rsid w:val="002F1140"/>
    <w:rsid w:val="002F1265"/>
    <w:rsid w:val="002F12BF"/>
    <w:rsid w:val="002F132B"/>
    <w:rsid w:val="002F1369"/>
    <w:rsid w:val="002F15EE"/>
    <w:rsid w:val="002F16CA"/>
    <w:rsid w:val="002F1703"/>
    <w:rsid w:val="002F18F2"/>
    <w:rsid w:val="002F1A8B"/>
    <w:rsid w:val="002F1AB6"/>
    <w:rsid w:val="002F1AF6"/>
    <w:rsid w:val="002F1B84"/>
    <w:rsid w:val="002F1CA3"/>
    <w:rsid w:val="002F1CB9"/>
    <w:rsid w:val="002F1E1F"/>
    <w:rsid w:val="002F1F45"/>
    <w:rsid w:val="002F201C"/>
    <w:rsid w:val="002F205A"/>
    <w:rsid w:val="002F209C"/>
    <w:rsid w:val="002F2224"/>
    <w:rsid w:val="002F2261"/>
    <w:rsid w:val="002F22E8"/>
    <w:rsid w:val="002F237F"/>
    <w:rsid w:val="002F2532"/>
    <w:rsid w:val="002F2534"/>
    <w:rsid w:val="002F260C"/>
    <w:rsid w:val="002F2660"/>
    <w:rsid w:val="002F2A6A"/>
    <w:rsid w:val="002F2B47"/>
    <w:rsid w:val="002F2C47"/>
    <w:rsid w:val="002F2C50"/>
    <w:rsid w:val="002F2D63"/>
    <w:rsid w:val="002F2D76"/>
    <w:rsid w:val="002F2DAA"/>
    <w:rsid w:val="002F2F04"/>
    <w:rsid w:val="002F2FCB"/>
    <w:rsid w:val="002F305B"/>
    <w:rsid w:val="002F3080"/>
    <w:rsid w:val="002F32CD"/>
    <w:rsid w:val="002F3300"/>
    <w:rsid w:val="002F3321"/>
    <w:rsid w:val="002F3378"/>
    <w:rsid w:val="002F33F6"/>
    <w:rsid w:val="002F35E2"/>
    <w:rsid w:val="002F35F8"/>
    <w:rsid w:val="002F36CC"/>
    <w:rsid w:val="002F36D4"/>
    <w:rsid w:val="002F3892"/>
    <w:rsid w:val="002F38F7"/>
    <w:rsid w:val="002F39AB"/>
    <w:rsid w:val="002F3B07"/>
    <w:rsid w:val="002F3BA4"/>
    <w:rsid w:val="002F3C4F"/>
    <w:rsid w:val="002F3CE1"/>
    <w:rsid w:val="002F3CE3"/>
    <w:rsid w:val="002F3D42"/>
    <w:rsid w:val="002F3D7E"/>
    <w:rsid w:val="002F3F8F"/>
    <w:rsid w:val="002F4005"/>
    <w:rsid w:val="002F4047"/>
    <w:rsid w:val="002F405E"/>
    <w:rsid w:val="002F4197"/>
    <w:rsid w:val="002F41D0"/>
    <w:rsid w:val="002F42A6"/>
    <w:rsid w:val="002F4329"/>
    <w:rsid w:val="002F434A"/>
    <w:rsid w:val="002F438E"/>
    <w:rsid w:val="002F43D4"/>
    <w:rsid w:val="002F4458"/>
    <w:rsid w:val="002F44B2"/>
    <w:rsid w:val="002F4597"/>
    <w:rsid w:val="002F4613"/>
    <w:rsid w:val="002F4787"/>
    <w:rsid w:val="002F47B1"/>
    <w:rsid w:val="002F483E"/>
    <w:rsid w:val="002F484F"/>
    <w:rsid w:val="002F4BD8"/>
    <w:rsid w:val="002F4C04"/>
    <w:rsid w:val="002F4DF2"/>
    <w:rsid w:val="002F4F5D"/>
    <w:rsid w:val="002F502E"/>
    <w:rsid w:val="002F511E"/>
    <w:rsid w:val="002F52F4"/>
    <w:rsid w:val="002F531F"/>
    <w:rsid w:val="002F5469"/>
    <w:rsid w:val="002F5594"/>
    <w:rsid w:val="002F5680"/>
    <w:rsid w:val="002F56E3"/>
    <w:rsid w:val="002F5857"/>
    <w:rsid w:val="002F5861"/>
    <w:rsid w:val="002F587D"/>
    <w:rsid w:val="002F5984"/>
    <w:rsid w:val="002F59BC"/>
    <w:rsid w:val="002F59D7"/>
    <w:rsid w:val="002F5A10"/>
    <w:rsid w:val="002F5B99"/>
    <w:rsid w:val="002F5C87"/>
    <w:rsid w:val="002F5DF7"/>
    <w:rsid w:val="002F5E03"/>
    <w:rsid w:val="002F5F07"/>
    <w:rsid w:val="002F60BD"/>
    <w:rsid w:val="002F6244"/>
    <w:rsid w:val="002F6292"/>
    <w:rsid w:val="002F63AB"/>
    <w:rsid w:val="002F63E6"/>
    <w:rsid w:val="002F6518"/>
    <w:rsid w:val="002F6568"/>
    <w:rsid w:val="002F6613"/>
    <w:rsid w:val="002F6893"/>
    <w:rsid w:val="002F6AD9"/>
    <w:rsid w:val="002F6ADA"/>
    <w:rsid w:val="002F6B1F"/>
    <w:rsid w:val="002F6CC3"/>
    <w:rsid w:val="002F6E76"/>
    <w:rsid w:val="002F6E93"/>
    <w:rsid w:val="002F6EFF"/>
    <w:rsid w:val="002F6FAF"/>
    <w:rsid w:val="002F7021"/>
    <w:rsid w:val="002F715B"/>
    <w:rsid w:val="002F7222"/>
    <w:rsid w:val="002F729A"/>
    <w:rsid w:val="002F73CA"/>
    <w:rsid w:val="002F742E"/>
    <w:rsid w:val="002F76AA"/>
    <w:rsid w:val="002F76F7"/>
    <w:rsid w:val="002F7829"/>
    <w:rsid w:val="002F7885"/>
    <w:rsid w:val="002F78C8"/>
    <w:rsid w:val="002F792E"/>
    <w:rsid w:val="002F7A0B"/>
    <w:rsid w:val="002F7B86"/>
    <w:rsid w:val="002F7BB9"/>
    <w:rsid w:val="002F7BBC"/>
    <w:rsid w:val="002F7C18"/>
    <w:rsid w:val="002F7C39"/>
    <w:rsid w:val="002F7D81"/>
    <w:rsid w:val="002F7D86"/>
    <w:rsid w:val="00300046"/>
    <w:rsid w:val="00300048"/>
    <w:rsid w:val="0030018D"/>
    <w:rsid w:val="00300216"/>
    <w:rsid w:val="0030021B"/>
    <w:rsid w:val="003002A0"/>
    <w:rsid w:val="003002A2"/>
    <w:rsid w:val="003002CB"/>
    <w:rsid w:val="003003C1"/>
    <w:rsid w:val="0030040A"/>
    <w:rsid w:val="0030041C"/>
    <w:rsid w:val="003004DD"/>
    <w:rsid w:val="00300681"/>
    <w:rsid w:val="003009DD"/>
    <w:rsid w:val="00300B11"/>
    <w:rsid w:val="00300B91"/>
    <w:rsid w:val="00300C9D"/>
    <w:rsid w:val="00300D5A"/>
    <w:rsid w:val="00300EFF"/>
    <w:rsid w:val="0030100F"/>
    <w:rsid w:val="003010E8"/>
    <w:rsid w:val="0030113E"/>
    <w:rsid w:val="0030117B"/>
    <w:rsid w:val="0030125C"/>
    <w:rsid w:val="00301434"/>
    <w:rsid w:val="00301607"/>
    <w:rsid w:val="003017AF"/>
    <w:rsid w:val="003018AB"/>
    <w:rsid w:val="0030191B"/>
    <w:rsid w:val="00301933"/>
    <w:rsid w:val="00301B3A"/>
    <w:rsid w:val="00301C3F"/>
    <w:rsid w:val="00301DD3"/>
    <w:rsid w:val="00301E6D"/>
    <w:rsid w:val="00301EAD"/>
    <w:rsid w:val="00302030"/>
    <w:rsid w:val="00302058"/>
    <w:rsid w:val="003020FB"/>
    <w:rsid w:val="003023E7"/>
    <w:rsid w:val="003023E9"/>
    <w:rsid w:val="0030265A"/>
    <w:rsid w:val="003026CF"/>
    <w:rsid w:val="00302A29"/>
    <w:rsid w:val="00302A38"/>
    <w:rsid w:val="00302B72"/>
    <w:rsid w:val="00302B8C"/>
    <w:rsid w:val="00302C0E"/>
    <w:rsid w:val="00302C1A"/>
    <w:rsid w:val="00302C72"/>
    <w:rsid w:val="00302D5F"/>
    <w:rsid w:val="00302D88"/>
    <w:rsid w:val="00302D9C"/>
    <w:rsid w:val="00302DED"/>
    <w:rsid w:val="00302E8E"/>
    <w:rsid w:val="00302EBB"/>
    <w:rsid w:val="00302F5C"/>
    <w:rsid w:val="00302F5D"/>
    <w:rsid w:val="00302FAE"/>
    <w:rsid w:val="003030DF"/>
    <w:rsid w:val="0030332B"/>
    <w:rsid w:val="003033C0"/>
    <w:rsid w:val="003034D2"/>
    <w:rsid w:val="003034D7"/>
    <w:rsid w:val="00303671"/>
    <w:rsid w:val="003037C7"/>
    <w:rsid w:val="00303880"/>
    <w:rsid w:val="003038AA"/>
    <w:rsid w:val="00303A5C"/>
    <w:rsid w:val="00303B12"/>
    <w:rsid w:val="00303BF7"/>
    <w:rsid w:val="00303C1B"/>
    <w:rsid w:val="00303C3A"/>
    <w:rsid w:val="00303CD3"/>
    <w:rsid w:val="00303FEC"/>
    <w:rsid w:val="00304115"/>
    <w:rsid w:val="00304145"/>
    <w:rsid w:val="003041E5"/>
    <w:rsid w:val="003042A7"/>
    <w:rsid w:val="00304327"/>
    <w:rsid w:val="00304479"/>
    <w:rsid w:val="003044CB"/>
    <w:rsid w:val="00304508"/>
    <w:rsid w:val="00304516"/>
    <w:rsid w:val="0030487A"/>
    <w:rsid w:val="003048D4"/>
    <w:rsid w:val="00304963"/>
    <w:rsid w:val="003049E6"/>
    <w:rsid w:val="00304A15"/>
    <w:rsid w:val="00304BD1"/>
    <w:rsid w:val="00304BD5"/>
    <w:rsid w:val="00304CD6"/>
    <w:rsid w:val="00304D13"/>
    <w:rsid w:val="00304D16"/>
    <w:rsid w:val="00304DD4"/>
    <w:rsid w:val="00304FF7"/>
    <w:rsid w:val="003050AA"/>
    <w:rsid w:val="0030526E"/>
    <w:rsid w:val="003052ED"/>
    <w:rsid w:val="003052F0"/>
    <w:rsid w:val="00305430"/>
    <w:rsid w:val="003056CB"/>
    <w:rsid w:val="0030571E"/>
    <w:rsid w:val="00305D54"/>
    <w:rsid w:val="00305E8C"/>
    <w:rsid w:val="00305E94"/>
    <w:rsid w:val="00305F3B"/>
    <w:rsid w:val="00305F89"/>
    <w:rsid w:val="00305FD0"/>
    <w:rsid w:val="0030608C"/>
    <w:rsid w:val="003060C6"/>
    <w:rsid w:val="00306131"/>
    <w:rsid w:val="003062C4"/>
    <w:rsid w:val="00306338"/>
    <w:rsid w:val="003063D2"/>
    <w:rsid w:val="003065C5"/>
    <w:rsid w:val="00306688"/>
    <w:rsid w:val="003066BB"/>
    <w:rsid w:val="0030678A"/>
    <w:rsid w:val="003067FF"/>
    <w:rsid w:val="00306BD9"/>
    <w:rsid w:val="00306C28"/>
    <w:rsid w:val="00306CD0"/>
    <w:rsid w:val="00306DCC"/>
    <w:rsid w:val="00306DF3"/>
    <w:rsid w:val="00306EC9"/>
    <w:rsid w:val="00306FF8"/>
    <w:rsid w:val="00307026"/>
    <w:rsid w:val="0030709B"/>
    <w:rsid w:val="0030717C"/>
    <w:rsid w:val="003071A2"/>
    <w:rsid w:val="003072DD"/>
    <w:rsid w:val="0030730A"/>
    <w:rsid w:val="00307327"/>
    <w:rsid w:val="00307374"/>
    <w:rsid w:val="003075F3"/>
    <w:rsid w:val="00307606"/>
    <w:rsid w:val="003076EB"/>
    <w:rsid w:val="0030774B"/>
    <w:rsid w:val="00307797"/>
    <w:rsid w:val="00307809"/>
    <w:rsid w:val="00307811"/>
    <w:rsid w:val="00307825"/>
    <w:rsid w:val="00307AB1"/>
    <w:rsid w:val="00307DA7"/>
    <w:rsid w:val="00307F47"/>
    <w:rsid w:val="0031019D"/>
    <w:rsid w:val="00310340"/>
    <w:rsid w:val="0031037F"/>
    <w:rsid w:val="003103B9"/>
    <w:rsid w:val="003103D1"/>
    <w:rsid w:val="003107A7"/>
    <w:rsid w:val="003107CE"/>
    <w:rsid w:val="0031092C"/>
    <w:rsid w:val="00310945"/>
    <w:rsid w:val="00310A6A"/>
    <w:rsid w:val="00310A9F"/>
    <w:rsid w:val="00310CAD"/>
    <w:rsid w:val="00310E30"/>
    <w:rsid w:val="00310F2F"/>
    <w:rsid w:val="0031100E"/>
    <w:rsid w:val="00311062"/>
    <w:rsid w:val="003110AE"/>
    <w:rsid w:val="00311225"/>
    <w:rsid w:val="00311244"/>
    <w:rsid w:val="0031137D"/>
    <w:rsid w:val="003113BC"/>
    <w:rsid w:val="003113E2"/>
    <w:rsid w:val="0031153D"/>
    <w:rsid w:val="00311675"/>
    <w:rsid w:val="0031172F"/>
    <w:rsid w:val="003117BF"/>
    <w:rsid w:val="00311942"/>
    <w:rsid w:val="00311955"/>
    <w:rsid w:val="003119C8"/>
    <w:rsid w:val="00311CF7"/>
    <w:rsid w:val="00311D7A"/>
    <w:rsid w:val="00311D95"/>
    <w:rsid w:val="00311DAA"/>
    <w:rsid w:val="00311E7A"/>
    <w:rsid w:val="00311F67"/>
    <w:rsid w:val="00312344"/>
    <w:rsid w:val="003123D6"/>
    <w:rsid w:val="003123E9"/>
    <w:rsid w:val="00312535"/>
    <w:rsid w:val="003125AB"/>
    <w:rsid w:val="003125FC"/>
    <w:rsid w:val="003126C3"/>
    <w:rsid w:val="00312787"/>
    <w:rsid w:val="003127A5"/>
    <w:rsid w:val="003127A6"/>
    <w:rsid w:val="00312936"/>
    <w:rsid w:val="00312A17"/>
    <w:rsid w:val="00312A45"/>
    <w:rsid w:val="00312BE0"/>
    <w:rsid w:val="00312C11"/>
    <w:rsid w:val="00312D13"/>
    <w:rsid w:val="00312F8A"/>
    <w:rsid w:val="00313106"/>
    <w:rsid w:val="0031314A"/>
    <w:rsid w:val="0031318C"/>
    <w:rsid w:val="00313238"/>
    <w:rsid w:val="0031329B"/>
    <w:rsid w:val="0031329C"/>
    <w:rsid w:val="003133F3"/>
    <w:rsid w:val="003135A9"/>
    <w:rsid w:val="00313636"/>
    <w:rsid w:val="00313693"/>
    <w:rsid w:val="0031379B"/>
    <w:rsid w:val="00313830"/>
    <w:rsid w:val="0031387B"/>
    <w:rsid w:val="00313909"/>
    <w:rsid w:val="0031390D"/>
    <w:rsid w:val="00313961"/>
    <w:rsid w:val="003139E7"/>
    <w:rsid w:val="00313BBD"/>
    <w:rsid w:val="00313BBF"/>
    <w:rsid w:val="00313CE8"/>
    <w:rsid w:val="00313DDC"/>
    <w:rsid w:val="00313F45"/>
    <w:rsid w:val="00313F4E"/>
    <w:rsid w:val="0031417A"/>
    <w:rsid w:val="003142B2"/>
    <w:rsid w:val="00314386"/>
    <w:rsid w:val="003143AA"/>
    <w:rsid w:val="003143B8"/>
    <w:rsid w:val="0031443C"/>
    <w:rsid w:val="00314514"/>
    <w:rsid w:val="003145B9"/>
    <w:rsid w:val="003145E0"/>
    <w:rsid w:val="00314787"/>
    <w:rsid w:val="003147EE"/>
    <w:rsid w:val="00314883"/>
    <w:rsid w:val="00314982"/>
    <w:rsid w:val="003149D7"/>
    <w:rsid w:val="00314A2A"/>
    <w:rsid w:val="00314B4D"/>
    <w:rsid w:val="00314C2F"/>
    <w:rsid w:val="00314C61"/>
    <w:rsid w:val="00314D70"/>
    <w:rsid w:val="00314DF1"/>
    <w:rsid w:val="00314FCF"/>
    <w:rsid w:val="003150D4"/>
    <w:rsid w:val="00315138"/>
    <w:rsid w:val="00315322"/>
    <w:rsid w:val="0031552F"/>
    <w:rsid w:val="003155E4"/>
    <w:rsid w:val="00315707"/>
    <w:rsid w:val="00315741"/>
    <w:rsid w:val="00315890"/>
    <w:rsid w:val="0031597D"/>
    <w:rsid w:val="00315A5E"/>
    <w:rsid w:val="00315B9A"/>
    <w:rsid w:val="00315C70"/>
    <w:rsid w:val="00315CAE"/>
    <w:rsid w:val="00315CDA"/>
    <w:rsid w:val="00315D3A"/>
    <w:rsid w:val="00315F16"/>
    <w:rsid w:val="00316075"/>
    <w:rsid w:val="00316096"/>
    <w:rsid w:val="003160EC"/>
    <w:rsid w:val="003161FA"/>
    <w:rsid w:val="0031628C"/>
    <w:rsid w:val="00316320"/>
    <w:rsid w:val="0031639E"/>
    <w:rsid w:val="003165DD"/>
    <w:rsid w:val="00316649"/>
    <w:rsid w:val="0031665B"/>
    <w:rsid w:val="00316823"/>
    <w:rsid w:val="00316902"/>
    <w:rsid w:val="00316A34"/>
    <w:rsid w:val="00316B31"/>
    <w:rsid w:val="00316B35"/>
    <w:rsid w:val="00316B6E"/>
    <w:rsid w:val="00316B7C"/>
    <w:rsid w:val="00316BE7"/>
    <w:rsid w:val="00316BE8"/>
    <w:rsid w:val="00316BF8"/>
    <w:rsid w:val="00316C2E"/>
    <w:rsid w:val="00316D17"/>
    <w:rsid w:val="00316D68"/>
    <w:rsid w:val="00316DAC"/>
    <w:rsid w:val="00316E5F"/>
    <w:rsid w:val="00316EC5"/>
    <w:rsid w:val="00316F39"/>
    <w:rsid w:val="0031705F"/>
    <w:rsid w:val="003171D9"/>
    <w:rsid w:val="0031726B"/>
    <w:rsid w:val="00317278"/>
    <w:rsid w:val="00317420"/>
    <w:rsid w:val="00317453"/>
    <w:rsid w:val="00317479"/>
    <w:rsid w:val="00317794"/>
    <w:rsid w:val="00317846"/>
    <w:rsid w:val="003178AB"/>
    <w:rsid w:val="003179E9"/>
    <w:rsid w:val="00317A6A"/>
    <w:rsid w:val="00317A87"/>
    <w:rsid w:val="00317A95"/>
    <w:rsid w:val="00317C70"/>
    <w:rsid w:val="00317CB3"/>
    <w:rsid w:val="00317CF6"/>
    <w:rsid w:val="00317D91"/>
    <w:rsid w:val="00317EDC"/>
    <w:rsid w:val="00317EF7"/>
    <w:rsid w:val="00317F9D"/>
    <w:rsid w:val="00317FF9"/>
    <w:rsid w:val="00320040"/>
    <w:rsid w:val="00320041"/>
    <w:rsid w:val="0032007E"/>
    <w:rsid w:val="00320342"/>
    <w:rsid w:val="0032037C"/>
    <w:rsid w:val="00320602"/>
    <w:rsid w:val="0032064F"/>
    <w:rsid w:val="003206B5"/>
    <w:rsid w:val="0032074B"/>
    <w:rsid w:val="00320788"/>
    <w:rsid w:val="00320872"/>
    <w:rsid w:val="003208D5"/>
    <w:rsid w:val="0032090D"/>
    <w:rsid w:val="00320A40"/>
    <w:rsid w:val="00320B91"/>
    <w:rsid w:val="00320BC5"/>
    <w:rsid w:val="00320D82"/>
    <w:rsid w:val="00321060"/>
    <w:rsid w:val="00321164"/>
    <w:rsid w:val="00321390"/>
    <w:rsid w:val="003215F7"/>
    <w:rsid w:val="00321800"/>
    <w:rsid w:val="0032184F"/>
    <w:rsid w:val="00321965"/>
    <w:rsid w:val="00321A42"/>
    <w:rsid w:val="00321B87"/>
    <w:rsid w:val="00321BBC"/>
    <w:rsid w:val="00321BC8"/>
    <w:rsid w:val="00321CD7"/>
    <w:rsid w:val="00321D41"/>
    <w:rsid w:val="00321E76"/>
    <w:rsid w:val="00321F50"/>
    <w:rsid w:val="0032201D"/>
    <w:rsid w:val="00322080"/>
    <w:rsid w:val="00322094"/>
    <w:rsid w:val="003220DE"/>
    <w:rsid w:val="003221EE"/>
    <w:rsid w:val="0032221E"/>
    <w:rsid w:val="00322285"/>
    <w:rsid w:val="003222D1"/>
    <w:rsid w:val="00322342"/>
    <w:rsid w:val="00322510"/>
    <w:rsid w:val="0032257D"/>
    <w:rsid w:val="003226A4"/>
    <w:rsid w:val="003226C5"/>
    <w:rsid w:val="0032279B"/>
    <w:rsid w:val="003227FE"/>
    <w:rsid w:val="00322995"/>
    <w:rsid w:val="00322ACD"/>
    <w:rsid w:val="00322B4B"/>
    <w:rsid w:val="00322B7A"/>
    <w:rsid w:val="00322E85"/>
    <w:rsid w:val="00322FC2"/>
    <w:rsid w:val="00323021"/>
    <w:rsid w:val="0032337A"/>
    <w:rsid w:val="00323521"/>
    <w:rsid w:val="0032354A"/>
    <w:rsid w:val="00323643"/>
    <w:rsid w:val="0032395A"/>
    <w:rsid w:val="00323966"/>
    <w:rsid w:val="00323B3F"/>
    <w:rsid w:val="00323CAD"/>
    <w:rsid w:val="00323CB1"/>
    <w:rsid w:val="00323CD5"/>
    <w:rsid w:val="00323CDF"/>
    <w:rsid w:val="00323D3E"/>
    <w:rsid w:val="00323EFA"/>
    <w:rsid w:val="00323F2E"/>
    <w:rsid w:val="00324071"/>
    <w:rsid w:val="0032438D"/>
    <w:rsid w:val="0032462D"/>
    <w:rsid w:val="00324675"/>
    <w:rsid w:val="0032473F"/>
    <w:rsid w:val="003247DC"/>
    <w:rsid w:val="00324922"/>
    <w:rsid w:val="00324970"/>
    <w:rsid w:val="00324994"/>
    <w:rsid w:val="003249DE"/>
    <w:rsid w:val="00324A05"/>
    <w:rsid w:val="00324A62"/>
    <w:rsid w:val="00324B20"/>
    <w:rsid w:val="00324B87"/>
    <w:rsid w:val="00324CA7"/>
    <w:rsid w:val="00324CB5"/>
    <w:rsid w:val="00324CE7"/>
    <w:rsid w:val="00324F36"/>
    <w:rsid w:val="00324FD9"/>
    <w:rsid w:val="00325074"/>
    <w:rsid w:val="0032517D"/>
    <w:rsid w:val="003251E4"/>
    <w:rsid w:val="003252DA"/>
    <w:rsid w:val="00325373"/>
    <w:rsid w:val="00325396"/>
    <w:rsid w:val="003253A8"/>
    <w:rsid w:val="0032544F"/>
    <w:rsid w:val="003254BD"/>
    <w:rsid w:val="00325578"/>
    <w:rsid w:val="003255A7"/>
    <w:rsid w:val="00325820"/>
    <w:rsid w:val="0032583C"/>
    <w:rsid w:val="00325954"/>
    <w:rsid w:val="00325975"/>
    <w:rsid w:val="003259A5"/>
    <w:rsid w:val="00325A16"/>
    <w:rsid w:val="00325AE3"/>
    <w:rsid w:val="00325B81"/>
    <w:rsid w:val="00325BF9"/>
    <w:rsid w:val="00325D00"/>
    <w:rsid w:val="00325D13"/>
    <w:rsid w:val="00325D24"/>
    <w:rsid w:val="00325D29"/>
    <w:rsid w:val="00325F3D"/>
    <w:rsid w:val="00326046"/>
    <w:rsid w:val="0032644A"/>
    <w:rsid w:val="003264BF"/>
    <w:rsid w:val="0032664D"/>
    <w:rsid w:val="00326752"/>
    <w:rsid w:val="0032693A"/>
    <w:rsid w:val="003269BC"/>
    <w:rsid w:val="003269CD"/>
    <w:rsid w:val="00326A39"/>
    <w:rsid w:val="00326A89"/>
    <w:rsid w:val="00326B35"/>
    <w:rsid w:val="00326CDB"/>
    <w:rsid w:val="00326CF9"/>
    <w:rsid w:val="00326E36"/>
    <w:rsid w:val="00326F18"/>
    <w:rsid w:val="00326FD6"/>
    <w:rsid w:val="00326FF8"/>
    <w:rsid w:val="003271EF"/>
    <w:rsid w:val="003273B2"/>
    <w:rsid w:val="003273F4"/>
    <w:rsid w:val="0032778A"/>
    <w:rsid w:val="0032788D"/>
    <w:rsid w:val="0032796D"/>
    <w:rsid w:val="00327B29"/>
    <w:rsid w:val="00327D06"/>
    <w:rsid w:val="003301C3"/>
    <w:rsid w:val="003301F6"/>
    <w:rsid w:val="0033029A"/>
    <w:rsid w:val="00330477"/>
    <w:rsid w:val="003304BD"/>
    <w:rsid w:val="003304E7"/>
    <w:rsid w:val="00330523"/>
    <w:rsid w:val="00330579"/>
    <w:rsid w:val="003305EC"/>
    <w:rsid w:val="00330847"/>
    <w:rsid w:val="003308F0"/>
    <w:rsid w:val="00330B67"/>
    <w:rsid w:val="00330D0B"/>
    <w:rsid w:val="00330D31"/>
    <w:rsid w:val="00330E71"/>
    <w:rsid w:val="00330EBC"/>
    <w:rsid w:val="00330FF6"/>
    <w:rsid w:val="0033107E"/>
    <w:rsid w:val="0033126C"/>
    <w:rsid w:val="0033130A"/>
    <w:rsid w:val="0033131D"/>
    <w:rsid w:val="00331324"/>
    <w:rsid w:val="00331395"/>
    <w:rsid w:val="00331472"/>
    <w:rsid w:val="00331985"/>
    <w:rsid w:val="003319A3"/>
    <w:rsid w:val="00331A39"/>
    <w:rsid w:val="00331BE9"/>
    <w:rsid w:val="00331D7F"/>
    <w:rsid w:val="00331DA6"/>
    <w:rsid w:val="00331DC1"/>
    <w:rsid w:val="00331FE3"/>
    <w:rsid w:val="00332021"/>
    <w:rsid w:val="00332205"/>
    <w:rsid w:val="00332243"/>
    <w:rsid w:val="00332334"/>
    <w:rsid w:val="00332351"/>
    <w:rsid w:val="00332432"/>
    <w:rsid w:val="0033243D"/>
    <w:rsid w:val="00332510"/>
    <w:rsid w:val="0033254B"/>
    <w:rsid w:val="0033259E"/>
    <w:rsid w:val="003327C1"/>
    <w:rsid w:val="0033291F"/>
    <w:rsid w:val="00332A3C"/>
    <w:rsid w:val="00332BFE"/>
    <w:rsid w:val="00332C72"/>
    <w:rsid w:val="00332CF2"/>
    <w:rsid w:val="00332D81"/>
    <w:rsid w:val="00332E1E"/>
    <w:rsid w:val="00332E96"/>
    <w:rsid w:val="00332FB2"/>
    <w:rsid w:val="003331B6"/>
    <w:rsid w:val="0033328D"/>
    <w:rsid w:val="0033335E"/>
    <w:rsid w:val="00333412"/>
    <w:rsid w:val="0033342A"/>
    <w:rsid w:val="00333526"/>
    <w:rsid w:val="00333670"/>
    <w:rsid w:val="00333718"/>
    <w:rsid w:val="003337D7"/>
    <w:rsid w:val="003337EC"/>
    <w:rsid w:val="00333899"/>
    <w:rsid w:val="003338AE"/>
    <w:rsid w:val="0033395F"/>
    <w:rsid w:val="00333A23"/>
    <w:rsid w:val="00333AA7"/>
    <w:rsid w:val="00333ACB"/>
    <w:rsid w:val="00333C11"/>
    <w:rsid w:val="00333D02"/>
    <w:rsid w:val="00333E50"/>
    <w:rsid w:val="00333F99"/>
    <w:rsid w:val="0033403A"/>
    <w:rsid w:val="0033429A"/>
    <w:rsid w:val="003342F7"/>
    <w:rsid w:val="003342FD"/>
    <w:rsid w:val="00334313"/>
    <w:rsid w:val="0033437F"/>
    <w:rsid w:val="003343D8"/>
    <w:rsid w:val="003343F1"/>
    <w:rsid w:val="00334621"/>
    <w:rsid w:val="00334624"/>
    <w:rsid w:val="0033486E"/>
    <w:rsid w:val="003348FD"/>
    <w:rsid w:val="00334951"/>
    <w:rsid w:val="00334A12"/>
    <w:rsid w:val="00334AE9"/>
    <w:rsid w:val="00334BFF"/>
    <w:rsid w:val="00334C23"/>
    <w:rsid w:val="00334C5C"/>
    <w:rsid w:val="00334CD2"/>
    <w:rsid w:val="00334E00"/>
    <w:rsid w:val="00334E0D"/>
    <w:rsid w:val="00334F39"/>
    <w:rsid w:val="00334FBC"/>
    <w:rsid w:val="003350D9"/>
    <w:rsid w:val="00335284"/>
    <w:rsid w:val="003352EA"/>
    <w:rsid w:val="003352EE"/>
    <w:rsid w:val="003353FA"/>
    <w:rsid w:val="00335485"/>
    <w:rsid w:val="00335585"/>
    <w:rsid w:val="003355F6"/>
    <w:rsid w:val="0033599D"/>
    <w:rsid w:val="00335A4C"/>
    <w:rsid w:val="00335BB4"/>
    <w:rsid w:val="00335C89"/>
    <w:rsid w:val="00335ECE"/>
    <w:rsid w:val="00335F76"/>
    <w:rsid w:val="0033606B"/>
    <w:rsid w:val="003360D7"/>
    <w:rsid w:val="00336129"/>
    <w:rsid w:val="00336153"/>
    <w:rsid w:val="00336227"/>
    <w:rsid w:val="003363F1"/>
    <w:rsid w:val="00336414"/>
    <w:rsid w:val="0033641E"/>
    <w:rsid w:val="003364BB"/>
    <w:rsid w:val="003364FA"/>
    <w:rsid w:val="003365E5"/>
    <w:rsid w:val="00336688"/>
    <w:rsid w:val="00336843"/>
    <w:rsid w:val="00336880"/>
    <w:rsid w:val="00336971"/>
    <w:rsid w:val="00336A87"/>
    <w:rsid w:val="00336D13"/>
    <w:rsid w:val="00336E44"/>
    <w:rsid w:val="00336FE5"/>
    <w:rsid w:val="003370F5"/>
    <w:rsid w:val="00337268"/>
    <w:rsid w:val="003372F2"/>
    <w:rsid w:val="00337310"/>
    <w:rsid w:val="00337407"/>
    <w:rsid w:val="00337471"/>
    <w:rsid w:val="003374F0"/>
    <w:rsid w:val="003374FB"/>
    <w:rsid w:val="003377B5"/>
    <w:rsid w:val="003377CF"/>
    <w:rsid w:val="00337865"/>
    <w:rsid w:val="00337A73"/>
    <w:rsid w:val="00337B91"/>
    <w:rsid w:val="00337C0C"/>
    <w:rsid w:val="00337CAC"/>
    <w:rsid w:val="00337E75"/>
    <w:rsid w:val="003400C2"/>
    <w:rsid w:val="00340123"/>
    <w:rsid w:val="00340158"/>
    <w:rsid w:val="00340184"/>
    <w:rsid w:val="00340246"/>
    <w:rsid w:val="00340279"/>
    <w:rsid w:val="0034028C"/>
    <w:rsid w:val="003402AE"/>
    <w:rsid w:val="003402EC"/>
    <w:rsid w:val="0034037E"/>
    <w:rsid w:val="00340388"/>
    <w:rsid w:val="003403BA"/>
    <w:rsid w:val="003403C8"/>
    <w:rsid w:val="003404E0"/>
    <w:rsid w:val="0034052B"/>
    <w:rsid w:val="00340692"/>
    <w:rsid w:val="00340763"/>
    <w:rsid w:val="003407FB"/>
    <w:rsid w:val="00340B96"/>
    <w:rsid w:val="00340BB0"/>
    <w:rsid w:val="00340C97"/>
    <w:rsid w:val="00340DA4"/>
    <w:rsid w:val="00340EE1"/>
    <w:rsid w:val="00340FB9"/>
    <w:rsid w:val="00341019"/>
    <w:rsid w:val="00341134"/>
    <w:rsid w:val="00341140"/>
    <w:rsid w:val="003411DA"/>
    <w:rsid w:val="0034127D"/>
    <w:rsid w:val="00341289"/>
    <w:rsid w:val="00341351"/>
    <w:rsid w:val="00341372"/>
    <w:rsid w:val="00341388"/>
    <w:rsid w:val="003413A7"/>
    <w:rsid w:val="003413BD"/>
    <w:rsid w:val="003414D3"/>
    <w:rsid w:val="003415E3"/>
    <w:rsid w:val="00341691"/>
    <w:rsid w:val="003417E9"/>
    <w:rsid w:val="003418FD"/>
    <w:rsid w:val="00341978"/>
    <w:rsid w:val="00341A2B"/>
    <w:rsid w:val="00341A44"/>
    <w:rsid w:val="00341AB8"/>
    <w:rsid w:val="00341ADF"/>
    <w:rsid w:val="00341C3A"/>
    <w:rsid w:val="00341E89"/>
    <w:rsid w:val="00341EB9"/>
    <w:rsid w:val="00341FD3"/>
    <w:rsid w:val="003420B4"/>
    <w:rsid w:val="003421BF"/>
    <w:rsid w:val="00342243"/>
    <w:rsid w:val="00342298"/>
    <w:rsid w:val="003424A0"/>
    <w:rsid w:val="003425E5"/>
    <w:rsid w:val="00342620"/>
    <w:rsid w:val="003427E4"/>
    <w:rsid w:val="0034290A"/>
    <w:rsid w:val="003429B7"/>
    <w:rsid w:val="003429D3"/>
    <w:rsid w:val="00342B4F"/>
    <w:rsid w:val="00342B7A"/>
    <w:rsid w:val="00342C3E"/>
    <w:rsid w:val="00342D97"/>
    <w:rsid w:val="00342FBE"/>
    <w:rsid w:val="003430AD"/>
    <w:rsid w:val="00343151"/>
    <w:rsid w:val="0034315B"/>
    <w:rsid w:val="003431B7"/>
    <w:rsid w:val="00343315"/>
    <w:rsid w:val="0034334C"/>
    <w:rsid w:val="003433BA"/>
    <w:rsid w:val="00343486"/>
    <w:rsid w:val="0034351A"/>
    <w:rsid w:val="0034352D"/>
    <w:rsid w:val="003435FD"/>
    <w:rsid w:val="00343670"/>
    <w:rsid w:val="003436C9"/>
    <w:rsid w:val="0034370B"/>
    <w:rsid w:val="003437FF"/>
    <w:rsid w:val="003439D6"/>
    <w:rsid w:val="00343A79"/>
    <w:rsid w:val="00343AB8"/>
    <w:rsid w:val="00343B02"/>
    <w:rsid w:val="00343BC4"/>
    <w:rsid w:val="00343C12"/>
    <w:rsid w:val="00343C40"/>
    <w:rsid w:val="00343D0A"/>
    <w:rsid w:val="00343D15"/>
    <w:rsid w:val="00343DA1"/>
    <w:rsid w:val="00343EBA"/>
    <w:rsid w:val="00343F10"/>
    <w:rsid w:val="0034405D"/>
    <w:rsid w:val="003440D1"/>
    <w:rsid w:val="00344102"/>
    <w:rsid w:val="003441E7"/>
    <w:rsid w:val="00344354"/>
    <w:rsid w:val="00344373"/>
    <w:rsid w:val="003445D2"/>
    <w:rsid w:val="00344616"/>
    <w:rsid w:val="00344846"/>
    <w:rsid w:val="00344D18"/>
    <w:rsid w:val="00344DF9"/>
    <w:rsid w:val="00344E55"/>
    <w:rsid w:val="00344FAE"/>
    <w:rsid w:val="003450E8"/>
    <w:rsid w:val="003451CE"/>
    <w:rsid w:val="003451E0"/>
    <w:rsid w:val="00345230"/>
    <w:rsid w:val="003453A2"/>
    <w:rsid w:val="003453D8"/>
    <w:rsid w:val="003453FE"/>
    <w:rsid w:val="0034545C"/>
    <w:rsid w:val="00345488"/>
    <w:rsid w:val="00345630"/>
    <w:rsid w:val="003456CB"/>
    <w:rsid w:val="00345872"/>
    <w:rsid w:val="003459F2"/>
    <w:rsid w:val="00345A62"/>
    <w:rsid w:val="00345AC6"/>
    <w:rsid w:val="00345B30"/>
    <w:rsid w:val="00345BCD"/>
    <w:rsid w:val="00345CF4"/>
    <w:rsid w:val="00345DD7"/>
    <w:rsid w:val="00345E24"/>
    <w:rsid w:val="00345EB0"/>
    <w:rsid w:val="00345F2F"/>
    <w:rsid w:val="00345FF8"/>
    <w:rsid w:val="003460EC"/>
    <w:rsid w:val="00346122"/>
    <w:rsid w:val="00346126"/>
    <w:rsid w:val="003462F3"/>
    <w:rsid w:val="0034632D"/>
    <w:rsid w:val="00346618"/>
    <w:rsid w:val="003466C7"/>
    <w:rsid w:val="003467D1"/>
    <w:rsid w:val="003467EE"/>
    <w:rsid w:val="003467F1"/>
    <w:rsid w:val="00346888"/>
    <w:rsid w:val="003468BC"/>
    <w:rsid w:val="00346968"/>
    <w:rsid w:val="00346AAB"/>
    <w:rsid w:val="00346CD6"/>
    <w:rsid w:val="00346D9B"/>
    <w:rsid w:val="00346DE4"/>
    <w:rsid w:val="00347126"/>
    <w:rsid w:val="0034718E"/>
    <w:rsid w:val="00347320"/>
    <w:rsid w:val="00347326"/>
    <w:rsid w:val="00347387"/>
    <w:rsid w:val="003473FC"/>
    <w:rsid w:val="00347561"/>
    <w:rsid w:val="0034768B"/>
    <w:rsid w:val="0034778F"/>
    <w:rsid w:val="0034786D"/>
    <w:rsid w:val="00347A10"/>
    <w:rsid w:val="00347BB3"/>
    <w:rsid w:val="00347BDA"/>
    <w:rsid w:val="00347C80"/>
    <w:rsid w:val="00347CE4"/>
    <w:rsid w:val="00347D3B"/>
    <w:rsid w:val="0035011D"/>
    <w:rsid w:val="003501A0"/>
    <w:rsid w:val="00350455"/>
    <w:rsid w:val="003504E7"/>
    <w:rsid w:val="003504E8"/>
    <w:rsid w:val="003504FD"/>
    <w:rsid w:val="0035055C"/>
    <w:rsid w:val="0035060B"/>
    <w:rsid w:val="003508B7"/>
    <w:rsid w:val="003509E1"/>
    <w:rsid w:val="00350BD8"/>
    <w:rsid w:val="00350C2E"/>
    <w:rsid w:val="00350F5E"/>
    <w:rsid w:val="00351048"/>
    <w:rsid w:val="003511E0"/>
    <w:rsid w:val="00351448"/>
    <w:rsid w:val="003515E1"/>
    <w:rsid w:val="003517A8"/>
    <w:rsid w:val="00351822"/>
    <w:rsid w:val="003519EC"/>
    <w:rsid w:val="00351B1A"/>
    <w:rsid w:val="00351BC3"/>
    <w:rsid w:val="00351BEA"/>
    <w:rsid w:val="00351CB3"/>
    <w:rsid w:val="00352181"/>
    <w:rsid w:val="003522A8"/>
    <w:rsid w:val="003522CB"/>
    <w:rsid w:val="00352340"/>
    <w:rsid w:val="003526A3"/>
    <w:rsid w:val="003528FD"/>
    <w:rsid w:val="003529C2"/>
    <w:rsid w:val="00352EC7"/>
    <w:rsid w:val="00352ED9"/>
    <w:rsid w:val="00352EF1"/>
    <w:rsid w:val="00353021"/>
    <w:rsid w:val="0035313B"/>
    <w:rsid w:val="0035314D"/>
    <w:rsid w:val="00353156"/>
    <w:rsid w:val="00353257"/>
    <w:rsid w:val="0035344B"/>
    <w:rsid w:val="003534A7"/>
    <w:rsid w:val="003534D3"/>
    <w:rsid w:val="00353502"/>
    <w:rsid w:val="003535A7"/>
    <w:rsid w:val="0035366F"/>
    <w:rsid w:val="003536E2"/>
    <w:rsid w:val="0035378F"/>
    <w:rsid w:val="0035384B"/>
    <w:rsid w:val="0035394E"/>
    <w:rsid w:val="00353955"/>
    <w:rsid w:val="00353B5B"/>
    <w:rsid w:val="00353BE7"/>
    <w:rsid w:val="00353F26"/>
    <w:rsid w:val="00353F30"/>
    <w:rsid w:val="00353F39"/>
    <w:rsid w:val="003540A4"/>
    <w:rsid w:val="00354238"/>
    <w:rsid w:val="003542F9"/>
    <w:rsid w:val="00354333"/>
    <w:rsid w:val="00354403"/>
    <w:rsid w:val="0035443A"/>
    <w:rsid w:val="00354464"/>
    <w:rsid w:val="003544C1"/>
    <w:rsid w:val="0035456F"/>
    <w:rsid w:val="00354696"/>
    <w:rsid w:val="003546A9"/>
    <w:rsid w:val="0035486E"/>
    <w:rsid w:val="003548A1"/>
    <w:rsid w:val="00354943"/>
    <w:rsid w:val="00354B41"/>
    <w:rsid w:val="00354E17"/>
    <w:rsid w:val="00354EFE"/>
    <w:rsid w:val="0035505A"/>
    <w:rsid w:val="0035505B"/>
    <w:rsid w:val="00355547"/>
    <w:rsid w:val="00355574"/>
    <w:rsid w:val="003555F8"/>
    <w:rsid w:val="003556A1"/>
    <w:rsid w:val="003558CF"/>
    <w:rsid w:val="00355A3F"/>
    <w:rsid w:val="00355A60"/>
    <w:rsid w:val="00355A8F"/>
    <w:rsid w:val="00355BA9"/>
    <w:rsid w:val="00355C0C"/>
    <w:rsid w:val="00355C28"/>
    <w:rsid w:val="00355C47"/>
    <w:rsid w:val="00355C55"/>
    <w:rsid w:val="00355C66"/>
    <w:rsid w:val="00355D66"/>
    <w:rsid w:val="00355E4E"/>
    <w:rsid w:val="00355E6D"/>
    <w:rsid w:val="00355EFE"/>
    <w:rsid w:val="00355F21"/>
    <w:rsid w:val="00355F31"/>
    <w:rsid w:val="00355F56"/>
    <w:rsid w:val="00356172"/>
    <w:rsid w:val="00356250"/>
    <w:rsid w:val="0035638B"/>
    <w:rsid w:val="00356576"/>
    <w:rsid w:val="00356583"/>
    <w:rsid w:val="00356671"/>
    <w:rsid w:val="0035669F"/>
    <w:rsid w:val="0035678E"/>
    <w:rsid w:val="003568B2"/>
    <w:rsid w:val="003569CE"/>
    <w:rsid w:val="003569E5"/>
    <w:rsid w:val="00356A5A"/>
    <w:rsid w:val="00356AF2"/>
    <w:rsid w:val="00356B20"/>
    <w:rsid w:val="00356B4B"/>
    <w:rsid w:val="00356C3E"/>
    <w:rsid w:val="00356CA4"/>
    <w:rsid w:val="00356D92"/>
    <w:rsid w:val="00356DA6"/>
    <w:rsid w:val="00356E24"/>
    <w:rsid w:val="00356F20"/>
    <w:rsid w:val="00357243"/>
    <w:rsid w:val="0035732B"/>
    <w:rsid w:val="0035734C"/>
    <w:rsid w:val="0035742F"/>
    <w:rsid w:val="00357497"/>
    <w:rsid w:val="00357520"/>
    <w:rsid w:val="00357550"/>
    <w:rsid w:val="00357617"/>
    <w:rsid w:val="003576FF"/>
    <w:rsid w:val="00357817"/>
    <w:rsid w:val="00357A3C"/>
    <w:rsid w:val="00357A69"/>
    <w:rsid w:val="00357ADC"/>
    <w:rsid w:val="00357C05"/>
    <w:rsid w:val="00357D11"/>
    <w:rsid w:val="00357EDD"/>
    <w:rsid w:val="00357F6D"/>
    <w:rsid w:val="00357F8C"/>
    <w:rsid w:val="003601FD"/>
    <w:rsid w:val="0036024A"/>
    <w:rsid w:val="00360353"/>
    <w:rsid w:val="00360488"/>
    <w:rsid w:val="0036050B"/>
    <w:rsid w:val="0036056C"/>
    <w:rsid w:val="003605F9"/>
    <w:rsid w:val="00360654"/>
    <w:rsid w:val="003606BE"/>
    <w:rsid w:val="003606DC"/>
    <w:rsid w:val="00360800"/>
    <w:rsid w:val="00360869"/>
    <w:rsid w:val="003608A8"/>
    <w:rsid w:val="003608DE"/>
    <w:rsid w:val="003608ED"/>
    <w:rsid w:val="0036096F"/>
    <w:rsid w:val="003609D5"/>
    <w:rsid w:val="00360A99"/>
    <w:rsid w:val="00360BA8"/>
    <w:rsid w:val="00360BFE"/>
    <w:rsid w:val="00360C99"/>
    <w:rsid w:val="00360E33"/>
    <w:rsid w:val="00360ED4"/>
    <w:rsid w:val="00360EF5"/>
    <w:rsid w:val="003610F7"/>
    <w:rsid w:val="003611C6"/>
    <w:rsid w:val="003611CB"/>
    <w:rsid w:val="003612E3"/>
    <w:rsid w:val="0036134B"/>
    <w:rsid w:val="00361360"/>
    <w:rsid w:val="003614C8"/>
    <w:rsid w:val="00361520"/>
    <w:rsid w:val="0036170B"/>
    <w:rsid w:val="0036174D"/>
    <w:rsid w:val="00361869"/>
    <w:rsid w:val="0036192F"/>
    <w:rsid w:val="0036196F"/>
    <w:rsid w:val="0036198A"/>
    <w:rsid w:val="00361995"/>
    <w:rsid w:val="003619F4"/>
    <w:rsid w:val="00361A80"/>
    <w:rsid w:val="00361AB8"/>
    <w:rsid w:val="00361B72"/>
    <w:rsid w:val="00361BF1"/>
    <w:rsid w:val="00361C56"/>
    <w:rsid w:val="00361D06"/>
    <w:rsid w:val="00361F0D"/>
    <w:rsid w:val="00361F5A"/>
    <w:rsid w:val="00362508"/>
    <w:rsid w:val="0036270D"/>
    <w:rsid w:val="00362857"/>
    <w:rsid w:val="0036298A"/>
    <w:rsid w:val="00362A9C"/>
    <w:rsid w:val="00362CAE"/>
    <w:rsid w:val="00362CB2"/>
    <w:rsid w:val="00362DC6"/>
    <w:rsid w:val="00362F1C"/>
    <w:rsid w:val="00362F9D"/>
    <w:rsid w:val="00363105"/>
    <w:rsid w:val="00363145"/>
    <w:rsid w:val="003631BF"/>
    <w:rsid w:val="0036328D"/>
    <w:rsid w:val="003632D8"/>
    <w:rsid w:val="003632F9"/>
    <w:rsid w:val="00363504"/>
    <w:rsid w:val="00363682"/>
    <w:rsid w:val="0036378B"/>
    <w:rsid w:val="00363996"/>
    <w:rsid w:val="00363DDC"/>
    <w:rsid w:val="003640BC"/>
    <w:rsid w:val="003640F8"/>
    <w:rsid w:val="00364103"/>
    <w:rsid w:val="003641AC"/>
    <w:rsid w:val="00364377"/>
    <w:rsid w:val="003644F9"/>
    <w:rsid w:val="003646B2"/>
    <w:rsid w:val="003647A7"/>
    <w:rsid w:val="0036484F"/>
    <w:rsid w:val="00364947"/>
    <w:rsid w:val="00364A88"/>
    <w:rsid w:val="00364AB3"/>
    <w:rsid w:val="00364ABF"/>
    <w:rsid w:val="00364B02"/>
    <w:rsid w:val="00364B0C"/>
    <w:rsid w:val="00364C6C"/>
    <w:rsid w:val="00364DD0"/>
    <w:rsid w:val="003651B7"/>
    <w:rsid w:val="003651B9"/>
    <w:rsid w:val="003652EE"/>
    <w:rsid w:val="003653E2"/>
    <w:rsid w:val="00365486"/>
    <w:rsid w:val="0036548B"/>
    <w:rsid w:val="0036549F"/>
    <w:rsid w:val="00365503"/>
    <w:rsid w:val="00365565"/>
    <w:rsid w:val="00365574"/>
    <w:rsid w:val="0036557F"/>
    <w:rsid w:val="00365583"/>
    <w:rsid w:val="003658A1"/>
    <w:rsid w:val="003658C4"/>
    <w:rsid w:val="00365963"/>
    <w:rsid w:val="00365A7F"/>
    <w:rsid w:val="00365B08"/>
    <w:rsid w:val="00365D01"/>
    <w:rsid w:val="00365D82"/>
    <w:rsid w:val="00365E00"/>
    <w:rsid w:val="00365E67"/>
    <w:rsid w:val="00365F67"/>
    <w:rsid w:val="00366153"/>
    <w:rsid w:val="00366246"/>
    <w:rsid w:val="00366300"/>
    <w:rsid w:val="003663B7"/>
    <w:rsid w:val="00366493"/>
    <w:rsid w:val="0036659A"/>
    <w:rsid w:val="003667CF"/>
    <w:rsid w:val="00366886"/>
    <w:rsid w:val="003668B0"/>
    <w:rsid w:val="0036695E"/>
    <w:rsid w:val="00366B4C"/>
    <w:rsid w:val="00366B96"/>
    <w:rsid w:val="00366D01"/>
    <w:rsid w:val="00366DD4"/>
    <w:rsid w:val="00367042"/>
    <w:rsid w:val="0036707E"/>
    <w:rsid w:val="00367091"/>
    <w:rsid w:val="003670DD"/>
    <w:rsid w:val="0036712F"/>
    <w:rsid w:val="003672C5"/>
    <w:rsid w:val="003672DB"/>
    <w:rsid w:val="0036733B"/>
    <w:rsid w:val="00367420"/>
    <w:rsid w:val="0036747A"/>
    <w:rsid w:val="0036747B"/>
    <w:rsid w:val="0036763F"/>
    <w:rsid w:val="00367730"/>
    <w:rsid w:val="00367757"/>
    <w:rsid w:val="003677E8"/>
    <w:rsid w:val="003678AA"/>
    <w:rsid w:val="003679C8"/>
    <w:rsid w:val="003679DC"/>
    <w:rsid w:val="00367E0E"/>
    <w:rsid w:val="003702B5"/>
    <w:rsid w:val="0037048D"/>
    <w:rsid w:val="00370555"/>
    <w:rsid w:val="0037058D"/>
    <w:rsid w:val="003705B0"/>
    <w:rsid w:val="00370610"/>
    <w:rsid w:val="00370810"/>
    <w:rsid w:val="00370844"/>
    <w:rsid w:val="003709B8"/>
    <w:rsid w:val="003709DF"/>
    <w:rsid w:val="00370B31"/>
    <w:rsid w:val="00370B59"/>
    <w:rsid w:val="00370B60"/>
    <w:rsid w:val="00370C56"/>
    <w:rsid w:val="00370C9B"/>
    <w:rsid w:val="00370E1E"/>
    <w:rsid w:val="00370E47"/>
    <w:rsid w:val="00370EF0"/>
    <w:rsid w:val="00370F11"/>
    <w:rsid w:val="00370F84"/>
    <w:rsid w:val="00370F98"/>
    <w:rsid w:val="00370FCD"/>
    <w:rsid w:val="003710B5"/>
    <w:rsid w:val="00371132"/>
    <w:rsid w:val="003711E9"/>
    <w:rsid w:val="003712D3"/>
    <w:rsid w:val="00371391"/>
    <w:rsid w:val="003713F1"/>
    <w:rsid w:val="003714AC"/>
    <w:rsid w:val="00371519"/>
    <w:rsid w:val="003715F8"/>
    <w:rsid w:val="0037166E"/>
    <w:rsid w:val="003716D4"/>
    <w:rsid w:val="003716E4"/>
    <w:rsid w:val="00371874"/>
    <w:rsid w:val="00371957"/>
    <w:rsid w:val="0037195E"/>
    <w:rsid w:val="00371A92"/>
    <w:rsid w:val="00371ACB"/>
    <w:rsid w:val="00371B30"/>
    <w:rsid w:val="00371CBC"/>
    <w:rsid w:val="00371E96"/>
    <w:rsid w:val="00371F21"/>
    <w:rsid w:val="00371F70"/>
    <w:rsid w:val="00371F9F"/>
    <w:rsid w:val="003720C1"/>
    <w:rsid w:val="0037231A"/>
    <w:rsid w:val="00372346"/>
    <w:rsid w:val="00372511"/>
    <w:rsid w:val="00372568"/>
    <w:rsid w:val="003725F2"/>
    <w:rsid w:val="00372752"/>
    <w:rsid w:val="00372772"/>
    <w:rsid w:val="00372A3A"/>
    <w:rsid w:val="00372A50"/>
    <w:rsid w:val="00372ABA"/>
    <w:rsid w:val="00372BF3"/>
    <w:rsid w:val="00372D34"/>
    <w:rsid w:val="00372D9E"/>
    <w:rsid w:val="00372DA1"/>
    <w:rsid w:val="00372E0E"/>
    <w:rsid w:val="00372FFB"/>
    <w:rsid w:val="003730CC"/>
    <w:rsid w:val="0037318A"/>
    <w:rsid w:val="003731F9"/>
    <w:rsid w:val="0037323C"/>
    <w:rsid w:val="00373310"/>
    <w:rsid w:val="00373352"/>
    <w:rsid w:val="00373358"/>
    <w:rsid w:val="0037343D"/>
    <w:rsid w:val="0037348E"/>
    <w:rsid w:val="003734E0"/>
    <w:rsid w:val="003735C9"/>
    <w:rsid w:val="00373812"/>
    <w:rsid w:val="00373850"/>
    <w:rsid w:val="0037386C"/>
    <w:rsid w:val="003739AF"/>
    <w:rsid w:val="003739D8"/>
    <w:rsid w:val="00373A92"/>
    <w:rsid w:val="00373B5F"/>
    <w:rsid w:val="00373B61"/>
    <w:rsid w:val="00373BA5"/>
    <w:rsid w:val="00373BD7"/>
    <w:rsid w:val="00373C97"/>
    <w:rsid w:val="00373D18"/>
    <w:rsid w:val="00373DAA"/>
    <w:rsid w:val="00373E57"/>
    <w:rsid w:val="00373E8F"/>
    <w:rsid w:val="00373F30"/>
    <w:rsid w:val="003740FB"/>
    <w:rsid w:val="0037411F"/>
    <w:rsid w:val="003741A9"/>
    <w:rsid w:val="003742A1"/>
    <w:rsid w:val="00374360"/>
    <w:rsid w:val="00374540"/>
    <w:rsid w:val="0037455B"/>
    <w:rsid w:val="00374611"/>
    <w:rsid w:val="0037465F"/>
    <w:rsid w:val="003746ED"/>
    <w:rsid w:val="003746FE"/>
    <w:rsid w:val="00374802"/>
    <w:rsid w:val="00374844"/>
    <w:rsid w:val="0037489B"/>
    <w:rsid w:val="003748D2"/>
    <w:rsid w:val="00374949"/>
    <w:rsid w:val="00374A66"/>
    <w:rsid w:val="00374B77"/>
    <w:rsid w:val="00374C11"/>
    <w:rsid w:val="00374CA9"/>
    <w:rsid w:val="00374CCA"/>
    <w:rsid w:val="00374D29"/>
    <w:rsid w:val="00374E50"/>
    <w:rsid w:val="00374E5A"/>
    <w:rsid w:val="00375165"/>
    <w:rsid w:val="003751C0"/>
    <w:rsid w:val="0037526C"/>
    <w:rsid w:val="0037531F"/>
    <w:rsid w:val="00375338"/>
    <w:rsid w:val="003753B7"/>
    <w:rsid w:val="00375457"/>
    <w:rsid w:val="00375494"/>
    <w:rsid w:val="00375683"/>
    <w:rsid w:val="003758C7"/>
    <w:rsid w:val="00375979"/>
    <w:rsid w:val="003759CF"/>
    <w:rsid w:val="003759FB"/>
    <w:rsid w:val="00375A59"/>
    <w:rsid w:val="00375B04"/>
    <w:rsid w:val="00375B78"/>
    <w:rsid w:val="00375B7C"/>
    <w:rsid w:val="00375C29"/>
    <w:rsid w:val="00375C88"/>
    <w:rsid w:val="00375CE0"/>
    <w:rsid w:val="00375D89"/>
    <w:rsid w:val="00375DE3"/>
    <w:rsid w:val="00375E19"/>
    <w:rsid w:val="0037610D"/>
    <w:rsid w:val="003761A7"/>
    <w:rsid w:val="003761FA"/>
    <w:rsid w:val="00376511"/>
    <w:rsid w:val="00376529"/>
    <w:rsid w:val="0037665A"/>
    <w:rsid w:val="003767AA"/>
    <w:rsid w:val="003768CA"/>
    <w:rsid w:val="0037691E"/>
    <w:rsid w:val="00376C83"/>
    <w:rsid w:val="00376DF6"/>
    <w:rsid w:val="00376F1B"/>
    <w:rsid w:val="0037721D"/>
    <w:rsid w:val="003774E1"/>
    <w:rsid w:val="003774E6"/>
    <w:rsid w:val="0037750A"/>
    <w:rsid w:val="00377644"/>
    <w:rsid w:val="003778FB"/>
    <w:rsid w:val="00377ACD"/>
    <w:rsid w:val="00377CD8"/>
    <w:rsid w:val="00377D76"/>
    <w:rsid w:val="00377DB7"/>
    <w:rsid w:val="00377DE6"/>
    <w:rsid w:val="00377EC1"/>
    <w:rsid w:val="00377EC8"/>
    <w:rsid w:val="00377FD0"/>
    <w:rsid w:val="0038000C"/>
    <w:rsid w:val="0038002E"/>
    <w:rsid w:val="00380087"/>
    <w:rsid w:val="003802FE"/>
    <w:rsid w:val="00380300"/>
    <w:rsid w:val="003803AB"/>
    <w:rsid w:val="003803CD"/>
    <w:rsid w:val="00380407"/>
    <w:rsid w:val="003804C4"/>
    <w:rsid w:val="00380517"/>
    <w:rsid w:val="003807C1"/>
    <w:rsid w:val="0038084D"/>
    <w:rsid w:val="00380BD7"/>
    <w:rsid w:val="00380C4D"/>
    <w:rsid w:val="00380D5D"/>
    <w:rsid w:val="00380EB8"/>
    <w:rsid w:val="0038108C"/>
    <w:rsid w:val="0038111E"/>
    <w:rsid w:val="00381190"/>
    <w:rsid w:val="003811A6"/>
    <w:rsid w:val="003811BD"/>
    <w:rsid w:val="00381245"/>
    <w:rsid w:val="003812EA"/>
    <w:rsid w:val="003813C4"/>
    <w:rsid w:val="00381538"/>
    <w:rsid w:val="00381588"/>
    <w:rsid w:val="003815B5"/>
    <w:rsid w:val="003817AC"/>
    <w:rsid w:val="00381880"/>
    <w:rsid w:val="00381937"/>
    <w:rsid w:val="003819FF"/>
    <w:rsid w:val="00381A42"/>
    <w:rsid w:val="00381B0C"/>
    <w:rsid w:val="00381C14"/>
    <w:rsid w:val="00381D33"/>
    <w:rsid w:val="00381DA6"/>
    <w:rsid w:val="00381FF7"/>
    <w:rsid w:val="0038210D"/>
    <w:rsid w:val="0038213A"/>
    <w:rsid w:val="00382179"/>
    <w:rsid w:val="003822E2"/>
    <w:rsid w:val="0038237E"/>
    <w:rsid w:val="00382397"/>
    <w:rsid w:val="00382686"/>
    <w:rsid w:val="00382A91"/>
    <w:rsid w:val="00382AC1"/>
    <w:rsid w:val="00382BF5"/>
    <w:rsid w:val="00382CEC"/>
    <w:rsid w:val="00382E7D"/>
    <w:rsid w:val="00382FC5"/>
    <w:rsid w:val="0038320E"/>
    <w:rsid w:val="00383224"/>
    <w:rsid w:val="00383253"/>
    <w:rsid w:val="003832CB"/>
    <w:rsid w:val="00383302"/>
    <w:rsid w:val="00383321"/>
    <w:rsid w:val="0038342D"/>
    <w:rsid w:val="0038345E"/>
    <w:rsid w:val="0038359A"/>
    <w:rsid w:val="003835A6"/>
    <w:rsid w:val="00383621"/>
    <w:rsid w:val="0038377C"/>
    <w:rsid w:val="0038389C"/>
    <w:rsid w:val="00383A62"/>
    <w:rsid w:val="00383DAB"/>
    <w:rsid w:val="00383F06"/>
    <w:rsid w:val="00383F2E"/>
    <w:rsid w:val="00383F5B"/>
    <w:rsid w:val="00383F86"/>
    <w:rsid w:val="0038403F"/>
    <w:rsid w:val="00384145"/>
    <w:rsid w:val="00384367"/>
    <w:rsid w:val="00384590"/>
    <w:rsid w:val="003845F4"/>
    <w:rsid w:val="0038463F"/>
    <w:rsid w:val="00384667"/>
    <w:rsid w:val="00384682"/>
    <w:rsid w:val="0038485C"/>
    <w:rsid w:val="003849F7"/>
    <w:rsid w:val="00384CFC"/>
    <w:rsid w:val="00384D11"/>
    <w:rsid w:val="00384D2A"/>
    <w:rsid w:val="00384D8D"/>
    <w:rsid w:val="00384D9B"/>
    <w:rsid w:val="00385057"/>
    <w:rsid w:val="00385113"/>
    <w:rsid w:val="00385161"/>
    <w:rsid w:val="00385204"/>
    <w:rsid w:val="0038537F"/>
    <w:rsid w:val="003853B6"/>
    <w:rsid w:val="003853C2"/>
    <w:rsid w:val="003853EC"/>
    <w:rsid w:val="00385475"/>
    <w:rsid w:val="0038549C"/>
    <w:rsid w:val="00385550"/>
    <w:rsid w:val="00385571"/>
    <w:rsid w:val="003856C1"/>
    <w:rsid w:val="003856F3"/>
    <w:rsid w:val="003857A9"/>
    <w:rsid w:val="0038580F"/>
    <w:rsid w:val="003858A7"/>
    <w:rsid w:val="003858B1"/>
    <w:rsid w:val="003858B7"/>
    <w:rsid w:val="00385A94"/>
    <w:rsid w:val="00385B23"/>
    <w:rsid w:val="00385CBB"/>
    <w:rsid w:val="00385CF3"/>
    <w:rsid w:val="00385D20"/>
    <w:rsid w:val="00385D75"/>
    <w:rsid w:val="00385F03"/>
    <w:rsid w:val="0038605E"/>
    <w:rsid w:val="00386119"/>
    <w:rsid w:val="003861E0"/>
    <w:rsid w:val="0038652D"/>
    <w:rsid w:val="003865F0"/>
    <w:rsid w:val="00386875"/>
    <w:rsid w:val="00386A3A"/>
    <w:rsid w:val="00386A83"/>
    <w:rsid w:val="00386AC2"/>
    <w:rsid w:val="00386B36"/>
    <w:rsid w:val="00386B76"/>
    <w:rsid w:val="00386B81"/>
    <w:rsid w:val="00386DF2"/>
    <w:rsid w:val="00386F6F"/>
    <w:rsid w:val="00386FBA"/>
    <w:rsid w:val="003870EA"/>
    <w:rsid w:val="003872D2"/>
    <w:rsid w:val="0038741C"/>
    <w:rsid w:val="0038744D"/>
    <w:rsid w:val="0038748A"/>
    <w:rsid w:val="00387527"/>
    <w:rsid w:val="0038752E"/>
    <w:rsid w:val="00387705"/>
    <w:rsid w:val="00387783"/>
    <w:rsid w:val="0038787F"/>
    <w:rsid w:val="003878BC"/>
    <w:rsid w:val="0038799B"/>
    <w:rsid w:val="00387A71"/>
    <w:rsid w:val="00387AAA"/>
    <w:rsid w:val="00387B1A"/>
    <w:rsid w:val="00387B96"/>
    <w:rsid w:val="00387BEA"/>
    <w:rsid w:val="00387C50"/>
    <w:rsid w:val="00387C88"/>
    <w:rsid w:val="00387D1D"/>
    <w:rsid w:val="00390024"/>
    <w:rsid w:val="00390058"/>
    <w:rsid w:val="0039008D"/>
    <w:rsid w:val="00390231"/>
    <w:rsid w:val="003903B7"/>
    <w:rsid w:val="0039046D"/>
    <w:rsid w:val="003904D9"/>
    <w:rsid w:val="00390619"/>
    <w:rsid w:val="00390620"/>
    <w:rsid w:val="00390687"/>
    <w:rsid w:val="003906AB"/>
    <w:rsid w:val="003907E6"/>
    <w:rsid w:val="003907FC"/>
    <w:rsid w:val="00390927"/>
    <w:rsid w:val="003909AF"/>
    <w:rsid w:val="00390A54"/>
    <w:rsid w:val="00390C9C"/>
    <w:rsid w:val="00390D0A"/>
    <w:rsid w:val="00390D7C"/>
    <w:rsid w:val="00390DA4"/>
    <w:rsid w:val="00390DCD"/>
    <w:rsid w:val="00390E4A"/>
    <w:rsid w:val="00390F60"/>
    <w:rsid w:val="00390F61"/>
    <w:rsid w:val="003911D6"/>
    <w:rsid w:val="00391267"/>
    <w:rsid w:val="00391310"/>
    <w:rsid w:val="00391329"/>
    <w:rsid w:val="003913A2"/>
    <w:rsid w:val="003913DF"/>
    <w:rsid w:val="00391511"/>
    <w:rsid w:val="0039155A"/>
    <w:rsid w:val="003915A3"/>
    <w:rsid w:val="00391752"/>
    <w:rsid w:val="003917B7"/>
    <w:rsid w:val="0039181C"/>
    <w:rsid w:val="003919CB"/>
    <w:rsid w:val="00391A37"/>
    <w:rsid w:val="00391A47"/>
    <w:rsid w:val="00391A56"/>
    <w:rsid w:val="00391A60"/>
    <w:rsid w:val="00391AE8"/>
    <w:rsid w:val="00391B0A"/>
    <w:rsid w:val="00391C03"/>
    <w:rsid w:val="00391C1C"/>
    <w:rsid w:val="00391D24"/>
    <w:rsid w:val="00391E4A"/>
    <w:rsid w:val="00391EE0"/>
    <w:rsid w:val="00391F03"/>
    <w:rsid w:val="00392096"/>
    <w:rsid w:val="0039218C"/>
    <w:rsid w:val="0039234C"/>
    <w:rsid w:val="003923F5"/>
    <w:rsid w:val="00392497"/>
    <w:rsid w:val="003925C3"/>
    <w:rsid w:val="00392629"/>
    <w:rsid w:val="0039262B"/>
    <w:rsid w:val="0039266E"/>
    <w:rsid w:val="00392712"/>
    <w:rsid w:val="003927BD"/>
    <w:rsid w:val="00392967"/>
    <w:rsid w:val="00392C15"/>
    <w:rsid w:val="00392DC9"/>
    <w:rsid w:val="00392E94"/>
    <w:rsid w:val="00392EE2"/>
    <w:rsid w:val="0039305F"/>
    <w:rsid w:val="00393126"/>
    <w:rsid w:val="0039314A"/>
    <w:rsid w:val="0039327B"/>
    <w:rsid w:val="00393347"/>
    <w:rsid w:val="0039334C"/>
    <w:rsid w:val="00393394"/>
    <w:rsid w:val="0039352C"/>
    <w:rsid w:val="003937CD"/>
    <w:rsid w:val="00393820"/>
    <w:rsid w:val="0039392C"/>
    <w:rsid w:val="003939E0"/>
    <w:rsid w:val="00393A53"/>
    <w:rsid w:val="00393B36"/>
    <w:rsid w:val="00393CC9"/>
    <w:rsid w:val="00393DD1"/>
    <w:rsid w:val="00393E80"/>
    <w:rsid w:val="00393F69"/>
    <w:rsid w:val="00393FC2"/>
    <w:rsid w:val="0039403D"/>
    <w:rsid w:val="003940ED"/>
    <w:rsid w:val="003941C1"/>
    <w:rsid w:val="00394284"/>
    <w:rsid w:val="00394301"/>
    <w:rsid w:val="0039437F"/>
    <w:rsid w:val="003943F7"/>
    <w:rsid w:val="00394581"/>
    <w:rsid w:val="003945B0"/>
    <w:rsid w:val="003947B8"/>
    <w:rsid w:val="0039485A"/>
    <w:rsid w:val="003949DA"/>
    <w:rsid w:val="00394A7F"/>
    <w:rsid w:val="00394B06"/>
    <w:rsid w:val="00394B3D"/>
    <w:rsid w:val="00394C03"/>
    <w:rsid w:val="00394C47"/>
    <w:rsid w:val="00394C4C"/>
    <w:rsid w:val="00394D18"/>
    <w:rsid w:val="00394D68"/>
    <w:rsid w:val="00394EF6"/>
    <w:rsid w:val="00395000"/>
    <w:rsid w:val="00395058"/>
    <w:rsid w:val="00395059"/>
    <w:rsid w:val="003950BD"/>
    <w:rsid w:val="00395304"/>
    <w:rsid w:val="00395449"/>
    <w:rsid w:val="0039558C"/>
    <w:rsid w:val="003955AA"/>
    <w:rsid w:val="003955F1"/>
    <w:rsid w:val="003955FD"/>
    <w:rsid w:val="00395720"/>
    <w:rsid w:val="0039579A"/>
    <w:rsid w:val="003957C0"/>
    <w:rsid w:val="00395860"/>
    <w:rsid w:val="00395DF6"/>
    <w:rsid w:val="00395EF5"/>
    <w:rsid w:val="00395F19"/>
    <w:rsid w:val="0039603F"/>
    <w:rsid w:val="003960A9"/>
    <w:rsid w:val="003960C4"/>
    <w:rsid w:val="003961ED"/>
    <w:rsid w:val="003963EF"/>
    <w:rsid w:val="0039668A"/>
    <w:rsid w:val="00396776"/>
    <w:rsid w:val="003969C9"/>
    <w:rsid w:val="003969D6"/>
    <w:rsid w:val="00396AA0"/>
    <w:rsid w:val="00396AA2"/>
    <w:rsid w:val="00396C7B"/>
    <w:rsid w:val="00396CE9"/>
    <w:rsid w:val="00396CF4"/>
    <w:rsid w:val="00396E3B"/>
    <w:rsid w:val="00396F04"/>
    <w:rsid w:val="003970C0"/>
    <w:rsid w:val="00397385"/>
    <w:rsid w:val="00397395"/>
    <w:rsid w:val="003973A2"/>
    <w:rsid w:val="003973B6"/>
    <w:rsid w:val="00397503"/>
    <w:rsid w:val="0039756B"/>
    <w:rsid w:val="0039772F"/>
    <w:rsid w:val="00397790"/>
    <w:rsid w:val="003977AC"/>
    <w:rsid w:val="003977B3"/>
    <w:rsid w:val="00397B13"/>
    <w:rsid w:val="00397B1B"/>
    <w:rsid w:val="00397B88"/>
    <w:rsid w:val="00397C17"/>
    <w:rsid w:val="00397C46"/>
    <w:rsid w:val="00397C61"/>
    <w:rsid w:val="00397C8E"/>
    <w:rsid w:val="00397D0A"/>
    <w:rsid w:val="0039E52E"/>
    <w:rsid w:val="003A013C"/>
    <w:rsid w:val="003A0157"/>
    <w:rsid w:val="003A01DD"/>
    <w:rsid w:val="003A01DE"/>
    <w:rsid w:val="003A02AE"/>
    <w:rsid w:val="003A03D2"/>
    <w:rsid w:val="003A04BA"/>
    <w:rsid w:val="003A04BE"/>
    <w:rsid w:val="003A058D"/>
    <w:rsid w:val="003A06F5"/>
    <w:rsid w:val="003A07AC"/>
    <w:rsid w:val="003A0827"/>
    <w:rsid w:val="003A089D"/>
    <w:rsid w:val="003A08BF"/>
    <w:rsid w:val="003A08CF"/>
    <w:rsid w:val="003A097D"/>
    <w:rsid w:val="003A09A0"/>
    <w:rsid w:val="003A0A64"/>
    <w:rsid w:val="003A0AA4"/>
    <w:rsid w:val="003A0AAB"/>
    <w:rsid w:val="003A0AB5"/>
    <w:rsid w:val="003A0C5B"/>
    <w:rsid w:val="003A0F4F"/>
    <w:rsid w:val="003A0FB3"/>
    <w:rsid w:val="003A0FEC"/>
    <w:rsid w:val="003A107F"/>
    <w:rsid w:val="003A11BE"/>
    <w:rsid w:val="003A120C"/>
    <w:rsid w:val="003A135A"/>
    <w:rsid w:val="003A1371"/>
    <w:rsid w:val="003A15B1"/>
    <w:rsid w:val="003A15FC"/>
    <w:rsid w:val="003A174A"/>
    <w:rsid w:val="003A17F4"/>
    <w:rsid w:val="003A1803"/>
    <w:rsid w:val="003A1895"/>
    <w:rsid w:val="003A1957"/>
    <w:rsid w:val="003A1A07"/>
    <w:rsid w:val="003A1A8D"/>
    <w:rsid w:val="003A1AD5"/>
    <w:rsid w:val="003A1C26"/>
    <w:rsid w:val="003A1CF7"/>
    <w:rsid w:val="003A1D40"/>
    <w:rsid w:val="003A1F61"/>
    <w:rsid w:val="003A2005"/>
    <w:rsid w:val="003A2179"/>
    <w:rsid w:val="003A2219"/>
    <w:rsid w:val="003A22AE"/>
    <w:rsid w:val="003A22DD"/>
    <w:rsid w:val="003A2373"/>
    <w:rsid w:val="003A238F"/>
    <w:rsid w:val="003A2494"/>
    <w:rsid w:val="003A2576"/>
    <w:rsid w:val="003A26D2"/>
    <w:rsid w:val="003A270B"/>
    <w:rsid w:val="003A27AC"/>
    <w:rsid w:val="003A2808"/>
    <w:rsid w:val="003A2A89"/>
    <w:rsid w:val="003A2AB8"/>
    <w:rsid w:val="003A2B1A"/>
    <w:rsid w:val="003A2C45"/>
    <w:rsid w:val="003A2D30"/>
    <w:rsid w:val="003A2DCF"/>
    <w:rsid w:val="003A328D"/>
    <w:rsid w:val="003A32CF"/>
    <w:rsid w:val="003A32F5"/>
    <w:rsid w:val="003A35D2"/>
    <w:rsid w:val="003A36BD"/>
    <w:rsid w:val="003A384C"/>
    <w:rsid w:val="003A3B64"/>
    <w:rsid w:val="003A3CEA"/>
    <w:rsid w:val="003A3D7D"/>
    <w:rsid w:val="003A3DA0"/>
    <w:rsid w:val="003A3DE9"/>
    <w:rsid w:val="003A3ECD"/>
    <w:rsid w:val="003A411D"/>
    <w:rsid w:val="003A4388"/>
    <w:rsid w:val="003A4465"/>
    <w:rsid w:val="003A446A"/>
    <w:rsid w:val="003A46FE"/>
    <w:rsid w:val="003A478C"/>
    <w:rsid w:val="003A47A7"/>
    <w:rsid w:val="003A4973"/>
    <w:rsid w:val="003A4ACD"/>
    <w:rsid w:val="003A4AEB"/>
    <w:rsid w:val="003A4D40"/>
    <w:rsid w:val="003A4F0D"/>
    <w:rsid w:val="003A5084"/>
    <w:rsid w:val="003A51C9"/>
    <w:rsid w:val="003A51D8"/>
    <w:rsid w:val="003A5316"/>
    <w:rsid w:val="003A54B9"/>
    <w:rsid w:val="003A5567"/>
    <w:rsid w:val="003A573A"/>
    <w:rsid w:val="003A5791"/>
    <w:rsid w:val="003A57BA"/>
    <w:rsid w:val="003A57C8"/>
    <w:rsid w:val="003A57D5"/>
    <w:rsid w:val="003A5963"/>
    <w:rsid w:val="003A59AD"/>
    <w:rsid w:val="003A5A56"/>
    <w:rsid w:val="003A5AF1"/>
    <w:rsid w:val="003A5C1B"/>
    <w:rsid w:val="003A5CB7"/>
    <w:rsid w:val="003A5DD2"/>
    <w:rsid w:val="003A5EF0"/>
    <w:rsid w:val="003A5F28"/>
    <w:rsid w:val="003A5FDE"/>
    <w:rsid w:val="003A60A9"/>
    <w:rsid w:val="003A6109"/>
    <w:rsid w:val="003A6293"/>
    <w:rsid w:val="003A6336"/>
    <w:rsid w:val="003A6343"/>
    <w:rsid w:val="003A6387"/>
    <w:rsid w:val="003A63F0"/>
    <w:rsid w:val="003A646F"/>
    <w:rsid w:val="003A6500"/>
    <w:rsid w:val="003A6504"/>
    <w:rsid w:val="003A656A"/>
    <w:rsid w:val="003A6592"/>
    <w:rsid w:val="003A6629"/>
    <w:rsid w:val="003A6631"/>
    <w:rsid w:val="003A66D9"/>
    <w:rsid w:val="003A67E6"/>
    <w:rsid w:val="003A6AD1"/>
    <w:rsid w:val="003A6BD1"/>
    <w:rsid w:val="003A6D6E"/>
    <w:rsid w:val="003A6D76"/>
    <w:rsid w:val="003A6E64"/>
    <w:rsid w:val="003A6FAC"/>
    <w:rsid w:val="003A703B"/>
    <w:rsid w:val="003A706C"/>
    <w:rsid w:val="003A7133"/>
    <w:rsid w:val="003A7137"/>
    <w:rsid w:val="003A72DB"/>
    <w:rsid w:val="003A739D"/>
    <w:rsid w:val="003A753B"/>
    <w:rsid w:val="003A76DD"/>
    <w:rsid w:val="003A780F"/>
    <w:rsid w:val="003A7ACD"/>
    <w:rsid w:val="003A7B9D"/>
    <w:rsid w:val="003A7BF3"/>
    <w:rsid w:val="003A7C8A"/>
    <w:rsid w:val="003A7CA1"/>
    <w:rsid w:val="003A7ECB"/>
    <w:rsid w:val="003B01D3"/>
    <w:rsid w:val="003B032F"/>
    <w:rsid w:val="003B038B"/>
    <w:rsid w:val="003B0417"/>
    <w:rsid w:val="003B0474"/>
    <w:rsid w:val="003B0761"/>
    <w:rsid w:val="003B0A47"/>
    <w:rsid w:val="003B0BD9"/>
    <w:rsid w:val="003B0DB7"/>
    <w:rsid w:val="003B0E38"/>
    <w:rsid w:val="003B0E87"/>
    <w:rsid w:val="003B1044"/>
    <w:rsid w:val="003B1154"/>
    <w:rsid w:val="003B1212"/>
    <w:rsid w:val="003B17DF"/>
    <w:rsid w:val="003B1828"/>
    <w:rsid w:val="003B1970"/>
    <w:rsid w:val="003B1D3B"/>
    <w:rsid w:val="003B1D7D"/>
    <w:rsid w:val="003B1DD6"/>
    <w:rsid w:val="003B1F44"/>
    <w:rsid w:val="003B2105"/>
    <w:rsid w:val="003B2145"/>
    <w:rsid w:val="003B2256"/>
    <w:rsid w:val="003B22BB"/>
    <w:rsid w:val="003B2401"/>
    <w:rsid w:val="003B25C1"/>
    <w:rsid w:val="003B2643"/>
    <w:rsid w:val="003B2687"/>
    <w:rsid w:val="003B2830"/>
    <w:rsid w:val="003B28DF"/>
    <w:rsid w:val="003B28F8"/>
    <w:rsid w:val="003B2AEC"/>
    <w:rsid w:val="003B2B68"/>
    <w:rsid w:val="003B2C2E"/>
    <w:rsid w:val="003B2C5A"/>
    <w:rsid w:val="003B2D49"/>
    <w:rsid w:val="003B2F99"/>
    <w:rsid w:val="003B30C6"/>
    <w:rsid w:val="003B32CA"/>
    <w:rsid w:val="003B348B"/>
    <w:rsid w:val="003B34CA"/>
    <w:rsid w:val="003B351F"/>
    <w:rsid w:val="003B35DB"/>
    <w:rsid w:val="003B3669"/>
    <w:rsid w:val="003B36BA"/>
    <w:rsid w:val="003B3735"/>
    <w:rsid w:val="003B37BB"/>
    <w:rsid w:val="003B387E"/>
    <w:rsid w:val="003B38B7"/>
    <w:rsid w:val="003B39DB"/>
    <w:rsid w:val="003B3A2F"/>
    <w:rsid w:val="003B3A36"/>
    <w:rsid w:val="003B3A56"/>
    <w:rsid w:val="003B3C53"/>
    <w:rsid w:val="003B3E1C"/>
    <w:rsid w:val="003B3F67"/>
    <w:rsid w:val="003B404D"/>
    <w:rsid w:val="003B425A"/>
    <w:rsid w:val="003B42A5"/>
    <w:rsid w:val="003B433E"/>
    <w:rsid w:val="003B4699"/>
    <w:rsid w:val="003B46CE"/>
    <w:rsid w:val="003B48A7"/>
    <w:rsid w:val="003B4944"/>
    <w:rsid w:val="003B4A5B"/>
    <w:rsid w:val="003B4AEC"/>
    <w:rsid w:val="003B4C09"/>
    <w:rsid w:val="003B4C75"/>
    <w:rsid w:val="003B4CB6"/>
    <w:rsid w:val="003B4EF8"/>
    <w:rsid w:val="003B5007"/>
    <w:rsid w:val="003B5193"/>
    <w:rsid w:val="003B519E"/>
    <w:rsid w:val="003B5216"/>
    <w:rsid w:val="003B52BA"/>
    <w:rsid w:val="003B5469"/>
    <w:rsid w:val="003B54A0"/>
    <w:rsid w:val="003B5514"/>
    <w:rsid w:val="003B554D"/>
    <w:rsid w:val="003B5702"/>
    <w:rsid w:val="003B5760"/>
    <w:rsid w:val="003B5897"/>
    <w:rsid w:val="003B59A7"/>
    <w:rsid w:val="003B59E6"/>
    <w:rsid w:val="003B5A2E"/>
    <w:rsid w:val="003B5A76"/>
    <w:rsid w:val="003B5AB5"/>
    <w:rsid w:val="003B5B5A"/>
    <w:rsid w:val="003B5C8B"/>
    <w:rsid w:val="003B5C8E"/>
    <w:rsid w:val="003B5F06"/>
    <w:rsid w:val="003B5F75"/>
    <w:rsid w:val="003B608E"/>
    <w:rsid w:val="003B6439"/>
    <w:rsid w:val="003B6476"/>
    <w:rsid w:val="003B64E2"/>
    <w:rsid w:val="003B665D"/>
    <w:rsid w:val="003B69C5"/>
    <w:rsid w:val="003B6A59"/>
    <w:rsid w:val="003B6D20"/>
    <w:rsid w:val="003B6FC3"/>
    <w:rsid w:val="003B70CA"/>
    <w:rsid w:val="003B7109"/>
    <w:rsid w:val="003B7142"/>
    <w:rsid w:val="003B7225"/>
    <w:rsid w:val="003B726B"/>
    <w:rsid w:val="003B74EA"/>
    <w:rsid w:val="003B75E6"/>
    <w:rsid w:val="003B7650"/>
    <w:rsid w:val="003B77A3"/>
    <w:rsid w:val="003B77EA"/>
    <w:rsid w:val="003B79CB"/>
    <w:rsid w:val="003B7BAC"/>
    <w:rsid w:val="003B7BE2"/>
    <w:rsid w:val="003B7C4B"/>
    <w:rsid w:val="003B7FAB"/>
    <w:rsid w:val="003B7FC8"/>
    <w:rsid w:val="003C002D"/>
    <w:rsid w:val="003C018D"/>
    <w:rsid w:val="003C01B8"/>
    <w:rsid w:val="003C01F1"/>
    <w:rsid w:val="003C0224"/>
    <w:rsid w:val="003C024B"/>
    <w:rsid w:val="003C025F"/>
    <w:rsid w:val="003C028F"/>
    <w:rsid w:val="003C02AF"/>
    <w:rsid w:val="003C02B0"/>
    <w:rsid w:val="003C0421"/>
    <w:rsid w:val="003C048D"/>
    <w:rsid w:val="003C057B"/>
    <w:rsid w:val="003C0619"/>
    <w:rsid w:val="003C062A"/>
    <w:rsid w:val="003C06B1"/>
    <w:rsid w:val="003C0826"/>
    <w:rsid w:val="003C083A"/>
    <w:rsid w:val="003C0873"/>
    <w:rsid w:val="003C08F6"/>
    <w:rsid w:val="003C0917"/>
    <w:rsid w:val="003C096E"/>
    <w:rsid w:val="003C0BC5"/>
    <w:rsid w:val="003C0BEE"/>
    <w:rsid w:val="003C0CC7"/>
    <w:rsid w:val="003C0D16"/>
    <w:rsid w:val="003C0DDF"/>
    <w:rsid w:val="003C0DED"/>
    <w:rsid w:val="003C0F68"/>
    <w:rsid w:val="003C0F95"/>
    <w:rsid w:val="003C101B"/>
    <w:rsid w:val="003C1251"/>
    <w:rsid w:val="003C13A7"/>
    <w:rsid w:val="003C1609"/>
    <w:rsid w:val="003C16CA"/>
    <w:rsid w:val="003C16D6"/>
    <w:rsid w:val="003C1818"/>
    <w:rsid w:val="003C18D4"/>
    <w:rsid w:val="003C18E4"/>
    <w:rsid w:val="003C190F"/>
    <w:rsid w:val="003C1BBC"/>
    <w:rsid w:val="003C1BE4"/>
    <w:rsid w:val="003C1CDA"/>
    <w:rsid w:val="003C1D72"/>
    <w:rsid w:val="003C1DEA"/>
    <w:rsid w:val="003C1FC6"/>
    <w:rsid w:val="003C2291"/>
    <w:rsid w:val="003C22C8"/>
    <w:rsid w:val="003C230E"/>
    <w:rsid w:val="003C23F7"/>
    <w:rsid w:val="003C2499"/>
    <w:rsid w:val="003C24ED"/>
    <w:rsid w:val="003C2549"/>
    <w:rsid w:val="003C2563"/>
    <w:rsid w:val="003C2590"/>
    <w:rsid w:val="003C2653"/>
    <w:rsid w:val="003C2827"/>
    <w:rsid w:val="003C285D"/>
    <w:rsid w:val="003C2973"/>
    <w:rsid w:val="003C29A8"/>
    <w:rsid w:val="003C2B17"/>
    <w:rsid w:val="003C2C0B"/>
    <w:rsid w:val="003C2CF7"/>
    <w:rsid w:val="003C2ED3"/>
    <w:rsid w:val="003C2F19"/>
    <w:rsid w:val="003C301C"/>
    <w:rsid w:val="003C30C4"/>
    <w:rsid w:val="003C30DA"/>
    <w:rsid w:val="003C30E8"/>
    <w:rsid w:val="003C32D6"/>
    <w:rsid w:val="003C3455"/>
    <w:rsid w:val="003C347D"/>
    <w:rsid w:val="003C3515"/>
    <w:rsid w:val="003C351D"/>
    <w:rsid w:val="003C3563"/>
    <w:rsid w:val="003C35C2"/>
    <w:rsid w:val="003C3604"/>
    <w:rsid w:val="003C363B"/>
    <w:rsid w:val="003C3660"/>
    <w:rsid w:val="003C370D"/>
    <w:rsid w:val="003C37F0"/>
    <w:rsid w:val="003C3829"/>
    <w:rsid w:val="003C39E1"/>
    <w:rsid w:val="003C3A3C"/>
    <w:rsid w:val="003C3D4B"/>
    <w:rsid w:val="003C3E21"/>
    <w:rsid w:val="003C3FB4"/>
    <w:rsid w:val="003C4015"/>
    <w:rsid w:val="003C4064"/>
    <w:rsid w:val="003C413D"/>
    <w:rsid w:val="003C42DF"/>
    <w:rsid w:val="003C4371"/>
    <w:rsid w:val="003C4405"/>
    <w:rsid w:val="003C446B"/>
    <w:rsid w:val="003C4534"/>
    <w:rsid w:val="003C4613"/>
    <w:rsid w:val="003C472E"/>
    <w:rsid w:val="003C47FD"/>
    <w:rsid w:val="003C4954"/>
    <w:rsid w:val="003C4978"/>
    <w:rsid w:val="003C49D5"/>
    <w:rsid w:val="003C49F9"/>
    <w:rsid w:val="003C4B6C"/>
    <w:rsid w:val="003C4F33"/>
    <w:rsid w:val="003C502E"/>
    <w:rsid w:val="003C538C"/>
    <w:rsid w:val="003C53B9"/>
    <w:rsid w:val="003C56F9"/>
    <w:rsid w:val="003C5770"/>
    <w:rsid w:val="003C57E6"/>
    <w:rsid w:val="003C57EE"/>
    <w:rsid w:val="003C59D2"/>
    <w:rsid w:val="003C59EB"/>
    <w:rsid w:val="003C5B5B"/>
    <w:rsid w:val="003C5C1B"/>
    <w:rsid w:val="003C5C5F"/>
    <w:rsid w:val="003C5F9A"/>
    <w:rsid w:val="003C613E"/>
    <w:rsid w:val="003C614F"/>
    <w:rsid w:val="003C6185"/>
    <w:rsid w:val="003C62EE"/>
    <w:rsid w:val="003C62F4"/>
    <w:rsid w:val="003C63D8"/>
    <w:rsid w:val="003C64DD"/>
    <w:rsid w:val="003C657F"/>
    <w:rsid w:val="003C671B"/>
    <w:rsid w:val="003C6895"/>
    <w:rsid w:val="003C68B7"/>
    <w:rsid w:val="003C69E4"/>
    <w:rsid w:val="003C6A75"/>
    <w:rsid w:val="003C6B03"/>
    <w:rsid w:val="003C6B66"/>
    <w:rsid w:val="003C6B71"/>
    <w:rsid w:val="003C6D49"/>
    <w:rsid w:val="003C6E17"/>
    <w:rsid w:val="003C6F29"/>
    <w:rsid w:val="003C7304"/>
    <w:rsid w:val="003C73AF"/>
    <w:rsid w:val="003C73F1"/>
    <w:rsid w:val="003C744B"/>
    <w:rsid w:val="003C7631"/>
    <w:rsid w:val="003C7771"/>
    <w:rsid w:val="003C7803"/>
    <w:rsid w:val="003C7835"/>
    <w:rsid w:val="003C78EA"/>
    <w:rsid w:val="003C78F0"/>
    <w:rsid w:val="003C7935"/>
    <w:rsid w:val="003C7A10"/>
    <w:rsid w:val="003C7B0A"/>
    <w:rsid w:val="003C7B18"/>
    <w:rsid w:val="003C7B1D"/>
    <w:rsid w:val="003C7CD7"/>
    <w:rsid w:val="003C7CFF"/>
    <w:rsid w:val="003D0132"/>
    <w:rsid w:val="003D0202"/>
    <w:rsid w:val="003D03F2"/>
    <w:rsid w:val="003D04D4"/>
    <w:rsid w:val="003D04D6"/>
    <w:rsid w:val="003D0515"/>
    <w:rsid w:val="003D051F"/>
    <w:rsid w:val="003D054C"/>
    <w:rsid w:val="003D0643"/>
    <w:rsid w:val="003D064E"/>
    <w:rsid w:val="003D0A6A"/>
    <w:rsid w:val="003D0C5B"/>
    <w:rsid w:val="003D0CA6"/>
    <w:rsid w:val="003D0CDD"/>
    <w:rsid w:val="003D0D45"/>
    <w:rsid w:val="003D0E76"/>
    <w:rsid w:val="003D0EC1"/>
    <w:rsid w:val="003D0F81"/>
    <w:rsid w:val="003D1092"/>
    <w:rsid w:val="003D10B0"/>
    <w:rsid w:val="003D1169"/>
    <w:rsid w:val="003D1250"/>
    <w:rsid w:val="003D12D0"/>
    <w:rsid w:val="003D13FB"/>
    <w:rsid w:val="003D141E"/>
    <w:rsid w:val="003D14A3"/>
    <w:rsid w:val="003D14E1"/>
    <w:rsid w:val="003D15AC"/>
    <w:rsid w:val="003D181A"/>
    <w:rsid w:val="003D1863"/>
    <w:rsid w:val="003D1A4A"/>
    <w:rsid w:val="003D1AD1"/>
    <w:rsid w:val="003D1AF0"/>
    <w:rsid w:val="003D1C64"/>
    <w:rsid w:val="003D1DC3"/>
    <w:rsid w:val="003D1F64"/>
    <w:rsid w:val="003D202F"/>
    <w:rsid w:val="003D2059"/>
    <w:rsid w:val="003D209B"/>
    <w:rsid w:val="003D20A9"/>
    <w:rsid w:val="003D2219"/>
    <w:rsid w:val="003D2233"/>
    <w:rsid w:val="003D223F"/>
    <w:rsid w:val="003D2287"/>
    <w:rsid w:val="003D2387"/>
    <w:rsid w:val="003D25D8"/>
    <w:rsid w:val="003D26D1"/>
    <w:rsid w:val="003D2738"/>
    <w:rsid w:val="003D2774"/>
    <w:rsid w:val="003D27E2"/>
    <w:rsid w:val="003D28E2"/>
    <w:rsid w:val="003D2AF9"/>
    <w:rsid w:val="003D2BA2"/>
    <w:rsid w:val="003D2C18"/>
    <w:rsid w:val="003D2E25"/>
    <w:rsid w:val="003D304B"/>
    <w:rsid w:val="003D30D8"/>
    <w:rsid w:val="003D3105"/>
    <w:rsid w:val="003D31A5"/>
    <w:rsid w:val="003D31DF"/>
    <w:rsid w:val="003D3352"/>
    <w:rsid w:val="003D3414"/>
    <w:rsid w:val="003D341C"/>
    <w:rsid w:val="003D3561"/>
    <w:rsid w:val="003D369D"/>
    <w:rsid w:val="003D3746"/>
    <w:rsid w:val="003D3832"/>
    <w:rsid w:val="003D38BF"/>
    <w:rsid w:val="003D391E"/>
    <w:rsid w:val="003D39B6"/>
    <w:rsid w:val="003D3A07"/>
    <w:rsid w:val="003D3AF3"/>
    <w:rsid w:val="003D3B86"/>
    <w:rsid w:val="003D3BBF"/>
    <w:rsid w:val="003D3C19"/>
    <w:rsid w:val="003D3D40"/>
    <w:rsid w:val="003D3D97"/>
    <w:rsid w:val="003D3DEF"/>
    <w:rsid w:val="003D3E6A"/>
    <w:rsid w:val="003D3F4A"/>
    <w:rsid w:val="003D400B"/>
    <w:rsid w:val="003D40E8"/>
    <w:rsid w:val="003D42BA"/>
    <w:rsid w:val="003D42D0"/>
    <w:rsid w:val="003D4308"/>
    <w:rsid w:val="003D433B"/>
    <w:rsid w:val="003D4376"/>
    <w:rsid w:val="003D43EE"/>
    <w:rsid w:val="003D4588"/>
    <w:rsid w:val="003D461F"/>
    <w:rsid w:val="003D466C"/>
    <w:rsid w:val="003D46A6"/>
    <w:rsid w:val="003D499A"/>
    <w:rsid w:val="003D4AB0"/>
    <w:rsid w:val="003D4AB7"/>
    <w:rsid w:val="003D4ABE"/>
    <w:rsid w:val="003D4B7D"/>
    <w:rsid w:val="003D4B81"/>
    <w:rsid w:val="003D4C7F"/>
    <w:rsid w:val="003D4C90"/>
    <w:rsid w:val="003D4DD9"/>
    <w:rsid w:val="003D4F91"/>
    <w:rsid w:val="003D4F96"/>
    <w:rsid w:val="003D4FD2"/>
    <w:rsid w:val="003D51E6"/>
    <w:rsid w:val="003D52A8"/>
    <w:rsid w:val="003D5465"/>
    <w:rsid w:val="003D551E"/>
    <w:rsid w:val="003D5624"/>
    <w:rsid w:val="003D56C2"/>
    <w:rsid w:val="003D577F"/>
    <w:rsid w:val="003D5838"/>
    <w:rsid w:val="003D5883"/>
    <w:rsid w:val="003D58AC"/>
    <w:rsid w:val="003D58BA"/>
    <w:rsid w:val="003D58FA"/>
    <w:rsid w:val="003D5A78"/>
    <w:rsid w:val="003D5B24"/>
    <w:rsid w:val="003D5C08"/>
    <w:rsid w:val="003D5D71"/>
    <w:rsid w:val="003D5E49"/>
    <w:rsid w:val="003D5EFC"/>
    <w:rsid w:val="003D6005"/>
    <w:rsid w:val="003D604E"/>
    <w:rsid w:val="003D60A0"/>
    <w:rsid w:val="003D61DB"/>
    <w:rsid w:val="003D61E2"/>
    <w:rsid w:val="003D64B3"/>
    <w:rsid w:val="003D6765"/>
    <w:rsid w:val="003D6798"/>
    <w:rsid w:val="003D698D"/>
    <w:rsid w:val="003D6B3B"/>
    <w:rsid w:val="003D6C0F"/>
    <w:rsid w:val="003D6C55"/>
    <w:rsid w:val="003D6E7F"/>
    <w:rsid w:val="003D6EEC"/>
    <w:rsid w:val="003D6F39"/>
    <w:rsid w:val="003D6FC7"/>
    <w:rsid w:val="003D70CD"/>
    <w:rsid w:val="003D7498"/>
    <w:rsid w:val="003D76A6"/>
    <w:rsid w:val="003D78AF"/>
    <w:rsid w:val="003D7AA1"/>
    <w:rsid w:val="003D7C89"/>
    <w:rsid w:val="003D7CA9"/>
    <w:rsid w:val="003D7CD2"/>
    <w:rsid w:val="003D7D07"/>
    <w:rsid w:val="003D7EC9"/>
    <w:rsid w:val="003D7F10"/>
    <w:rsid w:val="003E0031"/>
    <w:rsid w:val="003E00D0"/>
    <w:rsid w:val="003E0111"/>
    <w:rsid w:val="003E0196"/>
    <w:rsid w:val="003E0230"/>
    <w:rsid w:val="003E05E6"/>
    <w:rsid w:val="003E060D"/>
    <w:rsid w:val="003E06F6"/>
    <w:rsid w:val="003E074F"/>
    <w:rsid w:val="003E0775"/>
    <w:rsid w:val="003E082A"/>
    <w:rsid w:val="003E0993"/>
    <w:rsid w:val="003E0A65"/>
    <w:rsid w:val="003E0B12"/>
    <w:rsid w:val="003E0B33"/>
    <w:rsid w:val="003E0C31"/>
    <w:rsid w:val="003E0E05"/>
    <w:rsid w:val="003E0F02"/>
    <w:rsid w:val="003E0F99"/>
    <w:rsid w:val="003E0FDB"/>
    <w:rsid w:val="003E110E"/>
    <w:rsid w:val="003E11F8"/>
    <w:rsid w:val="003E120F"/>
    <w:rsid w:val="003E1229"/>
    <w:rsid w:val="003E1372"/>
    <w:rsid w:val="003E141C"/>
    <w:rsid w:val="003E1425"/>
    <w:rsid w:val="003E14A9"/>
    <w:rsid w:val="003E150F"/>
    <w:rsid w:val="003E15A1"/>
    <w:rsid w:val="003E15EB"/>
    <w:rsid w:val="003E16B2"/>
    <w:rsid w:val="003E18B1"/>
    <w:rsid w:val="003E1979"/>
    <w:rsid w:val="003E1A42"/>
    <w:rsid w:val="003E1A58"/>
    <w:rsid w:val="003E1AC9"/>
    <w:rsid w:val="003E1B63"/>
    <w:rsid w:val="003E1BE4"/>
    <w:rsid w:val="003E1CBD"/>
    <w:rsid w:val="003E1CFB"/>
    <w:rsid w:val="003E1E2A"/>
    <w:rsid w:val="003E1E56"/>
    <w:rsid w:val="003E203E"/>
    <w:rsid w:val="003E2050"/>
    <w:rsid w:val="003E2096"/>
    <w:rsid w:val="003E214A"/>
    <w:rsid w:val="003E2287"/>
    <w:rsid w:val="003E23AA"/>
    <w:rsid w:val="003E2409"/>
    <w:rsid w:val="003E2460"/>
    <w:rsid w:val="003E2495"/>
    <w:rsid w:val="003E24FC"/>
    <w:rsid w:val="003E26D7"/>
    <w:rsid w:val="003E27E1"/>
    <w:rsid w:val="003E2812"/>
    <w:rsid w:val="003E2871"/>
    <w:rsid w:val="003E28DD"/>
    <w:rsid w:val="003E2AC9"/>
    <w:rsid w:val="003E2AE9"/>
    <w:rsid w:val="003E2C43"/>
    <w:rsid w:val="003E2D5F"/>
    <w:rsid w:val="003E2F39"/>
    <w:rsid w:val="003E315D"/>
    <w:rsid w:val="003E31D2"/>
    <w:rsid w:val="003E327B"/>
    <w:rsid w:val="003E333F"/>
    <w:rsid w:val="003E33F5"/>
    <w:rsid w:val="003E3406"/>
    <w:rsid w:val="003E3436"/>
    <w:rsid w:val="003E34C3"/>
    <w:rsid w:val="003E352C"/>
    <w:rsid w:val="003E3836"/>
    <w:rsid w:val="003E387D"/>
    <w:rsid w:val="003E398C"/>
    <w:rsid w:val="003E3A45"/>
    <w:rsid w:val="003E3B74"/>
    <w:rsid w:val="003E3C0B"/>
    <w:rsid w:val="003E3C17"/>
    <w:rsid w:val="003E3C47"/>
    <w:rsid w:val="003E3CEC"/>
    <w:rsid w:val="003E3D09"/>
    <w:rsid w:val="003E3D33"/>
    <w:rsid w:val="003E414E"/>
    <w:rsid w:val="003E43FD"/>
    <w:rsid w:val="003E4454"/>
    <w:rsid w:val="003E4468"/>
    <w:rsid w:val="003E4473"/>
    <w:rsid w:val="003E44C9"/>
    <w:rsid w:val="003E4501"/>
    <w:rsid w:val="003E452B"/>
    <w:rsid w:val="003E4577"/>
    <w:rsid w:val="003E476C"/>
    <w:rsid w:val="003E483D"/>
    <w:rsid w:val="003E4943"/>
    <w:rsid w:val="003E4AFC"/>
    <w:rsid w:val="003E4B0E"/>
    <w:rsid w:val="003E4B45"/>
    <w:rsid w:val="003E4C30"/>
    <w:rsid w:val="003E4C9B"/>
    <w:rsid w:val="003E4DE1"/>
    <w:rsid w:val="003E4E09"/>
    <w:rsid w:val="003E4E7A"/>
    <w:rsid w:val="003E4F64"/>
    <w:rsid w:val="003E4FB9"/>
    <w:rsid w:val="003E5071"/>
    <w:rsid w:val="003E5130"/>
    <w:rsid w:val="003E5134"/>
    <w:rsid w:val="003E52CD"/>
    <w:rsid w:val="003E5359"/>
    <w:rsid w:val="003E5360"/>
    <w:rsid w:val="003E5406"/>
    <w:rsid w:val="003E55A5"/>
    <w:rsid w:val="003E56A9"/>
    <w:rsid w:val="003E56B7"/>
    <w:rsid w:val="003E5750"/>
    <w:rsid w:val="003E5842"/>
    <w:rsid w:val="003E5883"/>
    <w:rsid w:val="003E592F"/>
    <w:rsid w:val="003E594C"/>
    <w:rsid w:val="003E59A5"/>
    <w:rsid w:val="003E5BA3"/>
    <w:rsid w:val="003E5BA6"/>
    <w:rsid w:val="003E5BF7"/>
    <w:rsid w:val="003E5C50"/>
    <w:rsid w:val="003E5CCA"/>
    <w:rsid w:val="003E5CF8"/>
    <w:rsid w:val="003E5DD6"/>
    <w:rsid w:val="003E5E0D"/>
    <w:rsid w:val="003E5EED"/>
    <w:rsid w:val="003E5F57"/>
    <w:rsid w:val="003E5FDB"/>
    <w:rsid w:val="003E6050"/>
    <w:rsid w:val="003E627B"/>
    <w:rsid w:val="003E661C"/>
    <w:rsid w:val="003E6651"/>
    <w:rsid w:val="003E6737"/>
    <w:rsid w:val="003E674B"/>
    <w:rsid w:val="003E67C4"/>
    <w:rsid w:val="003E6902"/>
    <w:rsid w:val="003E6A10"/>
    <w:rsid w:val="003E6A75"/>
    <w:rsid w:val="003E6CD6"/>
    <w:rsid w:val="003E6F88"/>
    <w:rsid w:val="003E6FCD"/>
    <w:rsid w:val="003E7240"/>
    <w:rsid w:val="003E73B9"/>
    <w:rsid w:val="003E7462"/>
    <w:rsid w:val="003E74E1"/>
    <w:rsid w:val="003E75BB"/>
    <w:rsid w:val="003E75C8"/>
    <w:rsid w:val="003E7696"/>
    <w:rsid w:val="003E77CB"/>
    <w:rsid w:val="003E786D"/>
    <w:rsid w:val="003E788E"/>
    <w:rsid w:val="003E7902"/>
    <w:rsid w:val="003E7A76"/>
    <w:rsid w:val="003E7A7E"/>
    <w:rsid w:val="003E7AC4"/>
    <w:rsid w:val="003E7CC8"/>
    <w:rsid w:val="003E7D96"/>
    <w:rsid w:val="003E7E54"/>
    <w:rsid w:val="003F00BE"/>
    <w:rsid w:val="003F00E6"/>
    <w:rsid w:val="003F018E"/>
    <w:rsid w:val="003F0225"/>
    <w:rsid w:val="003F024F"/>
    <w:rsid w:val="003F036B"/>
    <w:rsid w:val="003F038D"/>
    <w:rsid w:val="003F03AB"/>
    <w:rsid w:val="003F0515"/>
    <w:rsid w:val="003F0549"/>
    <w:rsid w:val="003F05AB"/>
    <w:rsid w:val="003F06EF"/>
    <w:rsid w:val="003F0798"/>
    <w:rsid w:val="003F07E6"/>
    <w:rsid w:val="003F0845"/>
    <w:rsid w:val="003F0874"/>
    <w:rsid w:val="003F0917"/>
    <w:rsid w:val="003F09A2"/>
    <w:rsid w:val="003F0A51"/>
    <w:rsid w:val="003F0CDE"/>
    <w:rsid w:val="003F0DEF"/>
    <w:rsid w:val="003F0E0C"/>
    <w:rsid w:val="003F0E79"/>
    <w:rsid w:val="003F0F21"/>
    <w:rsid w:val="003F0FE3"/>
    <w:rsid w:val="003F14A6"/>
    <w:rsid w:val="003F14FF"/>
    <w:rsid w:val="003F16B2"/>
    <w:rsid w:val="003F16B7"/>
    <w:rsid w:val="003F1707"/>
    <w:rsid w:val="003F173C"/>
    <w:rsid w:val="003F17FC"/>
    <w:rsid w:val="003F18B7"/>
    <w:rsid w:val="003F18BC"/>
    <w:rsid w:val="003F1949"/>
    <w:rsid w:val="003F19C2"/>
    <w:rsid w:val="003F1C97"/>
    <w:rsid w:val="003F21F3"/>
    <w:rsid w:val="003F2209"/>
    <w:rsid w:val="003F2222"/>
    <w:rsid w:val="003F239C"/>
    <w:rsid w:val="003F2401"/>
    <w:rsid w:val="003F2408"/>
    <w:rsid w:val="003F2656"/>
    <w:rsid w:val="003F26D4"/>
    <w:rsid w:val="003F2729"/>
    <w:rsid w:val="003F2764"/>
    <w:rsid w:val="003F2784"/>
    <w:rsid w:val="003F2882"/>
    <w:rsid w:val="003F28D7"/>
    <w:rsid w:val="003F29B6"/>
    <w:rsid w:val="003F2B8E"/>
    <w:rsid w:val="003F2BC0"/>
    <w:rsid w:val="003F2BCA"/>
    <w:rsid w:val="003F2CEB"/>
    <w:rsid w:val="003F2CF7"/>
    <w:rsid w:val="003F2D3E"/>
    <w:rsid w:val="003F2D5B"/>
    <w:rsid w:val="003F2D68"/>
    <w:rsid w:val="003F2DED"/>
    <w:rsid w:val="003F2F21"/>
    <w:rsid w:val="003F2FBD"/>
    <w:rsid w:val="003F3120"/>
    <w:rsid w:val="003F314D"/>
    <w:rsid w:val="003F31CE"/>
    <w:rsid w:val="003F3377"/>
    <w:rsid w:val="003F33CF"/>
    <w:rsid w:val="003F35F7"/>
    <w:rsid w:val="003F3712"/>
    <w:rsid w:val="003F37BA"/>
    <w:rsid w:val="003F390D"/>
    <w:rsid w:val="003F3915"/>
    <w:rsid w:val="003F39E0"/>
    <w:rsid w:val="003F3AED"/>
    <w:rsid w:val="003F3B58"/>
    <w:rsid w:val="003F3CFE"/>
    <w:rsid w:val="003F3D25"/>
    <w:rsid w:val="003F3EB0"/>
    <w:rsid w:val="003F3F0F"/>
    <w:rsid w:val="003F4013"/>
    <w:rsid w:val="003F40DA"/>
    <w:rsid w:val="003F416D"/>
    <w:rsid w:val="003F417C"/>
    <w:rsid w:val="003F418B"/>
    <w:rsid w:val="003F41E0"/>
    <w:rsid w:val="003F4209"/>
    <w:rsid w:val="003F43BF"/>
    <w:rsid w:val="003F44B6"/>
    <w:rsid w:val="003F459E"/>
    <w:rsid w:val="003F4767"/>
    <w:rsid w:val="003F47B4"/>
    <w:rsid w:val="003F499A"/>
    <w:rsid w:val="003F49C9"/>
    <w:rsid w:val="003F4D26"/>
    <w:rsid w:val="003F4ED9"/>
    <w:rsid w:val="003F4F70"/>
    <w:rsid w:val="003F4F7D"/>
    <w:rsid w:val="003F507E"/>
    <w:rsid w:val="003F50CD"/>
    <w:rsid w:val="003F51E2"/>
    <w:rsid w:val="003F520B"/>
    <w:rsid w:val="003F5294"/>
    <w:rsid w:val="003F5338"/>
    <w:rsid w:val="003F54AA"/>
    <w:rsid w:val="003F54D1"/>
    <w:rsid w:val="003F54F9"/>
    <w:rsid w:val="003F5548"/>
    <w:rsid w:val="003F55D4"/>
    <w:rsid w:val="003F5646"/>
    <w:rsid w:val="003F56B6"/>
    <w:rsid w:val="003F587C"/>
    <w:rsid w:val="003F58AF"/>
    <w:rsid w:val="003F5989"/>
    <w:rsid w:val="003F599F"/>
    <w:rsid w:val="003F59B9"/>
    <w:rsid w:val="003F5A20"/>
    <w:rsid w:val="003F5B1B"/>
    <w:rsid w:val="003F5B8D"/>
    <w:rsid w:val="003F5C3D"/>
    <w:rsid w:val="003F5C44"/>
    <w:rsid w:val="003F5D53"/>
    <w:rsid w:val="003F5E5D"/>
    <w:rsid w:val="003F5ECD"/>
    <w:rsid w:val="003F5F22"/>
    <w:rsid w:val="003F5F39"/>
    <w:rsid w:val="003F6047"/>
    <w:rsid w:val="003F605C"/>
    <w:rsid w:val="003F60FB"/>
    <w:rsid w:val="003F62AC"/>
    <w:rsid w:val="003F6538"/>
    <w:rsid w:val="003F653A"/>
    <w:rsid w:val="003F6597"/>
    <w:rsid w:val="003F66BA"/>
    <w:rsid w:val="003F6829"/>
    <w:rsid w:val="003F6840"/>
    <w:rsid w:val="003F6895"/>
    <w:rsid w:val="003F69D3"/>
    <w:rsid w:val="003F6A25"/>
    <w:rsid w:val="003F6B51"/>
    <w:rsid w:val="003F6BB1"/>
    <w:rsid w:val="003F6BCC"/>
    <w:rsid w:val="003F6D40"/>
    <w:rsid w:val="003F6DCE"/>
    <w:rsid w:val="003F714F"/>
    <w:rsid w:val="003F722E"/>
    <w:rsid w:val="003F73DC"/>
    <w:rsid w:val="003F7712"/>
    <w:rsid w:val="003F77C8"/>
    <w:rsid w:val="003F7893"/>
    <w:rsid w:val="003F78FE"/>
    <w:rsid w:val="003F7A9A"/>
    <w:rsid w:val="003F7BE8"/>
    <w:rsid w:val="003F7BF2"/>
    <w:rsid w:val="003F7C47"/>
    <w:rsid w:val="003F7D0E"/>
    <w:rsid w:val="003F7D7A"/>
    <w:rsid w:val="003F7E0C"/>
    <w:rsid w:val="003F7E49"/>
    <w:rsid w:val="003F7ECE"/>
    <w:rsid w:val="00400034"/>
    <w:rsid w:val="00400042"/>
    <w:rsid w:val="004000A8"/>
    <w:rsid w:val="004000D8"/>
    <w:rsid w:val="004000E1"/>
    <w:rsid w:val="0040012F"/>
    <w:rsid w:val="00400205"/>
    <w:rsid w:val="00400334"/>
    <w:rsid w:val="004003BC"/>
    <w:rsid w:val="0040047B"/>
    <w:rsid w:val="00400550"/>
    <w:rsid w:val="00400693"/>
    <w:rsid w:val="00400794"/>
    <w:rsid w:val="004007BB"/>
    <w:rsid w:val="004007C0"/>
    <w:rsid w:val="004007FC"/>
    <w:rsid w:val="0040089A"/>
    <w:rsid w:val="00400942"/>
    <w:rsid w:val="004009AA"/>
    <w:rsid w:val="00400A1A"/>
    <w:rsid w:val="00400A2F"/>
    <w:rsid w:val="00400A55"/>
    <w:rsid w:val="00400BB1"/>
    <w:rsid w:val="00400D01"/>
    <w:rsid w:val="00400D89"/>
    <w:rsid w:val="00400EF2"/>
    <w:rsid w:val="00400F71"/>
    <w:rsid w:val="00400F8A"/>
    <w:rsid w:val="0040121D"/>
    <w:rsid w:val="004012B1"/>
    <w:rsid w:val="004012CE"/>
    <w:rsid w:val="004012F3"/>
    <w:rsid w:val="00401305"/>
    <w:rsid w:val="004014B7"/>
    <w:rsid w:val="0040152C"/>
    <w:rsid w:val="004015AB"/>
    <w:rsid w:val="004015F3"/>
    <w:rsid w:val="0040177D"/>
    <w:rsid w:val="00401841"/>
    <w:rsid w:val="00401887"/>
    <w:rsid w:val="004018ED"/>
    <w:rsid w:val="004018F1"/>
    <w:rsid w:val="00401A67"/>
    <w:rsid w:val="00401B94"/>
    <w:rsid w:val="00401C05"/>
    <w:rsid w:val="00401C2A"/>
    <w:rsid w:val="00401CD2"/>
    <w:rsid w:val="00401F06"/>
    <w:rsid w:val="00401F4D"/>
    <w:rsid w:val="00401F59"/>
    <w:rsid w:val="00401F5D"/>
    <w:rsid w:val="00401FCE"/>
    <w:rsid w:val="004020D7"/>
    <w:rsid w:val="004020D9"/>
    <w:rsid w:val="004020FD"/>
    <w:rsid w:val="0040223C"/>
    <w:rsid w:val="0040235B"/>
    <w:rsid w:val="004024D1"/>
    <w:rsid w:val="00402500"/>
    <w:rsid w:val="004027BB"/>
    <w:rsid w:val="004027C3"/>
    <w:rsid w:val="00402832"/>
    <w:rsid w:val="004028DD"/>
    <w:rsid w:val="00402A4F"/>
    <w:rsid w:val="00402AD7"/>
    <w:rsid w:val="00402B8E"/>
    <w:rsid w:val="00402D0C"/>
    <w:rsid w:val="00402D65"/>
    <w:rsid w:val="00402DCF"/>
    <w:rsid w:val="00402E39"/>
    <w:rsid w:val="00402E98"/>
    <w:rsid w:val="00402EC1"/>
    <w:rsid w:val="00402ECB"/>
    <w:rsid w:val="00402F8E"/>
    <w:rsid w:val="00402FC3"/>
    <w:rsid w:val="00402FDC"/>
    <w:rsid w:val="00403098"/>
    <w:rsid w:val="004031C2"/>
    <w:rsid w:val="00403269"/>
    <w:rsid w:val="004032F9"/>
    <w:rsid w:val="00403302"/>
    <w:rsid w:val="00403323"/>
    <w:rsid w:val="0040332C"/>
    <w:rsid w:val="004034D1"/>
    <w:rsid w:val="00403563"/>
    <w:rsid w:val="0040358D"/>
    <w:rsid w:val="004035EE"/>
    <w:rsid w:val="00403689"/>
    <w:rsid w:val="00403715"/>
    <w:rsid w:val="00403766"/>
    <w:rsid w:val="00403775"/>
    <w:rsid w:val="0040384D"/>
    <w:rsid w:val="0040386C"/>
    <w:rsid w:val="00403968"/>
    <w:rsid w:val="00403980"/>
    <w:rsid w:val="004039D7"/>
    <w:rsid w:val="00403AA1"/>
    <w:rsid w:val="00403DD7"/>
    <w:rsid w:val="00403F26"/>
    <w:rsid w:val="00403F79"/>
    <w:rsid w:val="00403FBA"/>
    <w:rsid w:val="0040400A"/>
    <w:rsid w:val="0040401C"/>
    <w:rsid w:val="0040423D"/>
    <w:rsid w:val="004042A9"/>
    <w:rsid w:val="0040434E"/>
    <w:rsid w:val="00404550"/>
    <w:rsid w:val="004046D5"/>
    <w:rsid w:val="00404764"/>
    <w:rsid w:val="004047E4"/>
    <w:rsid w:val="004047FC"/>
    <w:rsid w:val="00404896"/>
    <w:rsid w:val="004048FF"/>
    <w:rsid w:val="00404965"/>
    <w:rsid w:val="004049FF"/>
    <w:rsid w:val="00404A8D"/>
    <w:rsid w:val="00404BC8"/>
    <w:rsid w:val="00404CFF"/>
    <w:rsid w:val="00404E37"/>
    <w:rsid w:val="00404EAA"/>
    <w:rsid w:val="00404ED6"/>
    <w:rsid w:val="00404F5B"/>
    <w:rsid w:val="0040502F"/>
    <w:rsid w:val="00405050"/>
    <w:rsid w:val="0040505B"/>
    <w:rsid w:val="004050DC"/>
    <w:rsid w:val="0040512E"/>
    <w:rsid w:val="004051BB"/>
    <w:rsid w:val="00405273"/>
    <w:rsid w:val="00405303"/>
    <w:rsid w:val="0040535F"/>
    <w:rsid w:val="004054DB"/>
    <w:rsid w:val="00405575"/>
    <w:rsid w:val="00405686"/>
    <w:rsid w:val="00405748"/>
    <w:rsid w:val="004057DC"/>
    <w:rsid w:val="004058B4"/>
    <w:rsid w:val="004058E2"/>
    <w:rsid w:val="00405999"/>
    <w:rsid w:val="00405A39"/>
    <w:rsid w:val="00405AA9"/>
    <w:rsid w:val="00405B18"/>
    <w:rsid w:val="00405BF5"/>
    <w:rsid w:val="00405C00"/>
    <w:rsid w:val="00405C77"/>
    <w:rsid w:val="00405DBB"/>
    <w:rsid w:val="00405E68"/>
    <w:rsid w:val="00405E8C"/>
    <w:rsid w:val="00405F8F"/>
    <w:rsid w:val="00405FC6"/>
    <w:rsid w:val="00406135"/>
    <w:rsid w:val="0040617E"/>
    <w:rsid w:val="00406266"/>
    <w:rsid w:val="00406311"/>
    <w:rsid w:val="0040632B"/>
    <w:rsid w:val="0040638B"/>
    <w:rsid w:val="004063FC"/>
    <w:rsid w:val="00406405"/>
    <w:rsid w:val="00406509"/>
    <w:rsid w:val="00406626"/>
    <w:rsid w:val="004068E6"/>
    <w:rsid w:val="00406AAF"/>
    <w:rsid w:val="00406B74"/>
    <w:rsid w:val="00406D43"/>
    <w:rsid w:val="00406FF5"/>
    <w:rsid w:val="0040723D"/>
    <w:rsid w:val="0040724F"/>
    <w:rsid w:val="00407288"/>
    <w:rsid w:val="00407361"/>
    <w:rsid w:val="004076D6"/>
    <w:rsid w:val="004076EB"/>
    <w:rsid w:val="00407758"/>
    <w:rsid w:val="00407765"/>
    <w:rsid w:val="0040779D"/>
    <w:rsid w:val="004077E2"/>
    <w:rsid w:val="0040789F"/>
    <w:rsid w:val="004078D8"/>
    <w:rsid w:val="00407ADE"/>
    <w:rsid w:val="00407CB7"/>
    <w:rsid w:val="00407DC3"/>
    <w:rsid w:val="00407F55"/>
    <w:rsid w:val="00407FB3"/>
    <w:rsid w:val="00410338"/>
    <w:rsid w:val="00410493"/>
    <w:rsid w:val="00410643"/>
    <w:rsid w:val="004107E4"/>
    <w:rsid w:val="0041093F"/>
    <w:rsid w:val="00410A02"/>
    <w:rsid w:val="00410A80"/>
    <w:rsid w:val="00410BED"/>
    <w:rsid w:val="00410C74"/>
    <w:rsid w:val="00410C83"/>
    <w:rsid w:val="00410E2F"/>
    <w:rsid w:val="0041107E"/>
    <w:rsid w:val="004110BC"/>
    <w:rsid w:val="0041111A"/>
    <w:rsid w:val="0041116F"/>
    <w:rsid w:val="0041117B"/>
    <w:rsid w:val="004111A5"/>
    <w:rsid w:val="00411231"/>
    <w:rsid w:val="00411417"/>
    <w:rsid w:val="004116A3"/>
    <w:rsid w:val="004116EF"/>
    <w:rsid w:val="00411715"/>
    <w:rsid w:val="00411721"/>
    <w:rsid w:val="00411783"/>
    <w:rsid w:val="004118DA"/>
    <w:rsid w:val="004118DE"/>
    <w:rsid w:val="00411962"/>
    <w:rsid w:val="00411A9B"/>
    <w:rsid w:val="00411AB4"/>
    <w:rsid w:val="00411B17"/>
    <w:rsid w:val="00411C4E"/>
    <w:rsid w:val="00411D96"/>
    <w:rsid w:val="00411E19"/>
    <w:rsid w:val="00412040"/>
    <w:rsid w:val="0041226D"/>
    <w:rsid w:val="0041241E"/>
    <w:rsid w:val="004126E5"/>
    <w:rsid w:val="00412778"/>
    <w:rsid w:val="004128E3"/>
    <w:rsid w:val="00412902"/>
    <w:rsid w:val="0041296A"/>
    <w:rsid w:val="004129BE"/>
    <w:rsid w:val="004129CC"/>
    <w:rsid w:val="00412B47"/>
    <w:rsid w:val="00412B71"/>
    <w:rsid w:val="00412BB1"/>
    <w:rsid w:val="00412C97"/>
    <w:rsid w:val="00412D52"/>
    <w:rsid w:val="00412D56"/>
    <w:rsid w:val="00412DE6"/>
    <w:rsid w:val="00412EC8"/>
    <w:rsid w:val="00413086"/>
    <w:rsid w:val="004130CD"/>
    <w:rsid w:val="0041332B"/>
    <w:rsid w:val="00413425"/>
    <w:rsid w:val="004134B0"/>
    <w:rsid w:val="00413599"/>
    <w:rsid w:val="004135AB"/>
    <w:rsid w:val="0041364C"/>
    <w:rsid w:val="00413667"/>
    <w:rsid w:val="0041377B"/>
    <w:rsid w:val="00413878"/>
    <w:rsid w:val="00413892"/>
    <w:rsid w:val="00413976"/>
    <w:rsid w:val="00413991"/>
    <w:rsid w:val="004139DD"/>
    <w:rsid w:val="00413D99"/>
    <w:rsid w:val="00413E1F"/>
    <w:rsid w:val="00413EF5"/>
    <w:rsid w:val="00413FF5"/>
    <w:rsid w:val="004142CC"/>
    <w:rsid w:val="00414344"/>
    <w:rsid w:val="0041447E"/>
    <w:rsid w:val="0041448B"/>
    <w:rsid w:val="0041453B"/>
    <w:rsid w:val="0041457D"/>
    <w:rsid w:val="004147BC"/>
    <w:rsid w:val="00414999"/>
    <w:rsid w:val="004149C9"/>
    <w:rsid w:val="00414C19"/>
    <w:rsid w:val="00414C33"/>
    <w:rsid w:val="00414CE7"/>
    <w:rsid w:val="00414DE0"/>
    <w:rsid w:val="00414F47"/>
    <w:rsid w:val="00414F7E"/>
    <w:rsid w:val="00414FE6"/>
    <w:rsid w:val="004150AD"/>
    <w:rsid w:val="00415227"/>
    <w:rsid w:val="0041529D"/>
    <w:rsid w:val="004152BC"/>
    <w:rsid w:val="00415321"/>
    <w:rsid w:val="004153D0"/>
    <w:rsid w:val="00415401"/>
    <w:rsid w:val="0041545D"/>
    <w:rsid w:val="00415567"/>
    <w:rsid w:val="004157F2"/>
    <w:rsid w:val="0041587E"/>
    <w:rsid w:val="00415990"/>
    <w:rsid w:val="00415A8F"/>
    <w:rsid w:val="00415B3D"/>
    <w:rsid w:val="00415B92"/>
    <w:rsid w:val="0041604A"/>
    <w:rsid w:val="00416068"/>
    <w:rsid w:val="00416074"/>
    <w:rsid w:val="004160B6"/>
    <w:rsid w:val="00416167"/>
    <w:rsid w:val="00416216"/>
    <w:rsid w:val="00416588"/>
    <w:rsid w:val="004165E2"/>
    <w:rsid w:val="00416620"/>
    <w:rsid w:val="00416903"/>
    <w:rsid w:val="00416923"/>
    <w:rsid w:val="004169B0"/>
    <w:rsid w:val="00416C38"/>
    <w:rsid w:val="00416EEC"/>
    <w:rsid w:val="00416F54"/>
    <w:rsid w:val="00416FDD"/>
    <w:rsid w:val="00416FFE"/>
    <w:rsid w:val="0041724C"/>
    <w:rsid w:val="00417344"/>
    <w:rsid w:val="00417402"/>
    <w:rsid w:val="0041758D"/>
    <w:rsid w:val="004175A6"/>
    <w:rsid w:val="0041768F"/>
    <w:rsid w:val="004176E4"/>
    <w:rsid w:val="00417984"/>
    <w:rsid w:val="00417ADB"/>
    <w:rsid w:val="00417CD4"/>
    <w:rsid w:val="00417F0E"/>
    <w:rsid w:val="00417FD4"/>
    <w:rsid w:val="00420111"/>
    <w:rsid w:val="0042015B"/>
    <w:rsid w:val="004201E1"/>
    <w:rsid w:val="00420210"/>
    <w:rsid w:val="00420330"/>
    <w:rsid w:val="004203E0"/>
    <w:rsid w:val="00420413"/>
    <w:rsid w:val="00420512"/>
    <w:rsid w:val="00420525"/>
    <w:rsid w:val="00420561"/>
    <w:rsid w:val="00420578"/>
    <w:rsid w:val="00420629"/>
    <w:rsid w:val="004206D9"/>
    <w:rsid w:val="004206FE"/>
    <w:rsid w:val="00420737"/>
    <w:rsid w:val="00420743"/>
    <w:rsid w:val="00420927"/>
    <w:rsid w:val="004209CD"/>
    <w:rsid w:val="00420ABA"/>
    <w:rsid w:val="00420AD5"/>
    <w:rsid w:val="00420AFE"/>
    <w:rsid w:val="00420B03"/>
    <w:rsid w:val="00420C17"/>
    <w:rsid w:val="00420E5E"/>
    <w:rsid w:val="00420E84"/>
    <w:rsid w:val="00420EE1"/>
    <w:rsid w:val="00420EF2"/>
    <w:rsid w:val="00420F49"/>
    <w:rsid w:val="0042107D"/>
    <w:rsid w:val="004210EC"/>
    <w:rsid w:val="00421132"/>
    <w:rsid w:val="004211CC"/>
    <w:rsid w:val="004214F9"/>
    <w:rsid w:val="004215A0"/>
    <w:rsid w:val="004215E7"/>
    <w:rsid w:val="00421642"/>
    <w:rsid w:val="004216A9"/>
    <w:rsid w:val="00421838"/>
    <w:rsid w:val="00421A5A"/>
    <w:rsid w:val="00421FC5"/>
    <w:rsid w:val="004221D5"/>
    <w:rsid w:val="00422212"/>
    <w:rsid w:val="0042237B"/>
    <w:rsid w:val="004223E6"/>
    <w:rsid w:val="004226BB"/>
    <w:rsid w:val="00422859"/>
    <w:rsid w:val="00422AA6"/>
    <w:rsid w:val="00422AC8"/>
    <w:rsid w:val="00422CDA"/>
    <w:rsid w:val="00422CED"/>
    <w:rsid w:val="00422D46"/>
    <w:rsid w:val="00422E04"/>
    <w:rsid w:val="00422EFB"/>
    <w:rsid w:val="00422F00"/>
    <w:rsid w:val="00422F2D"/>
    <w:rsid w:val="00422F50"/>
    <w:rsid w:val="00422F90"/>
    <w:rsid w:val="00422FA8"/>
    <w:rsid w:val="004230AF"/>
    <w:rsid w:val="004232A1"/>
    <w:rsid w:val="00423367"/>
    <w:rsid w:val="004233E3"/>
    <w:rsid w:val="004233F3"/>
    <w:rsid w:val="0042368A"/>
    <w:rsid w:val="004237A1"/>
    <w:rsid w:val="004237CA"/>
    <w:rsid w:val="004238C8"/>
    <w:rsid w:val="004238F4"/>
    <w:rsid w:val="0042393B"/>
    <w:rsid w:val="0042394A"/>
    <w:rsid w:val="00423AAC"/>
    <w:rsid w:val="00423B78"/>
    <w:rsid w:val="00423BB4"/>
    <w:rsid w:val="00423C65"/>
    <w:rsid w:val="00423C80"/>
    <w:rsid w:val="00423CCE"/>
    <w:rsid w:val="00423CEF"/>
    <w:rsid w:val="00423D6D"/>
    <w:rsid w:val="00423EF3"/>
    <w:rsid w:val="00423F3D"/>
    <w:rsid w:val="0042408A"/>
    <w:rsid w:val="0042429A"/>
    <w:rsid w:val="004242E3"/>
    <w:rsid w:val="0042432D"/>
    <w:rsid w:val="004243FA"/>
    <w:rsid w:val="00424447"/>
    <w:rsid w:val="004244C3"/>
    <w:rsid w:val="00424520"/>
    <w:rsid w:val="00424617"/>
    <w:rsid w:val="00424698"/>
    <w:rsid w:val="00424699"/>
    <w:rsid w:val="004246D3"/>
    <w:rsid w:val="004246F9"/>
    <w:rsid w:val="004247ED"/>
    <w:rsid w:val="004248F8"/>
    <w:rsid w:val="00424953"/>
    <w:rsid w:val="0042496D"/>
    <w:rsid w:val="00424A68"/>
    <w:rsid w:val="00424A98"/>
    <w:rsid w:val="00424BC4"/>
    <w:rsid w:val="00424C93"/>
    <w:rsid w:val="00424E34"/>
    <w:rsid w:val="00424E41"/>
    <w:rsid w:val="00424F32"/>
    <w:rsid w:val="00424F85"/>
    <w:rsid w:val="00424FE4"/>
    <w:rsid w:val="0042509D"/>
    <w:rsid w:val="00425128"/>
    <w:rsid w:val="004251E7"/>
    <w:rsid w:val="004251FA"/>
    <w:rsid w:val="0042532F"/>
    <w:rsid w:val="004253C2"/>
    <w:rsid w:val="0042548A"/>
    <w:rsid w:val="004254E2"/>
    <w:rsid w:val="00425521"/>
    <w:rsid w:val="004256B6"/>
    <w:rsid w:val="0042592E"/>
    <w:rsid w:val="004259A8"/>
    <w:rsid w:val="00425ADB"/>
    <w:rsid w:val="00425C90"/>
    <w:rsid w:val="00425F3B"/>
    <w:rsid w:val="004263E1"/>
    <w:rsid w:val="0042652C"/>
    <w:rsid w:val="0042660E"/>
    <w:rsid w:val="00426650"/>
    <w:rsid w:val="00426737"/>
    <w:rsid w:val="00426786"/>
    <w:rsid w:val="00426844"/>
    <w:rsid w:val="00426A68"/>
    <w:rsid w:val="00426BA9"/>
    <w:rsid w:val="00426C19"/>
    <w:rsid w:val="00426CF3"/>
    <w:rsid w:val="00426CFF"/>
    <w:rsid w:val="00426D1E"/>
    <w:rsid w:val="00426D70"/>
    <w:rsid w:val="00426E31"/>
    <w:rsid w:val="00426EA6"/>
    <w:rsid w:val="00426F51"/>
    <w:rsid w:val="00426FD0"/>
    <w:rsid w:val="0042703D"/>
    <w:rsid w:val="00427098"/>
    <w:rsid w:val="004270AB"/>
    <w:rsid w:val="004270D9"/>
    <w:rsid w:val="00427291"/>
    <w:rsid w:val="004272C1"/>
    <w:rsid w:val="00427387"/>
    <w:rsid w:val="00427579"/>
    <w:rsid w:val="0042762C"/>
    <w:rsid w:val="00427767"/>
    <w:rsid w:val="004277DA"/>
    <w:rsid w:val="0042796E"/>
    <w:rsid w:val="00427AE7"/>
    <w:rsid w:val="00427B00"/>
    <w:rsid w:val="00427C28"/>
    <w:rsid w:val="00427D80"/>
    <w:rsid w:val="00427DAE"/>
    <w:rsid w:val="00427E3B"/>
    <w:rsid w:val="00427E8C"/>
    <w:rsid w:val="00427ED9"/>
    <w:rsid w:val="0042BECD"/>
    <w:rsid w:val="004300C2"/>
    <w:rsid w:val="00430165"/>
    <w:rsid w:val="00430166"/>
    <w:rsid w:val="004301D0"/>
    <w:rsid w:val="004302B7"/>
    <w:rsid w:val="004302EA"/>
    <w:rsid w:val="004303B3"/>
    <w:rsid w:val="00430430"/>
    <w:rsid w:val="004304A6"/>
    <w:rsid w:val="004304DE"/>
    <w:rsid w:val="0043054D"/>
    <w:rsid w:val="004305CB"/>
    <w:rsid w:val="00430645"/>
    <w:rsid w:val="0043070C"/>
    <w:rsid w:val="004307B1"/>
    <w:rsid w:val="00430805"/>
    <w:rsid w:val="004308ED"/>
    <w:rsid w:val="00430AA0"/>
    <w:rsid w:val="00430ABE"/>
    <w:rsid w:val="00430BBB"/>
    <w:rsid w:val="00430BF7"/>
    <w:rsid w:val="00430C5F"/>
    <w:rsid w:val="00430CF2"/>
    <w:rsid w:val="00430D27"/>
    <w:rsid w:val="00430E11"/>
    <w:rsid w:val="00430E6D"/>
    <w:rsid w:val="00430EFE"/>
    <w:rsid w:val="00431039"/>
    <w:rsid w:val="004310D6"/>
    <w:rsid w:val="00431276"/>
    <w:rsid w:val="004312BC"/>
    <w:rsid w:val="00431367"/>
    <w:rsid w:val="0043149F"/>
    <w:rsid w:val="00431510"/>
    <w:rsid w:val="004315C5"/>
    <w:rsid w:val="004315D3"/>
    <w:rsid w:val="00431601"/>
    <w:rsid w:val="00431652"/>
    <w:rsid w:val="00431893"/>
    <w:rsid w:val="0043198C"/>
    <w:rsid w:val="00431B75"/>
    <w:rsid w:val="00431DCE"/>
    <w:rsid w:val="00431EB6"/>
    <w:rsid w:val="00431FC0"/>
    <w:rsid w:val="004320D5"/>
    <w:rsid w:val="004321C9"/>
    <w:rsid w:val="004321F0"/>
    <w:rsid w:val="00432297"/>
    <w:rsid w:val="004323EF"/>
    <w:rsid w:val="004324E8"/>
    <w:rsid w:val="004324F2"/>
    <w:rsid w:val="00432820"/>
    <w:rsid w:val="00432877"/>
    <w:rsid w:val="004328B3"/>
    <w:rsid w:val="00432971"/>
    <w:rsid w:val="00432A00"/>
    <w:rsid w:val="00432D4A"/>
    <w:rsid w:val="00432D9E"/>
    <w:rsid w:val="00432E35"/>
    <w:rsid w:val="00432F70"/>
    <w:rsid w:val="00432F71"/>
    <w:rsid w:val="00432F7E"/>
    <w:rsid w:val="00432FF9"/>
    <w:rsid w:val="0043314E"/>
    <w:rsid w:val="00433186"/>
    <w:rsid w:val="00433303"/>
    <w:rsid w:val="0043331E"/>
    <w:rsid w:val="00433385"/>
    <w:rsid w:val="00433405"/>
    <w:rsid w:val="004334C2"/>
    <w:rsid w:val="0043358B"/>
    <w:rsid w:val="00433636"/>
    <w:rsid w:val="004337EA"/>
    <w:rsid w:val="004339DD"/>
    <w:rsid w:val="00433B98"/>
    <w:rsid w:val="00433DDC"/>
    <w:rsid w:val="00433E96"/>
    <w:rsid w:val="00433F9D"/>
    <w:rsid w:val="00434117"/>
    <w:rsid w:val="00434208"/>
    <w:rsid w:val="00434288"/>
    <w:rsid w:val="004344B9"/>
    <w:rsid w:val="00434556"/>
    <w:rsid w:val="0043462B"/>
    <w:rsid w:val="00434753"/>
    <w:rsid w:val="004347F7"/>
    <w:rsid w:val="0043489B"/>
    <w:rsid w:val="004348B4"/>
    <w:rsid w:val="004348DC"/>
    <w:rsid w:val="00434C7F"/>
    <w:rsid w:val="00434D07"/>
    <w:rsid w:val="00434D62"/>
    <w:rsid w:val="00434D7E"/>
    <w:rsid w:val="00434E1C"/>
    <w:rsid w:val="00434E8C"/>
    <w:rsid w:val="00434EF8"/>
    <w:rsid w:val="00434FA0"/>
    <w:rsid w:val="00435085"/>
    <w:rsid w:val="004350FB"/>
    <w:rsid w:val="004352F9"/>
    <w:rsid w:val="00435316"/>
    <w:rsid w:val="004353EA"/>
    <w:rsid w:val="00435677"/>
    <w:rsid w:val="00435721"/>
    <w:rsid w:val="004357B2"/>
    <w:rsid w:val="00435961"/>
    <w:rsid w:val="00435A7E"/>
    <w:rsid w:val="00435A81"/>
    <w:rsid w:val="00435A8B"/>
    <w:rsid w:val="00435AAC"/>
    <w:rsid w:val="00435B18"/>
    <w:rsid w:val="00435BC2"/>
    <w:rsid w:val="00435BC8"/>
    <w:rsid w:val="00435FDB"/>
    <w:rsid w:val="00436194"/>
    <w:rsid w:val="00436617"/>
    <w:rsid w:val="0043667A"/>
    <w:rsid w:val="00436B05"/>
    <w:rsid w:val="00436CC8"/>
    <w:rsid w:val="00436D28"/>
    <w:rsid w:val="00436D3E"/>
    <w:rsid w:val="00436D81"/>
    <w:rsid w:val="00436DB8"/>
    <w:rsid w:val="00436EBA"/>
    <w:rsid w:val="0043708D"/>
    <w:rsid w:val="004370E8"/>
    <w:rsid w:val="0043712B"/>
    <w:rsid w:val="0043720A"/>
    <w:rsid w:val="00437242"/>
    <w:rsid w:val="004373C4"/>
    <w:rsid w:val="00437510"/>
    <w:rsid w:val="004376D0"/>
    <w:rsid w:val="004376E1"/>
    <w:rsid w:val="004376F7"/>
    <w:rsid w:val="0043774B"/>
    <w:rsid w:val="00437873"/>
    <w:rsid w:val="00437901"/>
    <w:rsid w:val="00437BCC"/>
    <w:rsid w:val="00437BDA"/>
    <w:rsid w:val="00440014"/>
    <w:rsid w:val="00440040"/>
    <w:rsid w:val="00440104"/>
    <w:rsid w:val="00440110"/>
    <w:rsid w:val="00440224"/>
    <w:rsid w:val="00440327"/>
    <w:rsid w:val="0044032D"/>
    <w:rsid w:val="004403F2"/>
    <w:rsid w:val="004405E1"/>
    <w:rsid w:val="00440802"/>
    <w:rsid w:val="00440827"/>
    <w:rsid w:val="00440920"/>
    <w:rsid w:val="00440976"/>
    <w:rsid w:val="00440AB3"/>
    <w:rsid w:val="00440ABF"/>
    <w:rsid w:val="00440AEC"/>
    <w:rsid w:val="00440CED"/>
    <w:rsid w:val="00440D0D"/>
    <w:rsid w:val="00440DB9"/>
    <w:rsid w:val="00440E0B"/>
    <w:rsid w:val="00440E83"/>
    <w:rsid w:val="00440FD5"/>
    <w:rsid w:val="004410CD"/>
    <w:rsid w:val="0044121A"/>
    <w:rsid w:val="004413A8"/>
    <w:rsid w:val="004413CA"/>
    <w:rsid w:val="00441486"/>
    <w:rsid w:val="004415A7"/>
    <w:rsid w:val="0044180D"/>
    <w:rsid w:val="004418D7"/>
    <w:rsid w:val="004418D8"/>
    <w:rsid w:val="0044197B"/>
    <w:rsid w:val="004419CE"/>
    <w:rsid w:val="00441A30"/>
    <w:rsid w:val="00441BE6"/>
    <w:rsid w:val="00441E37"/>
    <w:rsid w:val="00441E68"/>
    <w:rsid w:val="00441F61"/>
    <w:rsid w:val="0044208E"/>
    <w:rsid w:val="00442169"/>
    <w:rsid w:val="0044217E"/>
    <w:rsid w:val="004421AE"/>
    <w:rsid w:val="004422A0"/>
    <w:rsid w:val="004422FC"/>
    <w:rsid w:val="0044230D"/>
    <w:rsid w:val="0044244D"/>
    <w:rsid w:val="0044252B"/>
    <w:rsid w:val="00442593"/>
    <w:rsid w:val="00442915"/>
    <w:rsid w:val="00442C81"/>
    <w:rsid w:val="00442CBE"/>
    <w:rsid w:val="00442CD8"/>
    <w:rsid w:val="00442CFA"/>
    <w:rsid w:val="00442D5F"/>
    <w:rsid w:val="00442DF6"/>
    <w:rsid w:val="00442E45"/>
    <w:rsid w:val="00442EE5"/>
    <w:rsid w:val="00442F30"/>
    <w:rsid w:val="0044326E"/>
    <w:rsid w:val="00443292"/>
    <w:rsid w:val="00443406"/>
    <w:rsid w:val="0044343F"/>
    <w:rsid w:val="004434CB"/>
    <w:rsid w:val="004435CA"/>
    <w:rsid w:val="004435D0"/>
    <w:rsid w:val="00443604"/>
    <w:rsid w:val="0044366F"/>
    <w:rsid w:val="00443671"/>
    <w:rsid w:val="004436C7"/>
    <w:rsid w:val="004436FC"/>
    <w:rsid w:val="00443737"/>
    <w:rsid w:val="00443793"/>
    <w:rsid w:val="004437F0"/>
    <w:rsid w:val="00443803"/>
    <w:rsid w:val="004438CF"/>
    <w:rsid w:val="0044398F"/>
    <w:rsid w:val="004439BE"/>
    <w:rsid w:val="004439BF"/>
    <w:rsid w:val="00443BFF"/>
    <w:rsid w:val="00443C2A"/>
    <w:rsid w:val="00443D1B"/>
    <w:rsid w:val="00443D5B"/>
    <w:rsid w:val="00443D82"/>
    <w:rsid w:val="00443E57"/>
    <w:rsid w:val="00443EC5"/>
    <w:rsid w:val="004440EC"/>
    <w:rsid w:val="00444101"/>
    <w:rsid w:val="00444346"/>
    <w:rsid w:val="00444424"/>
    <w:rsid w:val="0044443D"/>
    <w:rsid w:val="00444508"/>
    <w:rsid w:val="0044459D"/>
    <w:rsid w:val="004445CD"/>
    <w:rsid w:val="004446EA"/>
    <w:rsid w:val="004448B1"/>
    <w:rsid w:val="0044490B"/>
    <w:rsid w:val="004449C0"/>
    <w:rsid w:val="004449D6"/>
    <w:rsid w:val="00444C32"/>
    <w:rsid w:val="00444C4C"/>
    <w:rsid w:val="00444C79"/>
    <w:rsid w:val="00444D51"/>
    <w:rsid w:val="00444D74"/>
    <w:rsid w:val="00444DBC"/>
    <w:rsid w:val="00444DC6"/>
    <w:rsid w:val="00444DEA"/>
    <w:rsid w:val="00444E0C"/>
    <w:rsid w:val="00444F01"/>
    <w:rsid w:val="00444F18"/>
    <w:rsid w:val="0044515D"/>
    <w:rsid w:val="00445165"/>
    <w:rsid w:val="00445239"/>
    <w:rsid w:val="00445294"/>
    <w:rsid w:val="004452B6"/>
    <w:rsid w:val="00445337"/>
    <w:rsid w:val="0044551C"/>
    <w:rsid w:val="0044559C"/>
    <w:rsid w:val="004455DC"/>
    <w:rsid w:val="004456AE"/>
    <w:rsid w:val="00445724"/>
    <w:rsid w:val="00445A40"/>
    <w:rsid w:val="00445AF8"/>
    <w:rsid w:val="00445BD6"/>
    <w:rsid w:val="00445BF5"/>
    <w:rsid w:val="00445CBF"/>
    <w:rsid w:val="00445D36"/>
    <w:rsid w:val="00445E15"/>
    <w:rsid w:val="00445EA0"/>
    <w:rsid w:val="00445FD3"/>
    <w:rsid w:val="0044612D"/>
    <w:rsid w:val="0044615B"/>
    <w:rsid w:val="0044631B"/>
    <w:rsid w:val="004463AA"/>
    <w:rsid w:val="004463EC"/>
    <w:rsid w:val="00446405"/>
    <w:rsid w:val="0044641B"/>
    <w:rsid w:val="004464DC"/>
    <w:rsid w:val="004465B5"/>
    <w:rsid w:val="0044682B"/>
    <w:rsid w:val="004468CC"/>
    <w:rsid w:val="00446921"/>
    <w:rsid w:val="00446967"/>
    <w:rsid w:val="004469CC"/>
    <w:rsid w:val="00446AC8"/>
    <w:rsid w:val="00446AD0"/>
    <w:rsid w:val="00446CFD"/>
    <w:rsid w:val="00446DA2"/>
    <w:rsid w:val="00446E04"/>
    <w:rsid w:val="00446E85"/>
    <w:rsid w:val="00446F84"/>
    <w:rsid w:val="00446FBE"/>
    <w:rsid w:val="004470FB"/>
    <w:rsid w:val="00447126"/>
    <w:rsid w:val="0044722B"/>
    <w:rsid w:val="0044723E"/>
    <w:rsid w:val="00447278"/>
    <w:rsid w:val="00447361"/>
    <w:rsid w:val="0044747D"/>
    <w:rsid w:val="00447496"/>
    <w:rsid w:val="004474B8"/>
    <w:rsid w:val="004474C1"/>
    <w:rsid w:val="004474D7"/>
    <w:rsid w:val="0044752A"/>
    <w:rsid w:val="0044753A"/>
    <w:rsid w:val="0044755E"/>
    <w:rsid w:val="0044769C"/>
    <w:rsid w:val="00447789"/>
    <w:rsid w:val="00447991"/>
    <w:rsid w:val="004479D9"/>
    <w:rsid w:val="00447B14"/>
    <w:rsid w:val="00447B39"/>
    <w:rsid w:val="00447B5E"/>
    <w:rsid w:val="00447BCD"/>
    <w:rsid w:val="00447CEF"/>
    <w:rsid w:val="00447E2E"/>
    <w:rsid w:val="00447EE6"/>
    <w:rsid w:val="00447F1D"/>
    <w:rsid w:val="00447F94"/>
    <w:rsid w:val="0045002F"/>
    <w:rsid w:val="00450040"/>
    <w:rsid w:val="0045005A"/>
    <w:rsid w:val="0045006B"/>
    <w:rsid w:val="004500C8"/>
    <w:rsid w:val="0045013F"/>
    <w:rsid w:val="004502D5"/>
    <w:rsid w:val="00450552"/>
    <w:rsid w:val="004506B4"/>
    <w:rsid w:val="00450715"/>
    <w:rsid w:val="00450962"/>
    <w:rsid w:val="00450ABF"/>
    <w:rsid w:val="00450B27"/>
    <w:rsid w:val="00450B91"/>
    <w:rsid w:val="00450C65"/>
    <w:rsid w:val="00450D15"/>
    <w:rsid w:val="00450DC8"/>
    <w:rsid w:val="00450F09"/>
    <w:rsid w:val="004510A7"/>
    <w:rsid w:val="004511EB"/>
    <w:rsid w:val="004512F1"/>
    <w:rsid w:val="004514F4"/>
    <w:rsid w:val="00451539"/>
    <w:rsid w:val="004515D0"/>
    <w:rsid w:val="004515DE"/>
    <w:rsid w:val="004515DF"/>
    <w:rsid w:val="00451607"/>
    <w:rsid w:val="00451702"/>
    <w:rsid w:val="00451744"/>
    <w:rsid w:val="0045177C"/>
    <w:rsid w:val="004517AA"/>
    <w:rsid w:val="004518AF"/>
    <w:rsid w:val="00451AAC"/>
    <w:rsid w:val="00451AAF"/>
    <w:rsid w:val="00451ABE"/>
    <w:rsid w:val="00451B26"/>
    <w:rsid w:val="00451BFF"/>
    <w:rsid w:val="00451D10"/>
    <w:rsid w:val="00451D2A"/>
    <w:rsid w:val="00451D91"/>
    <w:rsid w:val="00451E14"/>
    <w:rsid w:val="00451E3B"/>
    <w:rsid w:val="00452109"/>
    <w:rsid w:val="004521D3"/>
    <w:rsid w:val="004522CB"/>
    <w:rsid w:val="004522F5"/>
    <w:rsid w:val="004523D6"/>
    <w:rsid w:val="00452548"/>
    <w:rsid w:val="00452553"/>
    <w:rsid w:val="004527D2"/>
    <w:rsid w:val="00452838"/>
    <w:rsid w:val="004529B6"/>
    <w:rsid w:val="00452A14"/>
    <w:rsid w:val="00452A54"/>
    <w:rsid w:val="00452B55"/>
    <w:rsid w:val="00452BAA"/>
    <w:rsid w:val="00452C47"/>
    <w:rsid w:val="00452C72"/>
    <w:rsid w:val="00452D02"/>
    <w:rsid w:val="00452EAC"/>
    <w:rsid w:val="00452F96"/>
    <w:rsid w:val="00453033"/>
    <w:rsid w:val="00453189"/>
    <w:rsid w:val="004532DB"/>
    <w:rsid w:val="004532F5"/>
    <w:rsid w:val="00453379"/>
    <w:rsid w:val="004534AE"/>
    <w:rsid w:val="004534B2"/>
    <w:rsid w:val="004534D6"/>
    <w:rsid w:val="00453505"/>
    <w:rsid w:val="00453771"/>
    <w:rsid w:val="004537DA"/>
    <w:rsid w:val="00453858"/>
    <w:rsid w:val="004538BA"/>
    <w:rsid w:val="00453907"/>
    <w:rsid w:val="00453936"/>
    <w:rsid w:val="004539E1"/>
    <w:rsid w:val="00453BFA"/>
    <w:rsid w:val="00453C9F"/>
    <w:rsid w:val="00453D71"/>
    <w:rsid w:val="0045412C"/>
    <w:rsid w:val="0045429D"/>
    <w:rsid w:val="00454514"/>
    <w:rsid w:val="004545CF"/>
    <w:rsid w:val="00454669"/>
    <w:rsid w:val="00454792"/>
    <w:rsid w:val="0045486D"/>
    <w:rsid w:val="00454A4E"/>
    <w:rsid w:val="00454B08"/>
    <w:rsid w:val="00454BDF"/>
    <w:rsid w:val="00454D5C"/>
    <w:rsid w:val="00454E04"/>
    <w:rsid w:val="00454E88"/>
    <w:rsid w:val="00454EA6"/>
    <w:rsid w:val="00454F47"/>
    <w:rsid w:val="00454FCE"/>
    <w:rsid w:val="00454FDC"/>
    <w:rsid w:val="004550DD"/>
    <w:rsid w:val="00455112"/>
    <w:rsid w:val="0045518C"/>
    <w:rsid w:val="00455397"/>
    <w:rsid w:val="00455490"/>
    <w:rsid w:val="004554A7"/>
    <w:rsid w:val="004556CB"/>
    <w:rsid w:val="00455915"/>
    <w:rsid w:val="0045593C"/>
    <w:rsid w:val="00455C33"/>
    <w:rsid w:val="00455CCC"/>
    <w:rsid w:val="00455DAD"/>
    <w:rsid w:val="00455E77"/>
    <w:rsid w:val="004560F4"/>
    <w:rsid w:val="004561C9"/>
    <w:rsid w:val="00456275"/>
    <w:rsid w:val="0045658E"/>
    <w:rsid w:val="0045667F"/>
    <w:rsid w:val="004567CA"/>
    <w:rsid w:val="00456804"/>
    <w:rsid w:val="0045695A"/>
    <w:rsid w:val="0045695C"/>
    <w:rsid w:val="004569A8"/>
    <w:rsid w:val="00456EB1"/>
    <w:rsid w:val="00456F16"/>
    <w:rsid w:val="00456F3B"/>
    <w:rsid w:val="00456F3C"/>
    <w:rsid w:val="00456F46"/>
    <w:rsid w:val="00457035"/>
    <w:rsid w:val="00457126"/>
    <w:rsid w:val="004571D8"/>
    <w:rsid w:val="004574AE"/>
    <w:rsid w:val="00457654"/>
    <w:rsid w:val="0045777A"/>
    <w:rsid w:val="0045782F"/>
    <w:rsid w:val="004579AD"/>
    <w:rsid w:val="00457A2F"/>
    <w:rsid w:val="00457B47"/>
    <w:rsid w:val="00457BCE"/>
    <w:rsid w:val="00457C50"/>
    <w:rsid w:val="00457CC9"/>
    <w:rsid w:val="00457DB2"/>
    <w:rsid w:val="00457EE9"/>
    <w:rsid w:val="00457F2F"/>
    <w:rsid w:val="00457F64"/>
    <w:rsid w:val="004601C5"/>
    <w:rsid w:val="004602FB"/>
    <w:rsid w:val="004604B7"/>
    <w:rsid w:val="0046050E"/>
    <w:rsid w:val="004605C8"/>
    <w:rsid w:val="004606EA"/>
    <w:rsid w:val="004607B5"/>
    <w:rsid w:val="004608DE"/>
    <w:rsid w:val="0046091B"/>
    <w:rsid w:val="00460A72"/>
    <w:rsid w:val="00460BE2"/>
    <w:rsid w:val="00460C43"/>
    <w:rsid w:val="00460D4B"/>
    <w:rsid w:val="00460EFE"/>
    <w:rsid w:val="00461039"/>
    <w:rsid w:val="0046106A"/>
    <w:rsid w:val="004610DE"/>
    <w:rsid w:val="00461145"/>
    <w:rsid w:val="0046114B"/>
    <w:rsid w:val="00461167"/>
    <w:rsid w:val="00461316"/>
    <w:rsid w:val="00461597"/>
    <w:rsid w:val="004618A5"/>
    <w:rsid w:val="004618BD"/>
    <w:rsid w:val="004618C9"/>
    <w:rsid w:val="004618F9"/>
    <w:rsid w:val="00461A0A"/>
    <w:rsid w:val="00461A33"/>
    <w:rsid w:val="00461A44"/>
    <w:rsid w:val="00461B9D"/>
    <w:rsid w:val="00461BBA"/>
    <w:rsid w:val="00461CD1"/>
    <w:rsid w:val="00461D48"/>
    <w:rsid w:val="00461D59"/>
    <w:rsid w:val="00461EF7"/>
    <w:rsid w:val="00461F1F"/>
    <w:rsid w:val="00462007"/>
    <w:rsid w:val="004620A6"/>
    <w:rsid w:val="00462214"/>
    <w:rsid w:val="0046225A"/>
    <w:rsid w:val="0046229C"/>
    <w:rsid w:val="0046236A"/>
    <w:rsid w:val="00462558"/>
    <w:rsid w:val="004626B9"/>
    <w:rsid w:val="004628E7"/>
    <w:rsid w:val="00462904"/>
    <w:rsid w:val="004629ED"/>
    <w:rsid w:val="00462A80"/>
    <w:rsid w:val="00462A9F"/>
    <w:rsid w:val="00462B2B"/>
    <w:rsid w:val="00462BC6"/>
    <w:rsid w:val="00462C57"/>
    <w:rsid w:val="00462CA3"/>
    <w:rsid w:val="00462DA7"/>
    <w:rsid w:val="00462DEC"/>
    <w:rsid w:val="00462FF7"/>
    <w:rsid w:val="00463079"/>
    <w:rsid w:val="004630E5"/>
    <w:rsid w:val="00463236"/>
    <w:rsid w:val="00463254"/>
    <w:rsid w:val="00463301"/>
    <w:rsid w:val="00463370"/>
    <w:rsid w:val="0046338E"/>
    <w:rsid w:val="0046340B"/>
    <w:rsid w:val="0046348C"/>
    <w:rsid w:val="004635A2"/>
    <w:rsid w:val="004635C7"/>
    <w:rsid w:val="004635F3"/>
    <w:rsid w:val="004636F5"/>
    <w:rsid w:val="0046372A"/>
    <w:rsid w:val="004638F4"/>
    <w:rsid w:val="00463A3E"/>
    <w:rsid w:val="00463A6E"/>
    <w:rsid w:val="00463C67"/>
    <w:rsid w:val="00463C8E"/>
    <w:rsid w:val="00463CBF"/>
    <w:rsid w:val="00463EB9"/>
    <w:rsid w:val="00463FDD"/>
    <w:rsid w:val="00464122"/>
    <w:rsid w:val="004641C2"/>
    <w:rsid w:val="004641D2"/>
    <w:rsid w:val="00464402"/>
    <w:rsid w:val="004644C0"/>
    <w:rsid w:val="00464822"/>
    <w:rsid w:val="0046497E"/>
    <w:rsid w:val="004649A5"/>
    <w:rsid w:val="00464CBE"/>
    <w:rsid w:val="00464D9B"/>
    <w:rsid w:val="00464DD7"/>
    <w:rsid w:val="00464E71"/>
    <w:rsid w:val="00464F8C"/>
    <w:rsid w:val="0046519C"/>
    <w:rsid w:val="00465225"/>
    <w:rsid w:val="00465344"/>
    <w:rsid w:val="00465367"/>
    <w:rsid w:val="004653A8"/>
    <w:rsid w:val="0046544C"/>
    <w:rsid w:val="004656F7"/>
    <w:rsid w:val="00465828"/>
    <w:rsid w:val="00465847"/>
    <w:rsid w:val="004659D2"/>
    <w:rsid w:val="00465A37"/>
    <w:rsid w:val="00465AAC"/>
    <w:rsid w:val="00465AD1"/>
    <w:rsid w:val="00465AEF"/>
    <w:rsid w:val="00465BAC"/>
    <w:rsid w:val="00465C52"/>
    <w:rsid w:val="00465D4D"/>
    <w:rsid w:val="00465F3E"/>
    <w:rsid w:val="0046603A"/>
    <w:rsid w:val="00466253"/>
    <w:rsid w:val="0046630B"/>
    <w:rsid w:val="00466336"/>
    <w:rsid w:val="00466343"/>
    <w:rsid w:val="00466453"/>
    <w:rsid w:val="0046649B"/>
    <w:rsid w:val="004664B2"/>
    <w:rsid w:val="004665B8"/>
    <w:rsid w:val="00466616"/>
    <w:rsid w:val="0046670A"/>
    <w:rsid w:val="0046678D"/>
    <w:rsid w:val="004668A7"/>
    <w:rsid w:val="00466918"/>
    <w:rsid w:val="0046699B"/>
    <w:rsid w:val="00466B46"/>
    <w:rsid w:val="00466C54"/>
    <w:rsid w:val="00466C60"/>
    <w:rsid w:val="00466C74"/>
    <w:rsid w:val="00467041"/>
    <w:rsid w:val="00467096"/>
    <w:rsid w:val="004670A1"/>
    <w:rsid w:val="004670A4"/>
    <w:rsid w:val="0046736C"/>
    <w:rsid w:val="00467394"/>
    <w:rsid w:val="004673FF"/>
    <w:rsid w:val="00467439"/>
    <w:rsid w:val="00467498"/>
    <w:rsid w:val="004675C1"/>
    <w:rsid w:val="00467625"/>
    <w:rsid w:val="00467660"/>
    <w:rsid w:val="0046786B"/>
    <w:rsid w:val="004678E5"/>
    <w:rsid w:val="00467AC9"/>
    <w:rsid w:val="00467B92"/>
    <w:rsid w:val="00467C3F"/>
    <w:rsid w:val="00467C5F"/>
    <w:rsid w:val="00467DFD"/>
    <w:rsid w:val="00467EA5"/>
    <w:rsid w:val="00467EC8"/>
    <w:rsid w:val="0047013A"/>
    <w:rsid w:val="004701D1"/>
    <w:rsid w:val="0047027C"/>
    <w:rsid w:val="004702CD"/>
    <w:rsid w:val="00470357"/>
    <w:rsid w:val="0047037F"/>
    <w:rsid w:val="00470392"/>
    <w:rsid w:val="004703C9"/>
    <w:rsid w:val="004704DD"/>
    <w:rsid w:val="0047051D"/>
    <w:rsid w:val="00470679"/>
    <w:rsid w:val="004706DB"/>
    <w:rsid w:val="00470702"/>
    <w:rsid w:val="004707E8"/>
    <w:rsid w:val="0047095A"/>
    <w:rsid w:val="0047098C"/>
    <w:rsid w:val="00470A23"/>
    <w:rsid w:val="00470A3C"/>
    <w:rsid w:val="00470A9C"/>
    <w:rsid w:val="00470B46"/>
    <w:rsid w:val="00470B75"/>
    <w:rsid w:val="00470CDD"/>
    <w:rsid w:val="00470CF2"/>
    <w:rsid w:val="00470D38"/>
    <w:rsid w:val="00470EA5"/>
    <w:rsid w:val="00470ED1"/>
    <w:rsid w:val="00470FE3"/>
    <w:rsid w:val="00470FF3"/>
    <w:rsid w:val="004710F0"/>
    <w:rsid w:val="004711A4"/>
    <w:rsid w:val="00471243"/>
    <w:rsid w:val="00471433"/>
    <w:rsid w:val="004714CD"/>
    <w:rsid w:val="0047161A"/>
    <w:rsid w:val="0047173E"/>
    <w:rsid w:val="0047180B"/>
    <w:rsid w:val="0047181C"/>
    <w:rsid w:val="00471BAA"/>
    <w:rsid w:val="00471C9F"/>
    <w:rsid w:val="00471D37"/>
    <w:rsid w:val="00471D88"/>
    <w:rsid w:val="00471ECA"/>
    <w:rsid w:val="00471F72"/>
    <w:rsid w:val="00471F9C"/>
    <w:rsid w:val="00471FB1"/>
    <w:rsid w:val="00472141"/>
    <w:rsid w:val="0047221A"/>
    <w:rsid w:val="00472440"/>
    <w:rsid w:val="004725C0"/>
    <w:rsid w:val="004725FC"/>
    <w:rsid w:val="0047261B"/>
    <w:rsid w:val="00472673"/>
    <w:rsid w:val="0047277B"/>
    <w:rsid w:val="00472A07"/>
    <w:rsid w:val="00472A0B"/>
    <w:rsid w:val="00472A6A"/>
    <w:rsid w:val="00472D32"/>
    <w:rsid w:val="00472D3C"/>
    <w:rsid w:val="00472FDB"/>
    <w:rsid w:val="00473132"/>
    <w:rsid w:val="004731FB"/>
    <w:rsid w:val="0047331F"/>
    <w:rsid w:val="0047332C"/>
    <w:rsid w:val="004734F6"/>
    <w:rsid w:val="0047358A"/>
    <w:rsid w:val="0047376C"/>
    <w:rsid w:val="004737E6"/>
    <w:rsid w:val="00473831"/>
    <w:rsid w:val="00473865"/>
    <w:rsid w:val="004739E3"/>
    <w:rsid w:val="00473A4F"/>
    <w:rsid w:val="00473B38"/>
    <w:rsid w:val="00473D84"/>
    <w:rsid w:val="00473DE0"/>
    <w:rsid w:val="00473E1B"/>
    <w:rsid w:val="00473F1C"/>
    <w:rsid w:val="00473F3D"/>
    <w:rsid w:val="00473F4B"/>
    <w:rsid w:val="0047402F"/>
    <w:rsid w:val="004740B0"/>
    <w:rsid w:val="0047425F"/>
    <w:rsid w:val="0047439E"/>
    <w:rsid w:val="00474616"/>
    <w:rsid w:val="00474632"/>
    <w:rsid w:val="0047468B"/>
    <w:rsid w:val="00474828"/>
    <w:rsid w:val="00474898"/>
    <w:rsid w:val="004748BB"/>
    <w:rsid w:val="004748E3"/>
    <w:rsid w:val="00474A92"/>
    <w:rsid w:val="00474B86"/>
    <w:rsid w:val="00474BCC"/>
    <w:rsid w:val="00474C74"/>
    <w:rsid w:val="00474D17"/>
    <w:rsid w:val="00475012"/>
    <w:rsid w:val="00475072"/>
    <w:rsid w:val="00475226"/>
    <w:rsid w:val="004753B8"/>
    <w:rsid w:val="004753FB"/>
    <w:rsid w:val="0047575A"/>
    <w:rsid w:val="00475794"/>
    <w:rsid w:val="00475798"/>
    <w:rsid w:val="00475827"/>
    <w:rsid w:val="004758DA"/>
    <w:rsid w:val="004758DD"/>
    <w:rsid w:val="0047591A"/>
    <w:rsid w:val="00475998"/>
    <w:rsid w:val="004759D1"/>
    <w:rsid w:val="004759D2"/>
    <w:rsid w:val="00475A63"/>
    <w:rsid w:val="00475AB0"/>
    <w:rsid w:val="00475BB8"/>
    <w:rsid w:val="00475C41"/>
    <w:rsid w:val="00475DD4"/>
    <w:rsid w:val="00475DF2"/>
    <w:rsid w:val="00475F26"/>
    <w:rsid w:val="00475FCC"/>
    <w:rsid w:val="0047602B"/>
    <w:rsid w:val="00476066"/>
    <w:rsid w:val="00476088"/>
    <w:rsid w:val="00476095"/>
    <w:rsid w:val="004762B8"/>
    <w:rsid w:val="00476391"/>
    <w:rsid w:val="004763EF"/>
    <w:rsid w:val="00476415"/>
    <w:rsid w:val="0047642A"/>
    <w:rsid w:val="004764C7"/>
    <w:rsid w:val="0047654E"/>
    <w:rsid w:val="004766E2"/>
    <w:rsid w:val="00476748"/>
    <w:rsid w:val="004767F4"/>
    <w:rsid w:val="0047691D"/>
    <w:rsid w:val="00476A92"/>
    <w:rsid w:val="00476AB0"/>
    <w:rsid w:val="00476BA4"/>
    <w:rsid w:val="00476D91"/>
    <w:rsid w:val="00476D9D"/>
    <w:rsid w:val="00476EAD"/>
    <w:rsid w:val="00476F04"/>
    <w:rsid w:val="00476F0A"/>
    <w:rsid w:val="00476F8C"/>
    <w:rsid w:val="00476FA4"/>
    <w:rsid w:val="004771C3"/>
    <w:rsid w:val="0047722E"/>
    <w:rsid w:val="004772C9"/>
    <w:rsid w:val="00477334"/>
    <w:rsid w:val="004773A7"/>
    <w:rsid w:val="0047740C"/>
    <w:rsid w:val="004774DB"/>
    <w:rsid w:val="0047753B"/>
    <w:rsid w:val="00477556"/>
    <w:rsid w:val="004775C2"/>
    <w:rsid w:val="00477632"/>
    <w:rsid w:val="0047773E"/>
    <w:rsid w:val="0047789B"/>
    <w:rsid w:val="00477916"/>
    <w:rsid w:val="004779B3"/>
    <w:rsid w:val="004779FE"/>
    <w:rsid w:val="00477ADE"/>
    <w:rsid w:val="00477B1E"/>
    <w:rsid w:val="00477B1F"/>
    <w:rsid w:val="00477DF4"/>
    <w:rsid w:val="00477E01"/>
    <w:rsid w:val="00477F55"/>
    <w:rsid w:val="004800B3"/>
    <w:rsid w:val="00480288"/>
    <w:rsid w:val="004802A4"/>
    <w:rsid w:val="004803C4"/>
    <w:rsid w:val="004804AF"/>
    <w:rsid w:val="004804B8"/>
    <w:rsid w:val="0048054F"/>
    <w:rsid w:val="004805C7"/>
    <w:rsid w:val="004805CC"/>
    <w:rsid w:val="0048068C"/>
    <w:rsid w:val="004806F8"/>
    <w:rsid w:val="00480782"/>
    <w:rsid w:val="00480857"/>
    <w:rsid w:val="004808B2"/>
    <w:rsid w:val="00480AC4"/>
    <w:rsid w:val="00480CA5"/>
    <w:rsid w:val="00480CD8"/>
    <w:rsid w:val="00480D3F"/>
    <w:rsid w:val="00480DDB"/>
    <w:rsid w:val="00480EEC"/>
    <w:rsid w:val="00480F22"/>
    <w:rsid w:val="00480F93"/>
    <w:rsid w:val="00480F98"/>
    <w:rsid w:val="00480FCD"/>
    <w:rsid w:val="00480FD1"/>
    <w:rsid w:val="00481076"/>
    <w:rsid w:val="00481242"/>
    <w:rsid w:val="00481328"/>
    <w:rsid w:val="0048158B"/>
    <w:rsid w:val="00481723"/>
    <w:rsid w:val="0048178E"/>
    <w:rsid w:val="004818E7"/>
    <w:rsid w:val="00481962"/>
    <w:rsid w:val="004819CA"/>
    <w:rsid w:val="004819D7"/>
    <w:rsid w:val="00481BF8"/>
    <w:rsid w:val="00481C46"/>
    <w:rsid w:val="00481D81"/>
    <w:rsid w:val="00481D84"/>
    <w:rsid w:val="00481EA0"/>
    <w:rsid w:val="00481F47"/>
    <w:rsid w:val="00482005"/>
    <w:rsid w:val="004820D4"/>
    <w:rsid w:val="00482237"/>
    <w:rsid w:val="004822A5"/>
    <w:rsid w:val="00482338"/>
    <w:rsid w:val="0048237A"/>
    <w:rsid w:val="0048255C"/>
    <w:rsid w:val="0048273D"/>
    <w:rsid w:val="00482851"/>
    <w:rsid w:val="00482877"/>
    <w:rsid w:val="00482881"/>
    <w:rsid w:val="00482896"/>
    <w:rsid w:val="004828C6"/>
    <w:rsid w:val="004829BE"/>
    <w:rsid w:val="00482B14"/>
    <w:rsid w:val="00482B42"/>
    <w:rsid w:val="00482B7B"/>
    <w:rsid w:val="00482BDE"/>
    <w:rsid w:val="00482BF9"/>
    <w:rsid w:val="00482BFA"/>
    <w:rsid w:val="00482C4C"/>
    <w:rsid w:val="00482D6C"/>
    <w:rsid w:val="00482E06"/>
    <w:rsid w:val="00482EFD"/>
    <w:rsid w:val="0048300B"/>
    <w:rsid w:val="0048300D"/>
    <w:rsid w:val="00483057"/>
    <w:rsid w:val="004830A4"/>
    <w:rsid w:val="00483192"/>
    <w:rsid w:val="00483193"/>
    <w:rsid w:val="0048325C"/>
    <w:rsid w:val="004833A4"/>
    <w:rsid w:val="0048342C"/>
    <w:rsid w:val="0048343C"/>
    <w:rsid w:val="00483566"/>
    <w:rsid w:val="004835E1"/>
    <w:rsid w:val="00483617"/>
    <w:rsid w:val="004836A3"/>
    <w:rsid w:val="004837C2"/>
    <w:rsid w:val="004837E8"/>
    <w:rsid w:val="00483863"/>
    <w:rsid w:val="004838B5"/>
    <w:rsid w:val="00483A39"/>
    <w:rsid w:val="00483AD7"/>
    <w:rsid w:val="00483B70"/>
    <w:rsid w:val="00483B94"/>
    <w:rsid w:val="00483B9A"/>
    <w:rsid w:val="00483BE9"/>
    <w:rsid w:val="00483D3A"/>
    <w:rsid w:val="00484039"/>
    <w:rsid w:val="00484183"/>
    <w:rsid w:val="004842E4"/>
    <w:rsid w:val="0048431B"/>
    <w:rsid w:val="004843EA"/>
    <w:rsid w:val="00484608"/>
    <w:rsid w:val="0048460E"/>
    <w:rsid w:val="004847AF"/>
    <w:rsid w:val="004847E0"/>
    <w:rsid w:val="004849C0"/>
    <w:rsid w:val="00484B68"/>
    <w:rsid w:val="00484BA6"/>
    <w:rsid w:val="00484BFE"/>
    <w:rsid w:val="00484C03"/>
    <w:rsid w:val="00484C46"/>
    <w:rsid w:val="00484E01"/>
    <w:rsid w:val="00484E95"/>
    <w:rsid w:val="00484EAF"/>
    <w:rsid w:val="00485027"/>
    <w:rsid w:val="0048513E"/>
    <w:rsid w:val="004851CC"/>
    <w:rsid w:val="00485327"/>
    <w:rsid w:val="00485388"/>
    <w:rsid w:val="00485570"/>
    <w:rsid w:val="004855BF"/>
    <w:rsid w:val="00485731"/>
    <w:rsid w:val="00485821"/>
    <w:rsid w:val="00485826"/>
    <w:rsid w:val="004858A1"/>
    <w:rsid w:val="004858F8"/>
    <w:rsid w:val="00485A5E"/>
    <w:rsid w:val="00485B5F"/>
    <w:rsid w:val="00485B66"/>
    <w:rsid w:val="00485CD7"/>
    <w:rsid w:val="00485DA3"/>
    <w:rsid w:val="00485E05"/>
    <w:rsid w:val="00485E13"/>
    <w:rsid w:val="00485FAC"/>
    <w:rsid w:val="00486489"/>
    <w:rsid w:val="004864E6"/>
    <w:rsid w:val="00486537"/>
    <w:rsid w:val="0048660D"/>
    <w:rsid w:val="004866CA"/>
    <w:rsid w:val="0048679F"/>
    <w:rsid w:val="004867DE"/>
    <w:rsid w:val="00486805"/>
    <w:rsid w:val="00486C0A"/>
    <w:rsid w:val="00486D5F"/>
    <w:rsid w:val="00486E75"/>
    <w:rsid w:val="00486FA8"/>
    <w:rsid w:val="0048700A"/>
    <w:rsid w:val="004870B7"/>
    <w:rsid w:val="00487114"/>
    <w:rsid w:val="0048718B"/>
    <w:rsid w:val="004871A4"/>
    <w:rsid w:val="0048729A"/>
    <w:rsid w:val="0048770D"/>
    <w:rsid w:val="00487746"/>
    <w:rsid w:val="004878A7"/>
    <w:rsid w:val="00487A99"/>
    <w:rsid w:val="00487BC6"/>
    <w:rsid w:val="00487C74"/>
    <w:rsid w:val="00487D20"/>
    <w:rsid w:val="00487DC2"/>
    <w:rsid w:val="00487DF5"/>
    <w:rsid w:val="00487E63"/>
    <w:rsid w:val="00487E74"/>
    <w:rsid w:val="00487FBF"/>
    <w:rsid w:val="0048D088"/>
    <w:rsid w:val="00490024"/>
    <w:rsid w:val="0049032A"/>
    <w:rsid w:val="00490582"/>
    <w:rsid w:val="004905B1"/>
    <w:rsid w:val="00490669"/>
    <w:rsid w:val="00490715"/>
    <w:rsid w:val="00490818"/>
    <w:rsid w:val="004908E6"/>
    <w:rsid w:val="00490968"/>
    <w:rsid w:val="00490A53"/>
    <w:rsid w:val="00490A96"/>
    <w:rsid w:val="00490AB6"/>
    <w:rsid w:val="00490AE6"/>
    <w:rsid w:val="00490C20"/>
    <w:rsid w:val="00490C29"/>
    <w:rsid w:val="00490DC1"/>
    <w:rsid w:val="00490E63"/>
    <w:rsid w:val="00490F34"/>
    <w:rsid w:val="00490F85"/>
    <w:rsid w:val="0049108D"/>
    <w:rsid w:val="004911A1"/>
    <w:rsid w:val="004914AA"/>
    <w:rsid w:val="004914D1"/>
    <w:rsid w:val="00491504"/>
    <w:rsid w:val="004916EB"/>
    <w:rsid w:val="0049181D"/>
    <w:rsid w:val="00491856"/>
    <w:rsid w:val="0049187C"/>
    <w:rsid w:val="00491899"/>
    <w:rsid w:val="004918CF"/>
    <w:rsid w:val="004918D1"/>
    <w:rsid w:val="0049193A"/>
    <w:rsid w:val="00491A11"/>
    <w:rsid w:val="00491A5A"/>
    <w:rsid w:val="00491B12"/>
    <w:rsid w:val="00491BCE"/>
    <w:rsid w:val="00491D1F"/>
    <w:rsid w:val="00491F2E"/>
    <w:rsid w:val="0049209D"/>
    <w:rsid w:val="0049214D"/>
    <w:rsid w:val="00492254"/>
    <w:rsid w:val="0049243C"/>
    <w:rsid w:val="004924AC"/>
    <w:rsid w:val="004925A1"/>
    <w:rsid w:val="004925A6"/>
    <w:rsid w:val="004926E5"/>
    <w:rsid w:val="00492781"/>
    <w:rsid w:val="004929BB"/>
    <w:rsid w:val="00492A6E"/>
    <w:rsid w:val="00492B98"/>
    <w:rsid w:val="00492C9E"/>
    <w:rsid w:val="00492D47"/>
    <w:rsid w:val="00492E15"/>
    <w:rsid w:val="00492E9E"/>
    <w:rsid w:val="00492F4B"/>
    <w:rsid w:val="00492F5E"/>
    <w:rsid w:val="00492F66"/>
    <w:rsid w:val="00492FFE"/>
    <w:rsid w:val="00493162"/>
    <w:rsid w:val="00493237"/>
    <w:rsid w:val="004932B3"/>
    <w:rsid w:val="004932B8"/>
    <w:rsid w:val="00493348"/>
    <w:rsid w:val="00493381"/>
    <w:rsid w:val="00493388"/>
    <w:rsid w:val="004934BF"/>
    <w:rsid w:val="004934D6"/>
    <w:rsid w:val="00493600"/>
    <w:rsid w:val="0049361B"/>
    <w:rsid w:val="004936F8"/>
    <w:rsid w:val="004937A2"/>
    <w:rsid w:val="00493811"/>
    <w:rsid w:val="00493851"/>
    <w:rsid w:val="004938F3"/>
    <w:rsid w:val="004938F6"/>
    <w:rsid w:val="0049398B"/>
    <w:rsid w:val="00493A4E"/>
    <w:rsid w:val="00493AC0"/>
    <w:rsid w:val="00493C85"/>
    <w:rsid w:val="00493D0C"/>
    <w:rsid w:val="00493D12"/>
    <w:rsid w:val="00493DAE"/>
    <w:rsid w:val="00493DCE"/>
    <w:rsid w:val="00493E32"/>
    <w:rsid w:val="00493E76"/>
    <w:rsid w:val="00493E96"/>
    <w:rsid w:val="00493F97"/>
    <w:rsid w:val="00493FA8"/>
    <w:rsid w:val="0049401E"/>
    <w:rsid w:val="00494073"/>
    <w:rsid w:val="00494193"/>
    <w:rsid w:val="004941F5"/>
    <w:rsid w:val="004942E9"/>
    <w:rsid w:val="0049431D"/>
    <w:rsid w:val="0049456D"/>
    <w:rsid w:val="0049461B"/>
    <w:rsid w:val="0049480A"/>
    <w:rsid w:val="0049483D"/>
    <w:rsid w:val="00494A95"/>
    <w:rsid w:val="00494BE2"/>
    <w:rsid w:val="00494C81"/>
    <w:rsid w:val="00494D5F"/>
    <w:rsid w:val="00495204"/>
    <w:rsid w:val="00495265"/>
    <w:rsid w:val="004952A0"/>
    <w:rsid w:val="004952BE"/>
    <w:rsid w:val="00495365"/>
    <w:rsid w:val="004953AF"/>
    <w:rsid w:val="004953DB"/>
    <w:rsid w:val="004954BE"/>
    <w:rsid w:val="004956F9"/>
    <w:rsid w:val="00495921"/>
    <w:rsid w:val="00495A1E"/>
    <w:rsid w:val="00495A7C"/>
    <w:rsid w:val="00495DA5"/>
    <w:rsid w:val="00495E8B"/>
    <w:rsid w:val="00495EBB"/>
    <w:rsid w:val="00495FFC"/>
    <w:rsid w:val="00496115"/>
    <w:rsid w:val="0049617E"/>
    <w:rsid w:val="0049622D"/>
    <w:rsid w:val="0049629E"/>
    <w:rsid w:val="004962DA"/>
    <w:rsid w:val="004962E2"/>
    <w:rsid w:val="0049638B"/>
    <w:rsid w:val="00496498"/>
    <w:rsid w:val="00496A17"/>
    <w:rsid w:val="00496A8E"/>
    <w:rsid w:val="00496BB2"/>
    <w:rsid w:val="00496DA0"/>
    <w:rsid w:val="00496DDA"/>
    <w:rsid w:val="0049700A"/>
    <w:rsid w:val="00497072"/>
    <w:rsid w:val="00497098"/>
    <w:rsid w:val="00497100"/>
    <w:rsid w:val="00497148"/>
    <w:rsid w:val="00497274"/>
    <w:rsid w:val="00497309"/>
    <w:rsid w:val="0049746E"/>
    <w:rsid w:val="00497675"/>
    <w:rsid w:val="004976B0"/>
    <w:rsid w:val="00497866"/>
    <w:rsid w:val="0049797E"/>
    <w:rsid w:val="004979B7"/>
    <w:rsid w:val="00497BD6"/>
    <w:rsid w:val="00497C10"/>
    <w:rsid w:val="00497CA6"/>
    <w:rsid w:val="00497F0B"/>
    <w:rsid w:val="00497F4C"/>
    <w:rsid w:val="0049D9A5"/>
    <w:rsid w:val="004A0087"/>
    <w:rsid w:val="004A00FE"/>
    <w:rsid w:val="004A0194"/>
    <w:rsid w:val="004A023D"/>
    <w:rsid w:val="004A02B2"/>
    <w:rsid w:val="004A02D4"/>
    <w:rsid w:val="004A02F8"/>
    <w:rsid w:val="004A0429"/>
    <w:rsid w:val="004A04A4"/>
    <w:rsid w:val="004A04CC"/>
    <w:rsid w:val="004A055D"/>
    <w:rsid w:val="004A070C"/>
    <w:rsid w:val="004A075E"/>
    <w:rsid w:val="004A09F5"/>
    <w:rsid w:val="004A0B64"/>
    <w:rsid w:val="004A0BC3"/>
    <w:rsid w:val="004A0C0C"/>
    <w:rsid w:val="004A0C30"/>
    <w:rsid w:val="004A0C8C"/>
    <w:rsid w:val="004A0DD0"/>
    <w:rsid w:val="004A0E6E"/>
    <w:rsid w:val="004A0E9E"/>
    <w:rsid w:val="004A109C"/>
    <w:rsid w:val="004A120B"/>
    <w:rsid w:val="004A1249"/>
    <w:rsid w:val="004A1349"/>
    <w:rsid w:val="004A13CD"/>
    <w:rsid w:val="004A1436"/>
    <w:rsid w:val="004A14F1"/>
    <w:rsid w:val="004A15D6"/>
    <w:rsid w:val="004A1640"/>
    <w:rsid w:val="004A1644"/>
    <w:rsid w:val="004A1663"/>
    <w:rsid w:val="004A19F1"/>
    <w:rsid w:val="004A1B62"/>
    <w:rsid w:val="004A1BD0"/>
    <w:rsid w:val="004A1C0F"/>
    <w:rsid w:val="004A1CBE"/>
    <w:rsid w:val="004A1CD5"/>
    <w:rsid w:val="004A1D60"/>
    <w:rsid w:val="004A2493"/>
    <w:rsid w:val="004A2682"/>
    <w:rsid w:val="004A269C"/>
    <w:rsid w:val="004A271B"/>
    <w:rsid w:val="004A272D"/>
    <w:rsid w:val="004A2A42"/>
    <w:rsid w:val="004A2A47"/>
    <w:rsid w:val="004A2AB5"/>
    <w:rsid w:val="004A2C63"/>
    <w:rsid w:val="004A2C84"/>
    <w:rsid w:val="004A2C88"/>
    <w:rsid w:val="004A2DF7"/>
    <w:rsid w:val="004A2E70"/>
    <w:rsid w:val="004A2E80"/>
    <w:rsid w:val="004A2F4B"/>
    <w:rsid w:val="004A2F80"/>
    <w:rsid w:val="004A2F94"/>
    <w:rsid w:val="004A3112"/>
    <w:rsid w:val="004A3139"/>
    <w:rsid w:val="004A328F"/>
    <w:rsid w:val="004A336E"/>
    <w:rsid w:val="004A364D"/>
    <w:rsid w:val="004A3666"/>
    <w:rsid w:val="004A36C3"/>
    <w:rsid w:val="004A3795"/>
    <w:rsid w:val="004A3895"/>
    <w:rsid w:val="004A38C0"/>
    <w:rsid w:val="004A3A00"/>
    <w:rsid w:val="004A3AF6"/>
    <w:rsid w:val="004A3DDE"/>
    <w:rsid w:val="004A3DEC"/>
    <w:rsid w:val="004A4319"/>
    <w:rsid w:val="004A44E7"/>
    <w:rsid w:val="004A46B9"/>
    <w:rsid w:val="004A46BD"/>
    <w:rsid w:val="004A4B7D"/>
    <w:rsid w:val="004A4BCD"/>
    <w:rsid w:val="004A4C72"/>
    <w:rsid w:val="004A4CC6"/>
    <w:rsid w:val="004A4CE7"/>
    <w:rsid w:val="004A4D28"/>
    <w:rsid w:val="004A4E7D"/>
    <w:rsid w:val="004A4E95"/>
    <w:rsid w:val="004A4ED0"/>
    <w:rsid w:val="004A4F44"/>
    <w:rsid w:val="004A4F55"/>
    <w:rsid w:val="004A515D"/>
    <w:rsid w:val="004A51B1"/>
    <w:rsid w:val="004A52A1"/>
    <w:rsid w:val="004A530F"/>
    <w:rsid w:val="004A5361"/>
    <w:rsid w:val="004A5558"/>
    <w:rsid w:val="004A5776"/>
    <w:rsid w:val="004A580A"/>
    <w:rsid w:val="004A590A"/>
    <w:rsid w:val="004A591C"/>
    <w:rsid w:val="004A5BD2"/>
    <w:rsid w:val="004A5C35"/>
    <w:rsid w:val="004A5C63"/>
    <w:rsid w:val="004A5CD3"/>
    <w:rsid w:val="004A5DAD"/>
    <w:rsid w:val="004A5DEB"/>
    <w:rsid w:val="004A5E18"/>
    <w:rsid w:val="004A5E37"/>
    <w:rsid w:val="004A5FAE"/>
    <w:rsid w:val="004A60E2"/>
    <w:rsid w:val="004A60EF"/>
    <w:rsid w:val="004A6371"/>
    <w:rsid w:val="004A6445"/>
    <w:rsid w:val="004A645F"/>
    <w:rsid w:val="004A64A5"/>
    <w:rsid w:val="004A64E1"/>
    <w:rsid w:val="004A64FF"/>
    <w:rsid w:val="004A652E"/>
    <w:rsid w:val="004A6554"/>
    <w:rsid w:val="004A6725"/>
    <w:rsid w:val="004A6739"/>
    <w:rsid w:val="004A68C3"/>
    <w:rsid w:val="004A6C68"/>
    <w:rsid w:val="004A6DC9"/>
    <w:rsid w:val="004A6DD4"/>
    <w:rsid w:val="004A6DD9"/>
    <w:rsid w:val="004A6F92"/>
    <w:rsid w:val="004A6FC3"/>
    <w:rsid w:val="004A7048"/>
    <w:rsid w:val="004A7071"/>
    <w:rsid w:val="004A709B"/>
    <w:rsid w:val="004A716D"/>
    <w:rsid w:val="004A720A"/>
    <w:rsid w:val="004A722D"/>
    <w:rsid w:val="004A7375"/>
    <w:rsid w:val="004A73EB"/>
    <w:rsid w:val="004A7472"/>
    <w:rsid w:val="004A74A6"/>
    <w:rsid w:val="004A74F5"/>
    <w:rsid w:val="004A761B"/>
    <w:rsid w:val="004A7646"/>
    <w:rsid w:val="004A76D4"/>
    <w:rsid w:val="004A76DA"/>
    <w:rsid w:val="004A7701"/>
    <w:rsid w:val="004A77CF"/>
    <w:rsid w:val="004A77F4"/>
    <w:rsid w:val="004A788B"/>
    <w:rsid w:val="004A7916"/>
    <w:rsid w:val="004A7970"/>
    <w:rsid w:val="004A7BEA"/>
    <w:rsid w:val="004A7CCB"/>
    <w:rsid w:val="004A7F1B"/>
    <w:rsid w:val="004B01CA"/>
    <w:rsid w:val="004B02BA"/>
    <w:rsid w:val="004B034F"/>
    <w:rsid w:val="004B04E5"/>
    <w:rsid w:val="004B05C5"/>
    <w:rsid w:val="004B05C9"/>
    <w:rsid w:val="004B05D2"/>
    <w:rsid w:val="004B05FA"/>
    <w:rsid w:val="004B0711"/>
    <w:rsid w:val="004B07C1"/>
    <w:rsid w:val="004B0927"/>
    <w:rsid w:val="004B0A2A"/>
    <w:rsid w:val="004B0A76"/>
    <w:rsid w:val="004B0C82"/>
    <w:rsid w:val="004B0CCD"/>
    <w:rsid w:val="004B0E43"/>
    <w:rsid w:val="004B0E8B"/>
    <w:rsid w:val="004B0F26"/>
    <w:rsid w:val="004B0F7A"/>
    <w:rsid w:val="004B10D4"/>
    <w:rsid w:val="004B1100"/>
    <w:rsid w:val="004B110B"/>
    <w:rsid w:val="004B1287"/>
    <w:rsid w:val="004B128C"/>
    <w:rsid w:val="004B142B"/>
    <w:rsid w:val="004B1439"/>
    <w:rsid w:val="004B1466"/>
    <w:rsid w:val="004B154D"/>
    <w:rsid w:val="004B177C"/>
    <w:rsid w:val="004B17D0"/>
    <w:rsid w:val="004B1942"/>
    <w:rsid w:val="004B1D7A"/>
    <w:rsid w:val="004B1DA7"/>
    <w:rsid w:val="004B1E47"/>
    <w:rsid w:val="004B1E8D"/>
    <w:rsid w:val="004B1F7D"/>
    <w:rsid w:val="004B1F93"/>
    <w:rsid w:val="004B20A4"/>
    <w:rsid w:val="004B20F2"/>
    <w:rsid w:val="004B21FD"/>
    <w:rsid w:val="004B22E1"/>
    <w:rsid w:val="004B23E0"/>
    <w:rsid w:val="004B24D1"/>
    <w:rsid w:val="004B25E6"/>
    <w:rsid w:val="004B2722"/>
    <w:rsid w:val="004B27CC"/>
    <w:rsid w:val="004B27D1"/>
    <w:rsid w:val="004B2B78"/>
    <w:rsid w:val="004B2BA3"/>
    <w:rsid w:val="004B2CD3"/>
    <w:rsid w:val="004B2E1A"/>
    <w:rsid w:val="004B31CF"/>
    <w:rsid w:val="004B3309"/>
    <w:rsid w:val="004B332D"/>
    <w:rsid w:val="004B33B1"/>
    <w:rsid w:val="004B33C7"/>
    <w:rsid w:val="004B33F7"/>
    <w:rsid w:val="004B34B4"/>
    <w:rsid w:val="004B34C3"/>
    <w:rsid w:val="004B34C8"/>
    <w:rsid w:val="004B357C"/>
    <w:rsid w:val="004B36CE"/>
    <w:rsid w:val="004B36D9"/>
    <w:rsid w:val="004B3719"/>
    <w:rsid w:val="004B3B4C"/>
    <w:rsid w:val="004B3B9D"/>
    <w:rsid w:val="004B3C94"/>
    <w:rsid w:val="004B3D7E"/>
    <w:rsid w:val="004B3D95"/>
    <w:rsid w:val="004B3E5C"/>
    <w:rsid w:val="004B42C6"/>
    <w:rsid w:val="004B4323"/>
    <w:rsid w:val="004B433C"/>
    <w:rsid w:val="004B435D"/>
    <w:rsid w:val="004B4378"/>
    <w:rsid w:val="004B44F6"/>
    <w:rsid w:val="004B453C"/>
    <w:rsid w:val="004B4569"/>
    <w:rsid w:val="004B45A0"/>
    <w:rsid w:val="004B45C3"/>
    <w:rsid w:val="004B46C4"/>
    <w:rsid w:val="004B46E0"/>
    <w:rsid w:val="004B47F6"/>
    <w:rsid w:val="004B48BC"/>
    <w:rsid w:val="004B4926"/>
    <w:rsid w:val="004B493D"/>
    <w:rsid w:val="004B49BD"/>
    <w:rsid w:val="004B4ABD"/>
    <w:rsid w:val="004B4C98"/>
    <w:rsid w:val="004B4CDE"/>
    <w:rsid w:val="004B4EC5"/>
    <w:rsid w:val="004B4F11"/>
    <w:rsid w:val="004B4FA7"/>
    <w:rsid w:val="004B4FBA"/>
    <w:rsid w:val="004B51F4"/>
    <w:rsid w:val="004B537D"/>
    <w:rsid w:val="004B53A4"/>
    <w:rsid w:val="004B53CE"/>
    <w:rsid w:val="004B55A8"/>
    <w:rsid w:val="004B565F"/>
    <w:rsid w:val="004B57E8"/>
    <w:rsid w:val="004B5875"/>
    <w:rsid w:val="004B5903"/>
    <w:rsid w:val="004B5ABD"/>
    <w:rsid w:val="004B5B56"/>
    <w:rsid w:val="004B5CF9"/>
    <w:rsid w:val="004B5EEF"/>
    <w:rsid w:val="004B5FA1"/>
    <w:rsid w:val="004B604F"/>
    <w:rsid w:val="004B6224"/>
    <w:rsid w:val="004B6403"/>
    <w:rsid w:val="004B6449"/>
    <w:rsid w:val="004B6479"/>
    <w:rsid w:val="004B657A"/>
    <w:rsid w:val="004B6629"/>
    <w:rsid w:val="004B675C"/>
    <w:rsid w:val="004B681D"/>
    <w:rsid w:val="004B6836"/>
    <w:rsid w:val="004B6AC5"/>
    <w:rsid w:val="004B6B79"/>
    <w:rsid w:val="004B6BFA"/>
    <w:rsid w:val="004B6C15"/>
    <w:rsid w:val="004B6D03"/>
    <w:rsid w:val="004B6DD1"/>
    <w:rsid w:val="004B6E99"/>
    <w:rsid w:val="004B6F2F"/>
    <w:rsid w:val="004B6F3B"/>
    <w:rsid w:val="004B7301"/>
    <w:rsid w:val="004B7337"/>
    <w:rsid w:val="004B73B3"/>
    <w:rsid w:val="004B7505"/>
    <w:rsid w:val="004B76D8"/>
    <w:rsid w:val="004B778E"/>
    <w:rsid w:val="004B77EA"/>
    <w:rsid w:val="004B7822"/>
    <w:rsid w:val="004B78B7"/>
    <w:rsid w:val="004B7910"/>
    <w:rsid w:val="004B794C"/>
    <w:rsid w:val="004B795F"/>
    <w:rsid w:val="004B7A6A"/>
    <w:rsid w:val="004B7A74"/>
    <w:rsid w:val="004B7B64"/>
    <w:rsid w:val="004B7C6F"/>
    <w:rsid w:val="004B7DCD"/>
    <w:rsid w:val="004C0063"/>
    <w:rsid w:val="004C011E"/>
    <w:rsid w:val="004C01CD"/>
    <w:rsid w:val="004C02CC"/>
    <w:rsid w:val="004C038B"/>
    <w:rsid w:val="004C04DF"/>
    <w:rsid w:val="004C05A2"/>
    <w:rsid w:val="004C05AB"/>
    <w:rsid w:val="004C0911"/>
    <w:rsid w:val="004C0B37"/>
    <w:rsid w:val="004C0BF5"/>
    <w:rsid w:val="004C0E02"/>
    <w:rsid w:val="004C0E69"/>
    <w:rsid w:val="004C0FFA"/>
    <w:rsid w:val="004C109B"/>
    <w:rsid w:val="004C10F8"/>
    <w:rsid w:val="004C1132"/>
    <w:rsid w:val="004C1219"/>
    <w:rsid w:val="004C1254"/>
    <w:rsid w:val="004C1348"/>
    <w:rsid w:val="004C1497"/>
    <w:rsid w:val="004C14A2"/>
    <w:rsid w:val="004C15EB"/>
    <w:rsid w:val="004C1689"/>
    <w:rsid w:val="004C17D2"/>
    <w:rsid w:val="004C18A4"/>
    <w:rsid w:val="004C18E5"/>
    <w:rsid w:val="004C194E"/>
    <w:rsid w:val="004C199F"/>
    <w:rsid w:val="004C19AC"/>
    <w:rsid w:val="004C19C1"/>
    <w:rsid w:val="004C19F7"/>
    <w:rsid w:val="004C1AF8"/>
    <w:rsid w:val="004C1B1A"/>
    <w:rsid w:val="004C1B25"/>
    <w:rsid w:val="004C1BDF"/>
    <w:rsid w:val="004C1D62"/>
    <w:rsid w:val="004C1D67"/>
    <w:rsid w:val="004C1DD4"/>
    <w:rsid w:val="004C2236"/>
    <w:rsid w:val="004C22A7"/>
    <w:rsid w:val="004C2341"/>
    <w:rsid w:val="004C23E7"/>
    <w:rsid w:val="004C2663"/>
    <w:rsid w:val="004C26FC"/>
    <w:rsid w:val="004C281A"/>
    <w:rsid w:val="004C296C"/>
    <w:rsid w:val="004C298C"/>
    <w:rsid w:val="004C29A8"/>
    <w:rsid w:val="004C29EE"/>
    <w:rsid w:val="004C29FE"/>
    <w:rsid w:val="004C2AE0"/>
    <w:rsid w:val="004C2C70"/>
    <w:rsid w:val="004C2C90"/>
    <w:rsid w:val="004C2EE5"/>
    <w:rsid w:val="004C2F61"/>
    <w:rsid w:val="004C300C"/>
    <w:rsid w:val="004C30F6"/>
    <w:rsid w:val="004C3110"/>
    <w:rsid w:val="004C329B"/>
    <w:rsid w:val="004C3513"/>
    <w:rsid w:val="004C373B"/>
    <w:rsid w:val="004C3747"/>
    <w:rsid w:val="004C3780"/>
    <w:rsid w:val="004C39D7"/>
    <w:rsid w:val="004C39E8"/>
    <w:rsid w:val="004C3A21"/>
    <w:rsid w:val="004C3C94"/>
    <w:rsid w:val="004C3D1E"/>
    <w:rsid w:val="004C3D21"/>
    <w:rsid w:val="004C3DCB"/>
    <w:rsid w:val="004C3E48"/>
    <w:rsid w:val="004C3F52"/>
    <w:rsid w:val="004C3F54"/>
    <w:rsid w:val="004C3FE5"/>
    <w:rsid w:val="004C4067"/>
    <w:rsid w:val="004C40BA"/>
    <w:rsid w:val="004C40F7"/>
    <w:rsid w:val="004C415C"/>
    <w:rsid w:val="004C42B2"/>
    <w:rsid w:val="004C4383"/>
    <w:rsid w:val="004C4507"/>
    <w:rsid w:val="004C477F"/>
    <w:rsid w:val="004C4807"/>
    <w:rsid w:val="004C4882"/>
    <w:rsid w:val="004C4B00"/>
    <w:rsid w:val="004C4BF4"/>
    <w:rsid w:val="004C4D03"/>
    <w:rsid w:val="004C4D37"/>
    <w:rsid w:val="004C50DC"/>
    <w:rsid w:val="004C514D"/>
    <w:rsid w:val="004C52F3"/>
    <w:rsid w:val="004C5352"/>
    <w:rsid w:val="004C53C5"/>
    <w:rsid w:val="004C5519"/>
    <w:rsid w:val="004C56C7"/>
    <w:rsid w:val="004C5776"/>
    <w:rsid w:val="004C57A6"/>
    <w:rsid w:val="004C586C"/>
    <w:rsid w:val="004C5923"/>
    <w:rsid w:val="004C59FF"/>
    <w:rsid w:val="004C5AB3"/>
    <w:rsid w:val="004C5AD6"/>
    <w:rsid w:val="004C5B18"/>
    <w:rsid w:val="004C5BC6"/>
    <w:rsid w:val="004C5CCE"/>
    <w:rsid w:val="004C5CEF"/>
    <w:rsid w:val="004C5CF0"/>
    <w:rsid w:val="004C5D59"/>
    <w:rsid w:val="004C5EB2"/>
    <w:rsid w:val="004C5F1C"/>
    <w:rsid w:val="004C5FDB"/>
    <w:rsid w:val="004C6047"/>
    <w:rsid w:val="004C60A1"/>
    <w:rsid w:val="004C63A7"/>
    <w:rsid w:val="004C640C"/>
    <w:rsid w:val="004C64A6"/>
    <w:rsid w:val="004C6747"/>
    <w:rsid w:val="004C68AD"/>
    <w:rsid w:val="004C6929"/>
    <w:rsid w:val="004C693C"/>
    <w:rsid w:val="004C6A91"/>
    <w:rsid w:val="004C6AC3"/>
    <w:rsid w:val="004C6C1F"/>
    <w:rsid w:val="004C6D05"/>
    <w:rsid w:val="004C6D49"/>
    <w:rsid w:val="004C6F18"/>
    <w:rsid w:val="004C6F56"/>
    <w:rsid w:val="004C6F62"/>
    <w:rsid w:val="004C6FE0"/>
    <w:rsid w:val="004C70BA"/>
    <w:rsid w:val="004C723A"/>
    <w:rsid w:val="004C73BE"/>
    <w:rsid w:val="004C7628"/>
    <w:rsid w:val="004C77EB"/>
    <w:rsid w:val="004C7834"/>
    <w:rsid w:val="004C794C"/>
    <w:rsid w:val="004C7A8D"/>
    <w:rsid w:val="004C7AB8"/>
    <w:rsid w:val="004C7BB3"/>
    <w:rsid w:val="004C7BC6"/>
    <w:rsid w:val="004C7CBF"/>
    <w:rsid w:val="004C7E84"/>
    <w:rsid w:val="004C7F2A"/>
    <w:rsid w:val="004C7F43"/>
    <w:rsid w:val="004C7FC7"/>
    <w:rsid w:val="004C7FE0"/>
    <w:rsid w:val="004CBFCA"/>
    <w:rsid w:val="004D0075"/>
    <w:rsid w:val="004D020A"/>
    <w:rsid w:val="004D020F"/>
    <w:rsid w:val="004D0216"/>
    <w:rsid w:val="004D0363"/>
    <w:rsid w:val="004D039A"/>
    <w:rsid w:val="004D05DB"/>
    <w:rsid w:val="004D06B4"/>
    <w:rsid w:val="004D079A"/>
    <w:rsid w:val="004D08AA"/>
    <w:rsid w:val="004D09D5"/>
    <w:rsid w:val="004D0A73"/>
    <w:rsid w:val="004D0C86"/>
    <w:rsid w:val="004D0D3F"/>
    <w:rsid w:val="004D0E1A"/>
    <w:rsid w:val="004D0E82"/>
    <w:rsid w:val="004D0EBE"/>
    <w:rsid w:val="004D0F9D"/>
    <w:rsid w:val="004D1030"/>
    <w:rsid w:val="004D10B1"/>
    <w:rsid w:val="004D1137"/>
    <w:rsid w:val="004D1254"/>
    <w:rsid w:val="004D1384"/>
    <w:rsid w:val="004D1391"/>
    <w:rsid w:val="004D13AD"/>
    <w:rsid w:val="004D13C5"/>
    <w:rsid w:val="004D146F"/>
    <w:rsid w:val="004D15D7"/>
    <w:rsid w:val="004D1763"/>
    <w:rsid w:val="004D180B"/>
    <w:rsid w:val="004D199A"/>
    <w:rsid w:val="004D1AC4"/>
    <w:rsid w:val="004D1C12"/>
    <w:rsid w:val="004D1E94"/>
    <w:rsid w:val="004D21A8"/>
    <w:rsid w:val="004D2207"/>
    <w:rsid w:val="004D2260"/>
    <w:rsid w:val="004D2494"/>
    <w:rsid w:val="004D2637"/>
    <w:rsid w:val="004D2675"/>
    <w:rsid w:val="004D2981"/>
    <w:rsid w:val="004D29F7"/>
    <w:rsid w:val="004D2B60"/>
    <w:rsid w:val="004D2BB6"/>
    <w:rsid w:val="004D2C21"/>
    <w:rsid w:val="004D2D0E"/>
    <w:rsid w:val="004D2DBE"/>
    <w:rsid w:val="004D2DCC"/>
    <w:rsid w:val="004D2DEE"/>
    <w:rsid w:val="004D2E47"/>
    <w:rsid w:val="004D2EC5"/>
    <w:rsid w:val="004D2F11"/>
    <w:rsid w:val="004D2FD3"/>
    <w:rsid w:val="004D3116"/>
    <w:rsid w:val="004D3161"/>
    <w:rsid w:val="004D3224"/>
    <w:rsid w:val="004D3263"/>
    <w:rsid w:val="004D33D8"/>
    <w:rsid w:val="004D3467"/>
    <w:rsid w:val="004D3529"/>
    <w:rsid w:val="004D3666"/>
    <w:rsid w:val="004D3A98"/>
    <w:rsid w:val="004D3AAA"/>
    <w:rsid w:val="004D3B2E"/>
    <w:rsid w:val="004D3B6C"/>
    <w:rsid w:val="004D3C80"/>
    <w:rsid w:val="004D3CEB"/>
    <w:rsid w:val="004D3D4A"/>
    <w:rsid w:val="004D40A2"/>
    <w:rsid w:val="004D4168"/>
    <w:rsid w:val="004D4303"/>
    <w:rsid w:val="004D43E1"/>
    <w:rsid w:val="004D4573"/>
    <w:rsid w:val="004D45C0"/>
    <w:rsid w:val="004D46AB"/>
    <w:rsid w:val="004D472E"/>
    <w:rsid w:val="004D47EA"/>
    <w:rsid w:val="004D4A8A"/>
    <w:rsid w:val="004D4AD6"/>
    <w:rsid w:val="004D4CA7"/>
    <w:rsid w:val="004D4FEC"/>
    <w:rsid w:val="004D5165"/>
    <w:rsid w:val="004D51E7"/>
    <w:rsid w:val="004D529D"/>
    <w:rsid w:val="004D533F"/>
    <w:rsid w:val="004D5418"/>
    <w:rsid w:val="004D5438"/>
    <w:rsid w:val="004D568F"/>
    <w:rsid w:val="004D5712"/>
    <w:rsid w:val="004D5758"/>
    <w:rsid w:val="004D57CC"/>
    <w:rsid w:val="004D5801"/>
    <w:rsid w:val="004D580E"/>
    <w:rsid w:val="004D5847"/>
    <w:rsid w:val="004D587F"/>
    <w:rsid w:val="004D594C"/>
    <w:rsid w:val="004D5967"/>
    <w:rsid w:val="004D5B21"/>
    <w:rsid w:val="004D5BCC"/>
    <w:rsid w:val="004D5CCF"/>
    <w:rsid w:val="004D5D8A"/>
    <w:rsid w:val="004D5E26"/>
    <w:rsid w:val="004D61B4"/>
    <w:rsid w:val="004D640E"/>
    <w:rsid w:val="004D64AA"/>
    <w:rsid w:val="004D6553"/>
    <w:rsid w:val="004D65D6"/>
    <w:rsid w:val="004D6688"/>
    <w:rsid w:val="004D66A3"/>
    <w:rsid w:val="004D66E0"/>
    <w:rsid w:val="004D69AB"/>
    <w:rsid w:val="004D69EB"/>
    <w:rsid w:val="004D6BC4"/>
    <w:rsid w:val="004D6BF2"/>
    <w:rsid w:val="004D6C5C"/>
    <w:rsid w:val="004D6C62"/>
    <w:rsid w:val="004D6CC6"/>
    <w:rsid w:val="004D6CDF"/>
    <w:rsid w:val="004D6F49"/>
    <w:rsid w:val="004D6F4C"/>
    <w:rsid w:val="004D7047"/>
    <w:rsid w:val="004D7064"/>
    <w:rsid w:val="004D71C4"/>
    <w:rsid w:val="004D7205"/>
    <w:rsid w:val="004D7352"/>
    <w:rsid w:val="004D742E"/>
    <w:rsid w:val="004D74DA"/>
    <w:rsid w:val="004D77D6"/>
    <w:rsid w:val="004D7971"/>
    <w:rsid w:val="004D7BD6"/>
    <w:rsid w:val="004D7C84"/>
    <w:rsid w:val="004D7D61"/>
    <w:rsid w:val="004D7DA4"/>
    <w:rsid w:val="004D7E36"/>
    <w:rsid w:val="004D7EE6"/>
    <w:rsid w:val="004D9423"/>
    <w:rsid w:val="004E00D9"/>
    <w:rsid w:val="004E02A9"/>
    <w:rsid w:val="004E0351"/>
    <w:rsid w:val="004E0384"/>
    <w:rsid w:val="004E0410"/>
    <w:rsid w:val="004E0523"/>
    <w:rsid w:val="004E0638"/>
    <w:rsid w:val="004E0803"/>
    <w:rsid w:val="004E083E"/>
    <w:rsid w:val="004E0959"/>
    <w:rsid w:val="004E09AC"/>
    <w:rsid w:val="004E09C3"/>
    <w:rsid w:val="004E0A8A"/>
    <w:rsid w:val="004E0BD5"/>
    <w:rsid w:val="004E0C19"/>
    <w:rsid w:val="004E0C59"/>
    <w:rsid w:val="004E0C7D"/>
    <w:rsid w:val="004E0CA0"/>
    <w:rsid w:val="004E0CC2"/>
    <w:rsid w:val="004E0E91"/>
    <w:rsid w:val="004E0F83"/>
    <w:rsid w:val="004E0FF7"/>
    <w:rsid w:val="004E1000"/>
    <w:rsid w:val="004E10AC"/>
    <w:rsid w:val="004E1105"/>
    <w:rsid w:val="004E1201"/>
    <w:rsid w:val="004E142E"/>
    <w:rsid w:val="004E1526"/>
    <w:rsid w:val="004E1583"/>
    <w:rsid w:val="004E15A2"/>
    <w:rsid w:val="004E1700"/>
    <w:rsid w:val="004E1714"/>
    <w:rsid w:val="004E1732"/>
    <w:rsid w:val="004E1761"/>
    <w:rsid w:val="004E1984"/>
    <w:rsid w:val="004E1A49"/>
    <w:rsid w:val="004E1C21"/>
    <w:rsid w:val="004E1C23"/>
    <w:rsid w:val="004E1C78"/>
    <w:rsid w:val="004E1E2D"/>
    <w:rsid w:val="004E1E34"/>
    <w:rsid w:val="004E1EB4"/>
    <w:rsid w:val="004E1F4E"/>
    <w:rsid w:val="004E1F84"/>
    <w:rsid w:val="004E211A"/>
    <w:rsid w:val="004E21F1"/>
    <w:rsid w:val="004E22CB"/>
    <w:rsid w:val="004E240B"/>
    <w:rsid w:val="004E24CD"/>
    <w:rsid w:val="004E2507"/>
    <w:rsid w:val="004E26B9"/>
    <w:rsid w:val="004E26E4"/>
    <w:rsid w:val="004E26ED"/>
    <w:rsid w:val="004E2797"/>
    <w:rsid w:val="004E27E5"/>
    <w:rsid w:val="004E284A"/>
    <w:rsid w:val="004E29AC"/>
    <w:rsid w:val="004E29DE"/>
    <w:rsid w:val="004E2C0B"/>
    <w:rsid w:val="004E2D7F"/>
    <w:rsid w:val="004E2D94"/>
    <w:rsid w:val="004E2DD4"/>
    <w:rsid w:val="004E2EEA"/>
    <w:rsid w:val="004E2EF4"/>
    <w:rsid w:val="004E3040"/>
    <w:rsid w:val="004E3099"/>
    <w:rsid w:val="004E30EE"/>
    <w:rsid w:val="004E318B"/>
    <w:rsid w:val="004E323C"/>
    <w:rsid w:val="004E326E"/>
    <w:rsid w:val="004E33DF"/>
    <w:rsid w:val="004E345B"/>
    <w:rsid w:val="004E34E3"/>
    <w:rsid w:val="004E36A0"/>
    <w:rsid w:val="004E3721"/>
    <w:rsid w:val="004E39D5"/>
    <w:rsid w:val="004E3A8D"/>
    <w:rsid w:val="004E3BA7"/>
    <w:rsid w:val="004E3CC5"/>
    <w:rsid w:val="004E3EAF"/>
    <w:rsid w:val="004E3F37"/>
    <w:rsid w:val="004E3F42"/>
    <w:rsid w:val="004E4157"/>
    <w:rsid w:val="004E41E3"/>
    <w:rsid w:val="004E450B"/>
    <w:rsid w:val="004E455A"/>
    <w:rsid w:val="004E45E0"/>
    <w:rsid w:val="004E4685"/>
    <w:rsid w:val="004E486A"/>
    <w:rsid w:val="004E4BAB"/>
    <w:rsid w:val="004E4BCF"/>
    <w:rsid w:val="004E4C3D"/>
    <w:rsid w:val="004E4C96"/>
    <w:rsid w:val="004E4D8E"/>
    <w:rsid w:val="004E4DBF"/>
    <w:rsid w:val="004E4FA5"/>
    <w:rsid w:val="004E507D"/>
    <w:rsid w:val="004E50A3"/>
    <w:rsid w:val="004E50E5"/>
    <w:rsid w:val="004E52F7"/>
    <w:rsid w:val="004E5489"/>
    <w:rsid w:val="004E54F7"/>
    <w:rsid w:val="004E5568"/>
    <w:rsid w:val="004E57E5"/>
    <w:rsid w:val="004E57FF"/>
    <w:rsid w:val="004E58A4"/>
    <w:rsid w:val="004E5A7F"/>
    <w:rsid w:val="004E5ADE"/>
    <w:rsid w:val="004E5AFF"/>
    <w:rsid w:val="004E5BAF"/>
    <w:rsid w:val="004E5BDE"/>
    <w:rsid w:val="004E5C92"/>
    <w:rsid w:val="004E5D6F"/>
    <w:rsid w:val="004E5F1E"/>
    <w:rsid w:val="004E5F6C"/>
    <w:rsid w:val="004E61AC"/>
    <w:rsid w:val="004E61E6"/>
    <w:rsid w:val="004E61E9"/>
    <w:rsid w:val="004E6248"/>
    <w:rsid w:val="004E6249"/>
    <w:rsid w:val="004E62B2"/>
    <w:rsid w:val="004E6471"/>
    <w:rsid w:val="004E64A9"/>
    <w:rsid w:val="004E6722"/>
    <w:rsid w:val="004E677D"/>
    <w:rsid w:val="004E6879"/>
    <w:rsid w:val="004E68E1"/>
    <w:rsid w:val="004E690E"/>
    <w:rsid w:val="004E692B"/>
    <w:rsid w:val="004E693F"/>
    <w:rsid w:val="004E6D4D"/>
    <w:rsid w:val="004E6FF8"/>
    <w:rsid w:val="004E73C1"/>
    <w:rsid w:val="004E74DB"/>
    <w:rsid w:val="004E74FA"/>
    <w:rsid w:val="004E756E"/>
    <w:rsid w:val="004E759D"/>
    <w:rsid w:val="004E767C"/>
    <w:rsid w:val="004E7869"/>
    <w:rsid w:val="004E7957"/>
    <w:rsid w:val="004E7CD8"/>
    <w:rsid w:val="004E7DDC"/>
    <w:rsid w:val="004E7E90"/>
    <w:rsid w:val="004F0014"/>
    <w:rsid w:val="004F003E"/>
    <w:rsid w:val="004F01FE"/>
    <w:rsid w:val="004F022F"/>
    <w:rsid w:val="004F03DA"/>
    <w:rsid w:val="004F045F"/>
    <w:rsid w:val="004F050C"/>
    <w:rsid w:val="004F0522"/>
    <w:rsid w:val="004F08A7"/>
    <w:rsid w:val="004F08EE"/>
    <w:rsid w:val="004F09B6"/>
    <w:rsid w:val="004F0AF4"/>
    <w:rsid w:val="004F0B90"/>
    <w:rsid w:val="004F0E0F"/>
    <w:rsid w:val="004F0E21"/>
    <w:rsid w:val="004F0E9A"/>
    <w:rsid w:val="004F0EB4"/>
    <w:rsid w:val="004F0F42"/>
    <w:rsid w:val="004F10FD"/>
    <w:rsid w:val="004F1126"/>
    <w:rsid w:val="004F113E"/>
    <w:rsid w:val="004F13A1"/>
    <w:rsid w:val="004F13E1"/>
    <w:rsid w:val="004F148C"/>
    <w:rsid w:val="004F14CD"/>
    <w:rsid w:val="004F155B"/>
    <w:rsid w:val="004F15AB"/>
    <w:rsid w:val="004F16BC"/>
    <w:rsid w:val="004F175F"/>
    <w:rsid w:val="004F17D6"/>
    <w:rsid w:val="004F188A"/>
    <w:rsid w:val="004F18E3"/>
    <w:rsid w:val="004F1AE4"/>
    <w:rsid w:val="004F1CA5"/>
    <w:rsid w:val="004F1CB9"/>
    <w:rsid w:val="004F1D16"/>
    <w:rsid w:val="004F1D45"/>
    <w:rsid w:val="004F1D56"/>
    <w:rsid w:val="004F1FF9"/>
    <w:rsid w:val="004F2007"/>
    <w:rsid w:val="004F2109"/>
    <w:rsid w:val="004F221E"/>
    <w:rsid w:val="004F22FA"/>
    <w:rsid w:val="004F258B"/>
    <w:rsid w:val="004F283B"/>
    <w:rsid w:val="004F285B"/>
    <w:rsid w:val="004F28A6"/>
    <w:rsid w:val="004F2A80"/>
    <w:rsid w:val="004F2AED"/>
    <w:rsid w:val="004F2BE6"/>
    <w:rsid w:val="004F2CAD"/>
    <w:rsid w:val="004F2E75"/>
    <w:rsid w:val="004F2EFD"/>
    <w:rsid w:val="004F2FD0"/>
    <w:rsid w:val="004F30E5"/>
    <w:rsid w:val="004F33F3"/>
    <w:rsid w:val="004F33F6"/>
    <w:rsid w:val="004F341F"/>
    <w:rsid w:val="004F35B1"/>
    <w:rsid w:val="004F364C"/>
    <w:rsid w:val="004F3752"/>
    <w:rsid w:val="004F3788"/>
    <w:rsid w:val="004F3795"/>
    <w:rsid w:val="004F38CB"/>
    <w:rsid w:val="004F3972"/>
    <w:rsid w:val="004F3AE0"/>
    <w:rsid w:val="004F3B6F"/>
    <w:rsid w:val="004F3F0E"/>
    <w:rsid w:val="004F3FC6"/>
    <w:rsid w:val="004F3FD1"/>
    <w:rsid w:val="004F4087"/>
    <w:rsid w:val="004F44DB"/>
    <w:rsid w:val="004F44DF"/>
    <w:rsid w:val="004F4546"/>
    <w:rsid w:val="004F4556"/>
    <w:rsid w:val="004F4581"/>
    <w:rsid w:val="004F4626"/>
    <w:rsid w:val="004F46AB"/>
    <w:rsid w:val="004F4866"/>
    <w:rsid w:val="004F4A33"/>
    <w:rsid w:val="004F4A7C"/>
    <w:rsid w:val="004F4AD8"/>
    <w:rsid w:val="004F4B22"/>
    <w:rsid w:val="004F4B40"/>
    <w:rsid w:val="004F4E35"/>
    <w:rsid w:val="004F4E6A"/>
    <w:rsid w:val="004F4F78"/>
    <w:rsid w:val="004F4F96"/>
    <w:rsid w:val="004F5049"/>
    <w:rsid w:val="004F5095"/>
    <w:rsid w:val="004F517D"/>
    <w:rsid w:val="004F5193"/>
    <w:rsid w:val="004F51DE"/>
    <w:rsid w:val="004F5286"/>
    <w:rsid w:val="004F52F9"/>
    <w:rsid w:val="004F5719"/>
    <w:rsid w:val="004F5898"/>
    <w:rsid w:val="004F58A2"/>
    <w:rsid w:val="004F5993"/>
    <w:rsid w:val="004F5B04"/>
    <w:rsid w:val="004F5C43"/>
    <w:rsid w:val="004F5CDC"/>
    <w:rsid w:val="004F5CF2"/>
    <w:rsid w:val="004F5DA0"/>
    <w:rsid w:val="004F5E3D"/>
    <w:rsid w:val="004F5FC1"/>
    <w:rsid w:val="004F6081"/>
    <w:rsid w:val="004F60CE"/>
    <w:rsid w:val="004F60EB"/>
    <w:rsid w:val="004F60EF"/>
    <w:rsid w:val="004F618E"/>
    <w:rsid w:val="004F619F"/>
    <w:rsid w:val="004F6307"/>
    <w:rsid w:val="004F64BD"/>
    <w:rsid w:val="004F64F0"/>
    <w:rsid w:val="004F6923"/>
    <w:rsid w:val="004F6BB0"/>
    <w:rsid w:val="004F6BC2"/>
    <w:rsid w:val="004F6C1E"/>
    <w:rsid w:val="004F6C3D"/>
    <w:rsid w:val="004F6C7C"/>
    <w:rsid w:val="004F6D14"/>
    <w:rsid w:val="004F6D80"/>
    <w:rsid w:val="004F6DE0"/>
    <w:rsid w:val="004F6E60"/>
    <w:rsid w:val="004F6EC4"/>
    <w:rsid w:val="004F6F8C"/>
    <w:rsid w:val="004F6FF5"/>
    <w:rsid w:val="004F7070"/>
    <w:rsid w:val="004F714B"/>
    <w:rsid w:val="004F7281"/>
    <w:rsid w:val="004F72E4"/>
    <w:rsid w:val="004F73FA"/>
    <w:rsid w:val="004F7530"/>
    <w:rsid w:val="004F75BF"/>
    <w:rsid w:val="004F75E8"/>
    <w:rsid w:val="004F7710"/>
    <w:rsid w:val="004F777C"/>
    <w:rsid w:val="004F77C3"/>
    <w:rsid w:val="004F78B6"/>
    <w:rsid w:val="004F7958"/>
    <w:rsid w:val="004F796C"/>
    <w:rsid w:val="004F7A8D"/>
    <w:rsid w:val="004F7B70"/>
    <w:rsid w:val="004F7C55"/>
    <w:rsid w:val="004F7CFE"/>
    <w:rsid w:val="004F7D01"/>
    <w:rsid w:val="004F7E5C"/>
    <w:rsid w:val="004F7E6F"/>
    <w:rsid w:val="004F7F48"/>
    <w:rsid w:val="004F7FF8"/>
    <w:rsid w:val="00500050"/>
    <w:rsid w:val="00500075"/>
    <w:rsid w:val="005000E3"/>
    <w:rsid w:val="00500143"/>
    <w:rsid w:val="0050033E"/>
    <w:rsid w:val="0050039C"/>
    <w:rsid w:val="0050056F"/>
    <w:rsid w:val="0050087F"/>
    <w:rsid w:val="00500B62"/>
    <w:rsid w:val="00500C4E"/>
    <w:rsid w:val="00500C4F"/>
    <w:rsid w:val="00500D4B"/>
    <w:rsid w:val="00500DF8"/>
    <w:rsid w:val="00500EC5"/>
    <w:rsid w:val="00500F62"/>
    <w:rsid w:val="005010CA"/>
    <w:rsid w:val="00501163"/>
    <w:rsid w:val="00501245"/>
    <w:rsid w:val="0050126B"/>
    <w:rsid w:val="0050139A"/>
    <w:rsid w:val="005014C6"/>
    <w:rsid w:val="005014F9"/>
    <w:rsid w:val="0050153A"/>
    <w:rsid w:val="00501687"/>
    <w:rsid w:val="0050169E"/>
    <w:rsid w:val="00501746"/>
    <w:rsid w:val="00501884"/>
    <w:rsid w:val="005018E9"/>
    <w:rsid w:val="00501A51"/>
    <w:rsid w:val="00501A9F"/>
    <w:rsid w:val="00501AFC"/>
    <w:rsid w:val="00501BD3"/>
    <w:rsid w:val="00501D7B"/>
    <w:rsid w:val="00501DB5"/>
    <w:rsid w:val="00501E73"/>
    <w:rsid w:val="00501EA3"/>
    <w:rsid w:val="00501F4B"/>
    <w:rsid w:val="00501F9F"/>
    <w:rsid w:val="00502055"/>
    <w:rsid w:val="00502077"/>
    <w:rsid w:val="005022D1"/>
    <w:rsid w:val="00502418"/>
    <w:rsid w:val="0050245D"/>
    <w:rsid w:val="00502484"/>
    <w:rsid w:val="005024C7"/>
    <w:rsid w:val="00502639"/>
    <w:rsid w:val="00502768"/>
    <w:rsid w:val="0050282F"/>
    <w:rsid w:val="00502838"/>
    <w:rsid w:val="005028EA"/>
    <w:rsid w:val="00502952"/>
    <w:rsid w:val="0050297B"/>
    <w:rsid w:val="0050298E"/>
    <w:rsid w:val="00502B4B"/>
    <w:rsid w:val="00502B86"/>
    <w:rsid w:val="00502D68"/>
    <w:rsid w:val="00502D6F"/>
    <w:rsid w:val="00502E0C"/>
    <w:rsid w:val="00502E37"/>
    <w:rsid w:val="00502E42"/>
    <w:rsid w:val="00502EE3"/>
    <w:rsid w:val="00502FD6"/>
    <w:rsid w:val="0050308C"/>
    <w:rsid w:val="00503203"/>
    <w:rsid w:val="0050333C"/>
    <w:rsid w:val="00503353"/>
    <w:rsid w:val="0050340D"/>
    <w:rsid w:val="0050351E"/>
    <w:rsid w:val="00503528"/>
    <w:rsid w:val="00503575"/>
    <w:rsid w:val="005035C0"/>
    <w:rsid w:val="00503654"/>
    <w:rsid w:val="005039FE"/>
    <w:rsid w:val="00503B38"/>
    <w:rsid w:val="00503D3D"/>
    <w:rsid w:val="00503DE4"/>
    <w:rsid w:val="00503E17"/>
    <w:rsid w:val="00503E93"/>
    <w:rsid w:val="00503F9C"/>
    <w:rsid w:val="00503FBC"/>
    <w:rsid w:val="0050421B"/>
    <w:rsid w:val="0050424A"/>
    <w:rsid w:val="0050429E"/>
    <w:rsid w:val="005043C2"/>
    <w:rsid w:val="005044C7"/>
    <w:rsid w:val="00504543"/>
    <w:rsid w:val="00504544"/>
    <w:rsid w:val="0050462D"/>
    <w:rsid w:val="00504685"/>
    <w:rsid w:val="005047C0"/>
    <w:rsid w:val="00504857"/>
    <w:rsid w:val="00504A24"/>
    <w:rsid w:val="00504BB1"/>
    <w:rsid w:val="00504E4E"/>
    <w:rsid w:val="00504E89"/>
    <w:rsid w:val="00504F55"/>
    <w:rsid w:val="005051DC"/>
    <w:rsid w:val="005053A6"/>
    <w:rsid w:val="0050548F"/>
    <w:rsid w:val="005055F3"/>
    <w:rsid w:val="00505786"/>
    <w:rsid w:val="00505791"/>
    <w:rsid w:val="005057CA"/>
    <w:rsid w:val="0050588E"/>
    <w:rsid w:val="00505915"/>
    <w:rsid w:val="0050598A"/>
    <w:rsid w:val="00505D1F"/>
    <w:rsid w:val="00505D48"/>
    <w:rsid w:val="00505EE5"/>
    <w:rsid w:val="00505EEF"/>
    <w:rsid w:val="005060C7"/>
    <w:rsid w:val="0050611B"/>
    <w:rsid w:val="005061C7"/>
    <w:rsid w:val="00506246"/>
    <w:rsid w:val="0050627A"/>
    <w:rsid w:val="005063FD"/>
    <w:rsid w:val="0050644A"/>
    <w:rsid w:val="00506470"/>
    <w:rsid w:val="0050649E"/>
    <w:rsid w:val="005064CE"/>
    <w:rsid w:val="005064E4"/>
    <w:rsid w:val="005066DB"/>
    <w:rsid w:val="005066FA"/>
    <w:rsid w:val="0050676B"/>
    <w:rsid w:val="005067B5"/>
    <w:rsid w:val="0050684D"/>
    <w:rsid w:val="00506879"/>
    <w:rsid w:val="00506922"/>
    <w:rsid w:val="00506CFC"/>
    <w:rsid w:val="00506D11"/>
    <w:rsid w:val="00506E65"/>
    <w:rsid w:val="00506EC7"/>
    <w:rsid w:val="00506FEA"/>
    <w:rsid w:val="005070DA"/>
    <w:rsid w:val="005072B4"/>
    <w:rsid w:val="005072C0"/>
    <w:rsid w:val="00507332"/>
    <w:rsid w:val="005074FC"/>
    <w:rsid w:val="00507528"/>
    <w:rsid w:val="005075C8"/>
    <w:rsid w:val="005076E5"/>
    <w:rsid w:val="00507892"/>
    <w:rsid w:val="005078A6"/>
    <w:rsid w:val="0050795E"/>
    <w:rsid w:val="00507982"/>
    <w:rsid w:val="0050798C"/>
    <w:rsid w:val="00507B8A"/>
    <w:rsid w:val="00507C4D"/>
    <w:rsid w:val="00507CC7"/>
    <w:rsid w:val="00507D1F"/>
    <w:rsid w:val="00507E5C"/>
    <w:rsid w:val="00507F7A"/>
    <w:rsid w:val="0051012A"/>
    <w:rsid w:val="005101F3"/>
    <w:rsid w:val="005103E2"/>
    <w:rsid w:val="00510468"/>
    <w:rsid w:val="00510511"/>
    <w:rsid w:val="005105FB"/>
    <w:rsid w:val="00510665"/>
    <w:rsid w:val="0051067F"/>
    <w:rsid w:val="005106D9"/>
    <w:rsid w:val="00510815"/>
    <w:rsid w:val="0051091F"/>
    <w:rsid w:val="00510987"/>
    <w:rsid w:val="00510A0A"/>
    <w:rsid w:val="00510A6F"/>
    <w:rsid w:val="00510CCD"/>
    <w:rsid w:val="00510CE2"/>
    <w:rsid w:val="00510D1E"/>
    <w:rsid w:val="00510EC2"/>
    <w:rsid w:val="00510F87"/>
    <w:rsid w:val="00510F96"/>
    <w:rsid w:val="0051100F"/>
    <w:rsid w:val="00511243"/>
    <w:rsid w:val="005112C8"/>
    <w:rsid w:val="00511442"/>
    <w:rsid w:val="00511488"/>
    <w:rsid w:val="005115A0"/>
    <w:rsid w:val="00511604"/>
    <w:rsid w:val="005116B4"/>
    <w:rsid w:val="0051189C"/>
    <w:rsid w:val="005118AB"/>
    <w:rsid w:val="00511944"/>
    <w:rsid w:val="00511A31"/>
    <w:rsid w:val="00511B55"/>
    <w:rsid w:val="00511D4D"/>
    <w:rsid w:val="00511DCA"/>
    <w:rsid w:val="00511DFA"/>
    <w:rsid w:val="00511E10"/>
    <w:rsid w:val="00511EC1"/>
    <w:rsid w:val="00511EDB"/>
    <w:rsid w:val="00511F18"/>
    <w:rsid w:val="00511F61"/>
    <w:rsid w:val="00512046"/>
    <w:rsid w:val="005120C9"/>
    <w:rsid w:val="00512209"/>
    <w:rsid w:val="00512251"/>
    <w:rsid w:val="005123D0"/>
    <w:rsid w:val="0051250E"/>
    <w:rsid w:val="005125EC"/>
    <w:rsid w:val="005127C1"/>
    <w:rsid w:val="0051296D"/>
    <w:rsid w:val="005129A8"/>
    <w:rsid w:val="00512B6B"/>
    <w:rsid w:val="00512B9B"/>
    <w:rsid w:val="00512C3A"/>
    <w:rsid w:val="00512E95"/>
    <w:rsid w:val="00512FA1"/>
    <w:rsid w:val="00512FDB"/>
    <w:rsid w:val="00512FEA"/>
    <w:rsid w:val="00513031"/>
    <w:rsid w:val="00513047"/>
    <w:rsid w:val="0051308E"/>
    <w:rsid w:val="00513218"/>
    <w:rsid w:val="00513389"/>
    <w:rsid w:val="005133AD"/>
    <w:rsid w:val="005133C2"/>
    <w:rsid w:val="005134FB"/>
    <w:rsid w:val="00513629"/>
    <w:rsid w:val="00513671"/>
    <w:rsid w:val="00513AB3"/>
    <w:rsid w:val="00513AC4"/>
    <w:rsid w:val="00513C3A"/>
    <w:rsid w:val="00513EEA"/>
    <w:rsid w:val="00513F90"/>
    <w:rsid w:val="00513FA3"/>
    <w:rsid w:val="00513FD4"/>
    <w:rsid w:val="005140C9"/>
    <w:rsid w:val="0051412A"/>
    <w:rsid w:val="005143CE"/>
    <w:rsid w:val="00514765"/>
    <w:rsid w:val="005147BE"/>
    <w:rsid w:val="005147C9"/>
    <w:rsid w:val="005148D2"/>
    <w:rsid w:val="0051496A"/>
    <w:rsid w:val="005149FA"/>
    <w:rsid w:val="00514B42"/>
    <w:rsid w:val="00514D6E"/>
    <w:rsid w:val="00514E17"/>
    <w:rsid w:val="00514F58"/>
    <w:rsid w:val="00514FE1"/>
    <w:rsid w:val="00515090"/>
    <w:rsid w:val="00515110"/>
    <w:rsid w:val="005152A4"/>
    <w:rsid w:val="0051536F"/>
    <w:rsid w:val="00515371"/>
    <w:rsid w:val="005153E9"/>
    <w:rsid w:val="0051552B"/>
    <w:rsid w:val="0051555C"/>
    <w:rsid w:val="005155C3"/>
    <w:rsid w:val="0051567E"/>
    <w:rsid w:val="005156B2"/>
    <w:rsid w:val="0051583A"/>
    <w:rsid w:val="00515841"/>
    <w:rsid w:val="005159C0"/>
    <w:rsid w:val="00515B58"/>
    <w:rsid w:val="00515CE3"/>
    <w:rsid w:val="00515CEB"/>
    <w:rsid w:val="00515E57"/>
    <w:rsid w:val="00515EA3"/>
    <w:rsid w:val="00515F80"/>
    <w:rsid w:val="00515FA1"/>
    <w:rsid w:val="00515FB7"/>
    <w:rsid w:val="00515FFA"/>
    <w:rsid w:val="0051609D"/>
    <w:rsid w:val="005160EB"/>
    <w:rsid w:val="00516164"/>
    <w:rsid w:val="00516172"/>
    <w:rsid w:val="0051625B"/>
    <w:rsid w:val="005162D9"/>
    <w:rsid w:val="00516313"/>
    <w:rsid w:val="005166D6"/>
    <w:rsid w:val="00516758"/>
    <w:rsid w:val="0051676C"/>
    <w:rsid w:val="00516876"/>
    <w:rsid w:val="00516880"/>
    <w:rsid w:val="005168ED"/>
    <w:rsid w:val="0051694D"/>
    <w:rsid w:val="00516AE9"/>
    <w:rsid w:val="00516C92"/>
    <w:rsid w:val="00516CEB"/>
    <w:rsid w:val="00516CEC"/>
    <w:rsid w:val="00516D33"/>
    <w:rsid w:val="00517087"/>
    <w:rsid w:val="00517267"/>
    <w:rsid w:val="0051728C"/>
    <w:rsid w:val="005172E8"/>
    <w:rsid w:val="00517390"/>
    <w:rsid w:val="005173AB"/>
    <w:rsid w:val="005173C5"/>
    <w:rsid w:val="00517872"/>
    <w:rsid w:val="00517968"/>
    <w:rsid w:val="005179DC"/>
    <w:rsid w:val="00517A21"/>
    <w:rsid w:val="00517A5C"/>
    <w:rsid w:val="00517AC3"/>
    <w:rsid w:val="00517AD2"/>
    <w:rsid w:val="00517BEF"/>
    <w:rsid w:val="00517CBE"/>
    <w:rsid w:val="00517D24"/>
    <w:rsid w:val="00517D8B"/>
    <w:rsid w:val="00517D97"/>
    <w:rsid w:val="00517DEE"/>
    <w:rsid w:val="00517EF0"/>
    <w:rsid w:val="00517F4B"/>
    <w:rsid w:val="00517FCC"/>
    <w:rsid w:val="005200AC"/>
    <w:rsid w:val="00520115"/>
    <w:rsid w:val="0052020D"/>
    <w:rsid w:val="0052022F"/>
    <w:rsid w:val="00520239"/>
    <w:rsid w:val="0052025E"/>
    <w:rsid w:val="005203F6"/>
    <w:rsid w:val="0052044E"/>
    <w:rsid w:val="00520814"/>
    <w:rsid w:val="00520875"/>
    <w:rsid w:val="00520A15"/>
    <w:rsid w:val="00520C01"/>
    <w:rsid w:val="00520C86"/>
    <w:rsid w:val="00520E57"/>
    <w:rsid w:val="005210BC"/>
    <w:rsid w:val="005211F4"/>
    <w:rsid w:val="005212A8"/>
    <w:rsid w:val="005212BC"/>
    <w:rsid w:val="005212E2"/>
    <w:rsid w:val="005213ED"/>
    <w:rsid w:val="0052146E"/>
    <w:rsid w:val="005216C1"/>
    <w:rsid w:val="0052175B"/>
    <w:rsid w:val="0052179C"/>
    <w:rsid w:val="00521983"/>
    <w:rsid w:val="00521B0C"/>
    <w:rsid w:val="00521BFD"/>
    <w:rsid w:val="00521C7D"/>
    <w:rsid w:val="00521D1F"/>
    <w:rsid w:val="00521EF3"/>
    <w:rsid w:val="00521F2C"/>
    <w:rsid w:val="0052201F"/>
    <w:rsid w:val="0052217F"/>
    <w:rsid w:val="0052222D"/>
    <w:rsid w:val="005222F3"/>
    <w:rsid w:val="0052238B"/>
    <w:rsid w:val="0052251A"/>
    <w:rsid w:val="00522558"/>
    <w:rsid w:val="00522598"/>
    <w:rsid w:val="00522782"/>
    <w:rsid w:val="00522844"/>
    <w:rsid w:val="0052286B"/>
    <w:rsid w:val="005228DE"/>
    <w:rsid w:val="00522996"/>
    <w:rsid w:val="00522C4A"/>
    <w:rsid w:val="00522D33"/>
    <w:rsid w:val="00522E42"/>
    <w:rsid w:val="00522ECD"/>
    <w:rsid w:val="005230AE"/>
    <w:rsid w:val="005230BD"/>
    <w:rsid w:val="0052310E"/>
    <w:rsid w:val="00523237"/>
    <w:rsid w:val="0052325B"/>
    <w:rsid w:val="00523290"/>
    <w:rsid w:val="00523350"/>
    <w:rsid w:val="00523614"/>
    <w:rsid w:val="005236A6"/>
    <w:rsid w:val="00523733"/>
    <w:rsid w:val="005238B3"/>
    <w:rsid w:val="00523A66"/>
    <w:rsid w:val="00523A6A"/>
    <w:rsid w:val="00523AF0"/>
    <w:rsid w:val="00523BBB"/>
    <w:rsid w:val="00523C85"/>
    <w:rsid w:val="00523CE1"/>
    <w:rsid w:val="00523D87"/>
    <w:rsid w:val="00523D8C"/>
    <w:rsid w:val="00523F91"/>
    <w:rsid w:val="0052405F"/>
    <w:rsid w:val="00524069"/>
    <w:rsid w:val="005240AC"/>
    <w:rsid w:val="005240AF"/>
    <w:rsid w:val="005240F8"/>
    <w:rsid w:val="0052414D"/>
    <w:rsid w:val="0052424B"/>
    <w:rsid w:val="00524459"/>
    <w:rsid w:val="00524558"/>
    <w:rsid w:val="0052461A"/>
    <w:rsid w:val="005246D0"/>
    <w:rsid w:val="00524882"/>
    <w:rsid w:val="005249A4"/>
    <w:rsid w:val="00524AC1"/>
    <w:rsid w:val="00524B3C"/>
    <w:rsid w:val="00524B4F"/>
    <w:rsid w:val="00524C23"/>
    <w:rsid w:val="00524CA8"/>
    <w:rsid w:val="00524CBF"/>
    <w:rsid w:val="00524DC9"/>
    <w:rsid w:val="00525037"/>
    <w:rsid w:val="005250C1"/>
    <w:rsid w:val="00525226"/>
    <w:rsid w:val="00525249"/>
    <w:rsid w:val="00525260"/>
    <w:rsid w:val="0052527A"/>
    <w:rsid w:val="005253FA"/>
    <w:rsid w:val="00525525"/>
    <w:rsid w:val="00525537"/>
    <w:rsid w:val="005255B9"/>
    <w:rsid w:val="005257EC"/>
    <w:rsid w:val="00525823"/>
    <w:rsid w:val="00525872"/>
    <w:rsid w:val="005259C8"/>
    <w:rsid w:val="00525C07"/>
    <w:rsid w:val="00525C4E"/>
    <w:rsid w:val="00525E14"/>
    <w:rsid w:val="00525E16"/>
    <w:rsid w:val="00525F8A"/>
    <w:rsid w:val="00526001"/>
    <w:rsid w:val="005262F5"/>
    <w:rsid w:val="0052635D"/>
    <w:rsid w:val="00526407"/>
    <w:rsid w:val="00526520"/>
    <w:rsid w:val="005265B3"/>
    <w:rsid w:val="0052665A"/>
    <w:rsid w:val="005266BE"/>
    <w:rsid w:val="0052670D"/>
    <w:rsid w:val="0052671A"/>
    <w:rsid w:val="00526743"/>
    <w:rsid w:val="0052674A"/>
    <w:rsid w:val="00526786"/>
    <w:rsid w:val="0052679E"/>
    <w:rsid w:val="00526936"/>
    <w:rsid w:val="00526D15"/>
    <w:rsid w:val="00526DDE"/>
    <w:rsid w:val="00526E96"/>
    <w:rsid w:val="0052713B"/>
    <w:rsid w:val="0052714A"/>
    <w:rsid w:val="0052722A"/>
    <w:rsid w:val="00527309"/>
    <w:rsid w:val="005273BA"/>
    <w:rsid w:val="0052761D"/>
    <w:rsid w:val="0052764C"/>
    <w:rsid w:val="00527697"/>
    <w:rsid w:val="00527718"/>
    <w:rsid w:val="005279F8"/>
    <w:rsid w:val="00527A43"/>
    <w:rsid w:val="00527AA9"/>
    <w:rsid w:val="00527E2B"/>
    <w:rsid w:val="00527E30"/>
    <w:rsid w:val="00527EC3"/>
    <w:rsid w:val="00530020"/>
    <w:rsid w:val="00530071"/>
    <w:rsid w:val="005300FB"/>
    <w:rsid w:val="0053011D"/>
    <w:rsid w:val="00530136"/>
    <w:rsid w:val="0053015E"/>
    <w:rsid w:val="0053019A"/>
    <w:rsid w:val="0053020F"/>
    <w:rsid w:val="0053021B"/>
    <w:rsid w:val="0053032F"/>
    <w:rsid w:val="00530340"/>
    <w:rsid w:val="00530427"/>
    <w:rsid w:val="00530643"/>
    <w:rsid w:val="00530650"/>
    <w:rsid w:val="00530655"/>
    <w:rsid w:val="00530678"/>
    <w:rsid w:val="005306DC"/>
    <w:rsid w:val="00530829"/>
    <w:rsid w:val="00530896"/>
    <w:rsid w:val="0053097D"/>
    <w:rsid w:val="005309AA"/>
    <w:rsid w:val="00530CD8"/>
    <w:rsid w:val="00530FB2"/>
    <w:rsid w:val="0053119E"/>
    <w:rsid w:val="005312A8"/>
    <w:rsid w:val="00531403"/>
    <w:rsid w:val="00531418"/>
    <w:rsid w:val="00531509"/>
    <w:rsid w:val="00531513"/>
    <w:rsid w:val="00531519"/>
    <w:rsid w:val="005315D3"/>
    <w:rsid w:val="0053179F"/>
    <w:rsid w:val="005317B3"/>
    <w:rsid w:val="005317D8"/>
    <w:rsid w:val="005318EB"/>
    <w:rsid w:val="00531A50"/>
    <w:rsid w:val="00531AE7"/>
    <w:rsid w:val="00531AF1"/>
    <w:rsid w:val="00531C51"/>
    <w:rsid w:val="00531C77"/>
    <w:rsid w:val="00531D80"/>
    <w:rsid w:val="00531F95"/>
    <w:rsid w:val="00531FCF"/>
    <w:rsid w:val="00532047"/>
    <w:rsid w:val="005322FA"/>
    <w:rsid w:val="00532370"/>
    <w:rsid w:val="0053238C"/>
    <w:rsid w:val="00532426"/>
    <w:rsid w:val="00532517"/>
    <w:rsid w:val="0053255B"/>
    <w:rsid w:val="00532A0B"/>
    <w:rsid w:val="00532B02"/>
    <w:rsid w:val="00532BF3"/>
    <w:rsid w:val="00532DC4"/>
    <w:rsid w:val="00532FA8"/>
    <w:rsid w:val="00533068"/>
    <w:rsid w:val="005331F4"/>
    <w:rsid w:val="005334B1"/>
    <w:rsid w:val="00533501"/>
    <w:rsid w:val="0053366B"/>
    <w:rsid w:val="005336FB"/>
    <w:rsid w:val="0053371F"/>
    <w:rsid w:val="005337BF"/>
    <w:rsid w:val="00533947"/>
    <w:rsid w:val="00533AE5"/>
    <w:rsid w:val="00533B6F"/>
    <w:rsid w:val="00533BED"/>
    <w:rsid w:val="00533BF2"/>
    <w:rsid w:val="00533CC7"/>
    <w:rsid w:val="00533D22"/>
    <w:rsid w:val="00533D66"/>
    <w:rsid w:val="00533D89"/>
    <w:rsid w:val="00533F64"/>
    <w:rsid w:val="00533F6C"/>
    <w:rsid w:val="00533FC1"/>
    <w:rsid w:val="00534026"/>
    <w:rsid w:val="0053402A"/>
    <w:rsid w:val="00534062"/>
    <w:rsid w:val="005340D2"/>
    <w:rsid w:val="00534180"/>
    <w:rsid w:val="00534194"/>
    <w:rsid w:val="005341F6"/>
    <w:rsid w:val="00534294"/>
    <w:rsid w:val="00534348"/>
    <w:rsid w:val="00534778"/>
    <w:rsid w:val="0053477D"/>
    <w:rsid w:val="00534AA1"/>
    <w:rsid w:val="00534D3F"/>
    <w:rsid w:val="00534DDC"/>
    <w:rsid w:val="00534E31"/>
    <w:rsid w:val="00534F62"/>
    <w:rsid w:val="005352A6"/>
    <w:rsid w:val="00535387"/>
    <w:rsid w:val="005353F9"/>
    <w:rsid w:val="00535549"/>
    <w:rsid w:val="00535564"/>
    <w:rsid w:val="00535633"/>
    <w:rsid w:val="00535674"/>
    <w:rsid w:val="005357A3"/>
    <w:rsid w:val="0053594C"/>
    <w:rsid w:val="005359A0"/>
    <w:rsid w:val="005359C3"/>
    <w:rsid w:val="00535B34"/>
    <w:rsid w:val="00535B87"/>
    <w:rsid w:val="00535BA1"/>
    <w:rsid w:val="00535BDE"/>
    <w:rsid w:val="00535C32"/>
    <w:rsid w:val="00535D62"/>
    <w:rsid w:val="00535D64"/>
    <w:rsid w:val="00535E65"/>
    <w:rsid w:val="00535E81"/>
    <w:rsid w:val="00535EAA"/>
    <w:rsid w:val="00535EBD"/>
    <w:rsid w:val="00535EFE"/>
    <w:rsid w:val="00535FD0"/>
    <w:rsid w:val="00536082"/>
    <w:rsid w:val="005361C8"/>
    <w:rsid w:val="005361E7"/>
    <w:rsid w:val="00536200"/>
    <w:rsid w:val="0053628A"/>
    <w:rsid w:val="00536297"/>
    <w:rsid w:val="0053646F"/>
    <w:rsid w:val="005366A6"/>
    <w:rsid w:val="00536740"/>
    <w:rsid w:val="00536761"/>
    <w:rsid w:val="005367AC"/>
    <w:rsid w:val="00536A60"/>
    <w:rsid w:val="00536ACF"/>
    <w:rsid w:val="00536B3B"/>
    <w:rsid w:val="00536C65"/>
    <w:rsid w:val="00536CED"/>
    <w:rsid w:val="00536DA8"/>
    <w:rsid w:val="00536DD8"/>
    <w:rsid w:val="00536E37"/>
    <w:rsid w:val="00536F67"/>
    <w:rsid w:val="00537007"/>
    <w:rsid w:val="00537008"/>
    <w:rsid w:val="00537043"/>
    <w:rsid w:val="005370DB"/>
    <w:rsid w:val="0053739F"/>
    <w:rsid w:val="0053764D"/>
    <w:rsid w:val="005376F6"/>
    <w:rsid w:val="005377C2"/>
    <w:rsid w:val="00537851"/>
    <w:rsid w:val="005378B5"/>
    <w:rsid w:val="005378C5"/>
    <w:rsid w:val="0053794A"/>
    <w:rsid w:val="00537A37"/>
    <w:rsid w:val="00537A42"/>
    <w:rsid w:val="00537BBE"/>
    <w:rsid w:val="00537C45"/>
    <w:rsid w:val="00537DCD"/>
    <w:rsid w:val="00537F22"/>
    <w:rsid w:val="00537FBA"/>
    <w:rsid w:val="0053A05E"/>
    <w:rsid w:val="00540004"/>
    <w:rsid w:val="00540101"/>
    <w:rsid w:val="0054033D"/>
    <w:rsid w:val="00540345"/>
    <w:rsid w:val="0054036C"/>
    <w:rsid w:val="0054042E"/>
    <w:rsid w:val="00540696"/>
    <w:rsid w:val="00540794"/>
    <w:rsid w:val="005407CF"/>
    <w:rsid w:val="005408DF"/>
    <w:rsid w:val="0054098C"/>
    <w:rsid w:val="00540AC2"/>
    <w:rsid w:val="00540AE7"/>
    <w:rsid w:val="00540C0B"/>
    <w:rsid w:val="00540C14"/>
    <w:rsid w:val="00540C83"/>
    <w:rsid w:val="00540CDC"/>
    <w:rsid w:val="00540D71"/>
    <w:rsid w:val="00540F2C"/>
    <w:rsid w:val="005414B5"/>
    <w:rsid w:val="005414D9"/>
    <w:rsid w:val="0054151C"/>
    <w:rsid w:val="0054158B"/>
    <w:rsid w:val="0054163D"/>
    <w:rsid w:val="00541D2D"/>
    <w:rsid w:val="00541DD6"/>
    <w:rsid w:val="00541E6C"/>
    <w:rsid w:val="00541E7A"/>
    <w:rsid w:val="00541FA4"/>
    <w:rsid w:val="0054204D"/>
    <w:rsid w:val="00542270"/>
    <w:rsid w:val="005423D6"/>
    <w:rsid w:val="00542405"/>
    <w:rsid w:val="00542413"/>
    <w:rsid w:val="00542531"/>
    <w:rsid w:val="005428E3"/>
    <w:rsid w:val="00542966"/>
    <w:rsid w:val="005429F6"/>
    <w:rsid w:val="00542A4E"/>
    <w:rsid w:val="00542AB5"/>
    <w:rsid w:val="00542BB8"/>
    <w:rsid w:val="00542D37"/>
    <w:rsid w:val="00542DF8"/>
    <w:rsid w:val="00542DFF"/>
    <w:rsid w:val="00542E7C"/>
    <w:rsid w:val="00542ECF"/>
    <w:rsid w:val="00542F77"/>
    <w:rsid w:val="00543011"/>
    <w:rsid w:val="005431E6"/>
    <w:rsid w:val="00543384"/>
    <w:rsid w:val="005434CD"/>
    <w:rsid w:val="005434F4"/>
    <w:rsid w:val="00543762"/>
    <w:rsid w:val="00543795"/>
    <w:rsid w:val="0054382A"/>
    <w:rsid w:val="005438EB"/>
    <w:rsid w:val="005438F4"/>
    <w:rsid w:val="00543ABA"/>
    <w:rsid w:val="00543B01"/>
    <w:rsid w:val="00543BE4"/>
    <w:rsid w:val="00543C41"/>
    <w:rsid w:val="00543D71"/>
    <w:rsid w:val="00543DB8"/>
    <w:rsid w:val="00543E38"/>
    <w:rsid w:val="00543FC0"/>
    <w:rsid w:val="005442E8"/>
    <w:rsid w:val="00544329"/>
    <w:rsid w:val="0054432B"/>
    <w:rsid w:val="00544349"/>
    <w:rsid w:val="0054438D"/>
    <w:rsid w:val="005443B5"/>
    <w:rsid w:val="005444DF"/>
    <w:rsid w:val="00544615"/>
    <w:rsid w:val="005447D1"/>
    <w:rsid w:val="0054484C"/>
    <w:rsid w:val="00544875"/>
    <w:rsid w:val="005448A1"/>
    <w:rsid w:val="00544AFE"/>
    <w:rsid w:val="00544C4C"/>
    <w:rsid w:val="00544C7A"/>
    <w:rsid w:val="00544CF8"/>
    <w:rsid w:val="00544E1A"/>
    <w:rsid w:val="00544EA0"/>
    <w:rsid w:val="00544EBB"/>
    <w:rsid w:val="0054500A"/>
    <w:rsid w:val="0054502F"/>
    <w:rsid w:val="0054507A"/>
    <w:rsid w:val="005450A5"/>
    <w:rsid w:val="005451BD"/>
    <w:rsid w:val="00545234"/>
    <w:rsid w:val="0054529B"/>
    <w:rsid w:val="0054538F"/>
    <w:rsid w:val="00545702"/>
    <w:rsid w:val="0054578C"/>
    <w:rsid w:val="00545823"/>
    <w:rsid w:val="005458DC"/>
    <w:rsid w:val="0054592F"/>
    <w:rsid w:val="005459B3"/>
    <w:rsid w:val="00545B9B"/>
    <w:rsid w:val="00545BB5"/>
    <w:rsid w:val="00545BE6"/>
    <w:rsid w:val="00545CF6"/>
    <w:rsid w:val="00545E1F"/>
    <w:rsid w:val="00545E2E"/>
    <w:rsid w:val="00545F34"/>
    <w:rsid w:val="00545FF7"/>
    <w:rsid w:val="00546069"/>
    <w:rsid w:val="005460DC"/>
    <w:rsid w:val="00546194"/>
    <w:rsid w:val="0054619D"/>
    <w:rsid w:val="0054619F"/>
    <w:rsid w:val="0054628B"/>
    <w:rsid w:val="00546511"/>
    <w:rsid w:val="005465B2"/>
    <w:rsid w:val="005467DC"/>
    <w:rsid w:val="005467E6"/>
    <w:rsid w:val="00546800"/>
    <w:rsid w:val="00546867"/>
    <w:rsid w:val="00546976"/>
    <w:rsid w:val="0054698C"/>
    <w:rsid w:val="00546C11"/>
    <w:rsid w:val="00546C41"/>
    <w:rsid w:val="00546CB4"/>
    <w:rsid w:val="00546D9E"/>
    <w:rsid w:val="00546DB8"/>
    <w:rsid w:val="00546E32"/>
    <w:rsid w:val="00546E3C"/>
    <w:rsid w:val="00546EB3"/>
    <w:rsid w:val="00546FC1"/>
    <w:rsid w:val="00547036"/>
    <w:rsid w:val="00547202"/>
    <w:rsid w:val="005472D9"/>
    <w:rsid w:val="005473FD"/>
    <w:rsid w:val="0054771F"/>
    <w:rsid w:val="005477EA"/>
    <w:rsid w:val="00547857"/>
    <w:rsid w:val="00547992"/>
    <w:rsid w:val="00547A99"/>
    <w:rsid w:val="00547B58"/>
    <w:rsid w:val="00547C34"/>
    <w:rsid w:val="00547E1A"/>
    <w:rsid w:val="0055004F"/>
    <w:rsid w:val="00550060"/>
    <w:rsid w:val="00550081"/>
    <w:rsid w:val="005500A3"/>
    <w:rsid w:val="00550311"/>
    <w:rsid w:val="00550473"/>
    <w:rsid w:val="00550493"/>
    <w:rsid w:val="00550677"/>
    <w:rsid w:val="00550753"/>
    <w:rsid w:val="0055077E"/>
    <w:rsid w:val="0055079D"/>
    <w:rsid w:val="00550833"/>
    <w:rsid w:val="005509D1"/>
    <w:rsid w:val="00550C77"/>
    <w:rsid w:val="00550FFA"/>
    <w:rsid w:val="005510A3"/>
    <w:rsid w:val="005510CD"/>
    <w:rsid w:val="00551194"/>
    <w:rsid w:val="0055123A"/>
    <w:rsid w:val="00551332"/>
    <w:rsid w:val="0055141C"/>
    <w:rsid w:val="00551594"/>
    <w:rsid w:val="005516FC"/>
    <w:rsid w:val="00551832"/>
    <w:rsid w:val="00551893"/>
    <w:rsid w:val="00551994"/>
    <w:rsid w:val="00551A75"/>
    <w:rsid w:val="00551C8B"/>
    <w:rsid w:val="00551E2C"/>
    <w:rsid w:val="00551F7E"/>
    <w:rsid w:val="00551FFF"/>
    <w:rsid w:val="00552115"/>
    <w:rsid w:val="00552161"/>
    <w:rsid w:val="0055216A"/>
    <w:rsid w:val="005521CF"/>
    <w:rsid w:val="00552401"/>
    <w:rsid w:val="005524A3"/>
    <w:rsid w:val="0055252D"/>
    <w:rsid w:val="00552547"/>
    <w:rsid w:val="00552793"/>
    <w:rsid w:val="005527FB"/>
    <w:rsid w:val="00552B49"/>
    <w:rsid w:val="00552CBA"/>
    <w:rsid w:val="00552D79"/>
    <w:rsid w:val="00552ED6"/>
    <w:rsid w:val="00552FE5"/>
    <w:rsid w:val="0055303B"/>
    <w:rsid w:val="0055316B"/>
    <w:rsid w:val="005532CD"/>
    <w:rsid w:val="0055335A"/>
    <w:rsid w:val="005533CD"/>
    <w:rsid w:val="005534A9"/>
    <w:rsid w:val="00553508"/>
    <w:rsid w:val="0055353B"/>
    <w:rsid w:val="005539B7"/>
    <w:rsid w:val="005539F6"/>
    <w:rsid w:val="00553C39"/>
    <w:rsid w:val="00553CF5"/>
    <w:rsid w:val="00553CFC"/>
    <w:rsid w:val="00553DFC"/>
    <w:rsid w:val="00553F25"/>
    <w:rsid w:val="00554245"/>
    <w:rsid w:val="0055425E"/>
    <w:rsid w:val="00554435"/>
    <w:rsid w:val="00554486"/>
    <w:rsid w:val="005544FC"/>
    <w:rsid w:val="00554534"/>
    <w:rsid w:val="0055454A"/>
    <w:rsid w:val="005546C8"/>
    <w:rsid w:val="00554710"/>
    <w:rsid w:val="00554711"/>
    <w:rsid w:val="00554793"/>
    <w:rsid w:val="005548CF"/>
    <w:rsid w:val="00554A4A"/>
    <w:rsid w:val="00554BCC"/>
    <w:rsid w:val="00554C7C"/>
    <w:rsid w:val="00554D31"/>
    <w:rsid w:val="00554EF0"/>
    <w:rsid w:val="00554F7F"/>
    <w:rsid w:val="00554F9D"/>
    <w:rsid w:val="00554FB9"/>
    <w:rsid w:val="00554FD8"/>
    <w:rsid w:val="005550B1"/>
    <w:rsid w:val="005553C1"/>
    <w:rsid w:val="00555460"/>
    <w:rsid w:val="0055550C"/>
    <w:rsid w:val="00555619"/>
    <w:rsid w:val="0055570D"/>
    <w:rsid w:val="0055581C"/>
    <w:rsid w:val="0055583C"/>
    <w:rsid w:val="00555856"/>
    <w:rsid w:val="00555919"/>
    <w:rsid w:val="005559F9"/>
    <w:rsid w:val="00555A16"/>
    <w:rsid w:val="00555B35"/>
    <w:rsid w:val="00555B92"/>
    <w:rsid w:val="00555CC6"/>
    <w:rsid w:val="00555D1B"/>
    <w:rsid w:val="00555D47"/>
    <w:rsid w:val="00555D98"/>
    <w:rsid w:val="00555E94"/>
    <w:rsid w:val="00555EB0"/>
    <w:rsid w:val="005561C2"/>
    <w:rsid w:val="00556243"/>
    <w:rsid w:val="00556280"/>
    <w:rsid w:val="00556290"/>
    <w:rsid w:val="005562FA"/>
    <w:rsid w:val="0055631B"/>
    <w:rsid w:val="00556345"/>
    <w:rsid w:val="0055642E"/>
    <w:rsid w:val="00556482"/>
    <w:rsid w:val="00556607"/>
    <w:rsid w:val="0055661F"/>
    <w:rsid w:val="00556B28"/>
    <w:rsid w:val="00556D1B"/>
    <w:rsid w:val="00556DA4"/>
    <w:rsid w:val="00556EB8"/>
    <w:rsid w:val="005570C9"/>
    <w:rsid w:val="00557252"/>
    <w:rsid w:val="005572B7"/>
    <w:rsid w:val="005572C2"/>
    <w:rsid w:val="0055743E"/>
    <w:rsid w:val="00557505"/>
    <w:rsid w:val="00557668"/>
    <w:rsid w:val="005577D0"/>
    <w:rsid w:val="005578A1"/>
    <w:rsid w:val="005579F4"/>
    <w:rsid w:val="00557A26"/>
    <w:rsid w:val="00557A63"/>
    <w:rsid w:val="00557AA1"/>
    <w:rsid w:val="00557ACF"/>
    <w:rsid w:val="00557BAF"/>
    <w:rsid w:val="00557E49"/>
    <w:rsid w:val="00557EE9"/>
    <w:rsid w:val="00557F09"/>
    <w:rsid w:val="00557F82"/>
    <w:rsid w:val="00557F87"/>
    <w:rsid w:val="00557F92"/>
    <w:rsid w:val="00560171"/>
    <w:rsid w:val="005601CC"/>
    <w:rsid w:val="0056032A"/>
    <w:rsid w:val="00560494"/>
    <w:rsid w:val="0056057C"/>
    <w:rsid w:val="0056059A"/>
    <w:rsid w:val="0056059C"/>
    <w:rsid w:val="0056085E"/>
    <w:rsid w:val="005608DD"/>
    <w:rsid w:val="0056093A"/>
    <w:rsid w:val="00560B59"/>
    <w:rsid w:val="00560BBF"/>
    <w:rsid w:val="00560CFC"/>
    <w:rsid w:val="00560D46"/>
    <w:rsid w:val="00560FEC"/>
    <w:rsid w:val="00560FFA"/>
    <w:rsid w:val="00561050"/>
    <w:rsid w:val="005610D3"/>
    <w:rsid w:val="0056124D"/>
    <w:rsid w:val="00561271"/>
    <w:rsid w:val="005612C6"/>
    <w:rsid w:val="0056137D"/>
    <w:rsid w:val="00561580"/>
    <w:rsid w:val="0056181F"/>
    <w:rsid w:val="00561878"/>
    <w:rsid w:val="00561980"/>
    <w:rsid w:val="00561993"/>
    <w:rsid w:val="00561A09"/>
    <w:rsid w:val="00561ADD"/>
    <w:rsid w:val="00561BA3"/>
    <w:rsid w:val="00561C55"/>
    <w:rsid w:val="00561CF8"/>
    <w:rsid w:val="00561E8D"/>
    <w:rsid w:val="00561EB5"/>
    <w:rsid w:val="00561FA5"/>
    <w:rsid w:val="005620D6"/>
    <w:rsid w:val="00562136"/>
    <w:rsid w:val="005621FE"/>
    <w:rsid w:val="00562261"/>
    <w:rsid w:val="005622C7"/>
    <w:rsid w:val="00562594"/>
    <w:rsid w:val="005625FB"/>
    <w:rsid w:val="00562723"/>
    <w:rsid w:val="0056272B"/>
    <w:rsid w:val="00562756"/>
    <w:rsid w:val="0056276E"/>
    <w:rsid w:val="0056280A"/>
    <w:rsid w:val="0056285C"/>
    <w:rsid w:val="005628B1"/>
    <w:rsid w:val="005628B3"/>
    <w:rsid w:val="005628CA"/>
    <w:rsid w:val="005628D3"/>
    <w:rsid w:val="00562971"/>
    <w:rsid w:val="005629F6"/>
    <w:rsid w:val="00562A3C"/>
    <w:rsid w:val="00562A9D"/>
    <w:rsid w:val="00562C00"/>
    <w:rsid w:val="00562CA1"/>
    <w:rsid w:val="00562D5F"/>
    <w:rsid w:val="00562E05"/>
    <w:rsid w:val="00562F3A"/>
    <w:rsid w:val="00562F80"/>
    <w:rsid w:val="00562FB1"/>
    <w:rsid w:val="0056301F"/>
    <w:rsid w:val="0056302C"/>
    <w:rsid w:val="00563155"/>
    <w:rsid w:val="0056319C"/>
    <w:rsid w:val="005634E2"/>
    <w:rsid w:val="00563594"/>
    <w:rsid w:val="005635FA"/>
    <w:rsid w:val="00563616"/>
    <w:rsid w:val="005636E7"/>
    <w:rsid w:val="00563765"/>
    <w:rsid w:val="00563775"/>
    <w:rsid w:val="00563811"/>
    <w:rsid w:val="00563827"/>
    <w:rsid w:val="0056385B"/>
    <w:rsid w:val="00563AB9"/>
    <w:rsid w:val="00563E24"/>
    <w:rsid w:val="00563F0D"/>
    <w:rsid w:val="00563F11"/>
    <w:rsid w:val="00563F21"/>
    <w:rsid w:val="005640DA"/>
    <w:rsid w:val="005640E0"/>
    <w:rsid w:val="0056413B"/>
    <w:rsid w:val="00564247"/>
    <w:rsid w:val="00564335"/>
    <w:rsid w:val="0056449A"/>
    <w:rsid w:val="00564586"/>
    <w:rsid w:val="005645EC"/>
    <w:rsid w:val="0056469C"/>
    <w:rsid w:val="00564782"/>
    <w:rsid w:val="00564802"/>
    <w:rsid w:val="0056485B"/>
    <w:rsid w:val="0056486A"/>
    <w:rsid w:val="005648D9"/>
    <w:rsid w:val="00564935"/>
    <w:rsid w:val="00564A6F"/>
    <w:rsid w:val="00564B19"/>
    <w:rsid w:val="00564BA6"/>
    <w:rsid w:val="00564C0D"/>
    <w:rsid w:val="00564EBF"/>
    <w:rsid w:val="00564FAE"/>
    <w:rsid w:val="00564FB3"/>
    <w:rsid w:val="005650F9"/>
    <w:rsid w:val="00565267"/>
    <w:rsid w:val="0056526C"/>
    <w:rsid w:val="005652A0"/>
    <w:rsid w:val="005652D2"/>
    <w:rsid w:val="005652E7"/>
    <w:rsid w:val="005653BD"/>
    <w:rsid w:val="005654DA"/>
    <w:rsid w:val="0056565B"/>
    <w:rsid w:val="005656B1"/>
    <w:rsid w:val="00565743"/>
    <w:rsid w:val="00565990"/>
    <w:rsid w:val="00565BBA"/>
    <w:rsid w:val="00565D8A"/>
    <w:rsid w:val="00565DC5"/>
    <w:rsid w:val="00566086"/>
    <w:rsid w:val="005660A3"/>
    <w:rsid w:val="00566134"/>
    <w:rsid w:val="00566190"/>
    <w:rsid w:val="00566331"/>
    <w:rsid w:val="00566367"/>
    <w:rsid w:val="005664A1"/>
    <w:rsid w:val="005665C2"/>
    <w:rsid w:val="0056661D"/>
    <w:rsid w:val="00566624"/>
    <w:rsid w:val="0056692E"/>
    <w:rsid w:val="005669FE"/>
    <w:rsid w:val="00566A7E"/>
    <w:rsid w:val="00566B08"/>
    <w:rsid w:val="00566B14"/>
    <w:rsid w:val="00566C2C"/>
    <w:rsid w:val="00566DBF"/>
    <w:rsid w:val="00566FE0"/>
    <w:rsid w:val="00566FE5"/>
    <w:rsid w:val="0056700E"/>
    <w:rsid w:val="005670A3"/>
    <w:rsid w:val="0056716D"/>
    <w:rsid w:val="005671A6"/>
    <w:rsid w:val="005671CF"/>
    <w:rsid w:val="00567304"/>
    <w:rsid w:val="0056730B"/>
    <w:rsid w:val="00567523"/>
    <w:rsid w:val="00567605"/>
    <w:rsid w:val="005677C1"/>
    <w:rsid w:val="0056796D"/>
    <w:rsid w:val="005679D2"/>
    <w:rsid w:val="00567A1C"/>
    <w:rsid w:val="00567C5E"/>
    <w:rsid w:val="00567C60"/>
    <w:rsid w:val="00567CB9"/>
    <w:rsid w:val="00567D82"/>
    <w:rsid w:val="00567E49"/>
    <w:rsid w:val="00567EFD"/>
    <w:rsid w:val="00567FD7"/>
    <w:rsid w:val="00570097"/>
    <w:rsid w:val="005700BF"/>
    <w:rsid w:val="005700C7"/>
    <w:rsid w:val="00570108"/>
    <w:rsid w:val="005701A1"/>
    <w:rsid w:val="005701DE"/>
    <w:rsid w:val="00570295"/>
    <w:rsid w:val="00570368"/>
    <w:rsid w:val="005703F2"/>
    <w:rsid w:val="005704B2"/>
    <w:rsid w:val="0057053A"/>
    <w:rsid w:val="00570550"/>
    <w:rsid w:val="005705FB"/>
    <w:rsid w:val="0057070D"/>
    <w:rsid w:val="0057073F"/>
    <w:rsid w:val="0057078E"/>
    <w:rsid w:val="00570795"/>
    <w:rsid w:val="005709CE"/>
    <w:rsid w:val="00570A33"/>
    <w:rsid w:val="00570AAB"/>
    <w:rsid w:val="00570AEC"/>
    <w:rsid w:val="00570BD5"/>
    <w:rsid w:val="00570D2E"/>
    <w:rsid w:val="00570E24"/>
    <w:rsid w:val="00570E40"/>
    <w:rsid w:val="00570E46"/>
    <w:rsid w:val="00570E59"/>
    <w:rsid w:val="00570FB9"/>
    <w:rsid w:val="005710FD"/>
    <w:rsid w:val="00571223"/>
    <w:rsid w:val="0057127A"/>
    <w:rsid w:val="005712AC"/>
    <w:rsid w:val="0057132E"/>
    <w:rsid w:val="005713E1"/>
    <w:rsid w:val="005713F5"/>
    <w:rsid w:val="00571400"/>
    <w:rsid w:val="00571466"/>
    <w:rsid w:val="0057159E"/>
    <w:rsid w:val="005716A5"/>
    <w:rsid w:val="00571861"/>
    <w:rsid w:val="0057188C"/>
    <w:rsid w:val="00571A17"/>
    <w:rsid w:val="00571ADA"/>
    <w:rsid w:val="00571AE1"/>
    <w:rsid w:val="00571AE9"/>
    <w:rsid w:val="00571B6F"/>
    <w:rsid w:val="00571C4B"/>
    <w:rsid w:val="00571D52"/>
    <w:rsid w:val="00571F55"/>
    <w:rsid w:val="0057215C"/>
    <w:rsid w:val="00572206"/>
    <w:rsid w:val="00572221"/>
    <w:rsid w:val="00572284"/>
    <w:rsid w:val="00572549"/>
    <w:rsid w:val="00572557"/>
    <w:rsid w:val="00572585"/>
    <w:rsid w:val="00572670"/>
    <w:rsid w:val="005728A8"/>
    <w:rsid w:val="00572ADB"/>
    <w:rsid w:val="00572CA8"/>
    <w:rsid w:val="00572CD8"/>
    <w:rsid w:val="00572E8A"/>
    <w:rsid w:val="00572EFF"/>
    <w:rsid w:val="00572FA2"/>
    <w:rsid w:val="00572FD6"/>
    <w:rsid w:val="00573346"/>
    <w:rsid w:val="0057337E"/>
    <w:rsid w:val="005733C5"/>
    <w:rsid w:val="00573490"/>
    <w:rsid w:val="005735F0"/>
    <w:rsid w:val="00573614"/>
    <w:rsid w:val="005736F1"/>
    <w:rsid w:val="0057371A"/>
    <w:rsid w:val="00573797"/>
    <w:rsid w:val="005737DF"/>
    <w:rsid w:val="00573923"/>
    <w:rsid w:val="005739C7"/>
    <w:rsid w:val="005739CB"/>
    <w:rsid w:val="00573A75"/>
    <w:rsid w:val="00573B6E"/>
    <w:rsid w:val="00573B9D"/>
    <w:rsid w:val="00573BD6"/>
    <w:rsid w:val="00573D65"/>
    <w:rsid w:val="00573ECF"/>
    <w:rsid w:val="00573F0A"/>
    <w:rsid w:val="00573F64"/>
    <w:rsid w:val="00573FD4"/>
    <w:rsid w:val="00573FEC"/>
    <w:rsid w:val="00573FFF"/>
    <w:rsid w:val="0057417B"/>
    <w:rsid w:val="00574473"/>
    <w:rsid w:val="0057451C"/>
    <w:rsid w:val="00574683"/>
    <w:rsid w:val="005747D9"/>
    <w:rsid w:val="005749E5"/>
    <w:rsid w:val="00574AC3"/>
    <w:rsid w:val="00574BF0"/>
    <w:rsid w:val="00574CA0"/>
    <w:rsid w:val="00574E94"/>
    <w:rsid w:val="00574FAD"/>
    <w:rsid w:val="00575073"/>
    <w:rsid w:val="0057508E"/>
    <w:rsid w:val="005750E6"/>
    <w:rsid w:val="005751E3"/>
    <w:rsid w:val="005751F2"/>
    <w:rsid w:val="0057530C"/>
    <w:rsid w:val="00575316"/>
    <w:rsid w:val="0057533E"/>
    <w:rsid w:val="00575374"/>
    <w:rsid w:val="005753B7"/>
    <w:rsid w:val="00575543"/>
    <w:rsid w:val="00575623"/>
    <w:rsid w:val="005756EF"/>
    <w:rsid w:val="005756F5"/>
    <w:rsid w:val="005757A3"/>
    <w:rsid w:val="005757F9"/>
    <w:rsid w:val="00575833"/>
    <w:rsid w:val="005758A6"/>
    <w:rsid w:val="005758A9"/>
    <w:rsid w:val="00575956"/>
    <w:rsid w:val="00575A31"/>
    <w:rsid w:val="00575C91"/>
    <w:rsid w:val="00575E32"/>
    <w:rsid w:val="00575E63"/>
    <w:rsid w:val="00575F18"/>
    <w:rsid w:val="00575FA3"/>
    <w:rsid w:val="005760B9"/>
    <w:rsid w:val="005761F8"/>
    <w:rsid w:val="00576291"/>
    <w:rsid w:val="00576311"/>
    <w:rsid w:val="005763FE"/>
    <w:rsid w:val="005764F9"/>
    <w:rsid w:val="005766EE"/>
    <w:rsid w:val="00576A2C"/>
    <w:rsid w:val="00576A70"/>
    <w:rsid w:val="00576B1D"/>
    <w:rsid w:val="00576D66"/>
    <w:rsid w:val="00576E21"/>
    <w:rsid w:val="00576E58"/>
    <w:rsid w:val="00576E6C"/>
    <w:rsid w:val="00576EA1"/>
    <w:rsid w:val="00576F8E"/>
    <w:rsid w:val="00577087"/>
    <w:rsid w:val="005770D9"/>
    <w:rsid w:val="0057713D"/>
    <w:rsid w:val="00577186"/>
    <w:rsid w:val="005771A8"/>
    <w:rsid w:val="00577251"/>
    <w:rsid w:val="0057727E"/>
    <w:rsid w:val="00577296"/>
    <w:rsid w:val="005775AB"/>
    <w:rsid w:val="00577663"/>
    <w:rsid w:val="00577675"/>
    <w:rsid w:val="005776A6"/>
    <w:rsid w:val="005777AA"/>
    <w:rsid w:val="00577A9E"/>
    <w:rsid w:val="00577B04"/>
    <w:rsid w:val="00577CD4"/>
    <w:rsid w:val="00577DBB"/>
    <w:rsid w:val="00577E60"/>
    <w:rsid w:val="00580229"/>
    <w:rsid w:val="00580281"/>
    <w:rsid w:val="00580317"/>
    <w:rsid w:val="0058037C"/>
    <w:rsid w:val="00580385"/>
    <w:rsid w:val="00580559"/>
    <w:rsid w:val="00580743"/>
    <w:rsid w:val="00580794"/>
    <w:rsid w:val="005807DE"/>
    <w:rsid w:val="00580819"/>
    <w:rsid w:val="005808EC"/>
    <w:rsid w:val="005808F5"/>
    <w:rsid w:val="0058094B"/>
    <w:rsid w:val="0058098C"/>
    <w:rsid w:val="005809EE"/>
    <w:rsid w:val="00580C49"/>
    <w:rsid w:val="00580DAF"/>
    <w:rsid w:val="00580F68"/>
    <w:rsid w:val="00580F77"/>
    <w:rsid w:val="0058108E"/>
    <w:rsid w:val="0058110E"/>
    <w:rsid w:val="00581220"/>
    <w:rsid w:val="00581300"/>
    <w:rsid w:val="00581420"/>
    <w:rsid w:val="00581567"/>
    <w:rsid w:val="0058166E"/>
    <w:rsid w:val="00581680"/>
    <w:rsid w:val="00581731"/>
    <w:rsid w:val="00581841"/>
    <w:rsid w:val="00581A10"/>
    <w:rsid w:val="00581A62"/>
    <w:rsid w:val="00581AE5"/>
    <w:rsid w:val="00581C5D"/>
    <w:rsid w:val="00581E2C"/>
    <w:rsid w:val="00581F68"/>
    <w:rsid w:val="005821D1"/>
    <w:rsid w:val="00582288"/>
    <w:rsid w:val="0058228E"/>
    <w:rsid w:val="0058230A"/>
    <w:rsid w:val="00582310"/>
    <w:rsid w:val="00582539"/>
    <w:rsid w:val="00582690"/>
    <w:rsid w:val="00582834"/>
    <w:rsid w:val="00582A89"/>
    <w:rsid w:val="00582B55"/>
    <w:rsid w:val="00582E5D"/>
    <w:rsid w:val="00582F12"/>
    <w:rsid w:val="00582F77"/>
    <w:rsid w:val="00582F7B"/>
    <w:rsid w:val="00582FAC"/>
    <w:rsid w:val="00582FD9"/>
    <w:rsid w:val="00583054"/>
    <w:rsid w:val="005830AB"/>
    <w:rsid w:val="005830E9"/>
    <w:rsid w:val="00583113"/>
    <w:rsid w:val="00583123"/>
    <w:rsid w:val="005831C7"/>
    <w:rsid w:val="0058327A"/>
    <w:rsid w:val="005833BF"/>
    <w:rsid w:val="0058345A"/>
    <w:rsid w:val="00583463"/>
    <w:rsid w:val="00583549"/>
    <w:rsid w:val="0058374B"/>
    <w:rsid w:val="0058391B"/>
    <w:rsid w:val="00583A22"/>
    <w:rsid w:val="00583C4B"/>
    <w:rsid w:val="00583C51"/>
    <w:rsid w:val="00583D0E"/>
    <w:rsid w:val="00583E25"/>
    <w:rsid w:val="00583E6D"/>
    <w:rsid w:val="00583EC2"/>
    <w:rsid w:val="00583EF1"/>
    <w:rsid w:val="00583FD7"/>
    <w:rsid w:val="00584009"/>
    <w:rsid w:val="00584016"/>
    <w:rsid w:val="0058413B"/>
    <w:rsid w:val="00584266"/>
    <w:rsid w:val="00584360"/>
    <w:rsid w:val="00584389"/>
    <w:rsid w:val="0058444C"/>
    <w:rsid w:val="00584499"/>
    <w:rsid w:val="00584529"/>
    <w:rsid w:val="00584632"/>
    <w:rsid w:val="00584663"/>
    <w:rsid w:val="00584697"/>
    <w:rsid w:val="00584830"/>
    <w:rsid w:val="00584887"/>
    <w:rsid w:val="00584906"/>
    <w:rsid w:val="00584D81"/>
    <w:rsid w:val="00584D8B"/>
    <w:rsid w:val="00584D9E"/>
    <w:rsid w:val="00584FBC"/>
    <w:rsid w:val="00585082"/>
    <w:rsid w:val="005850A0"/>
    <w:rsid w:val="00585205"/>
    <w:rsid w:val="005852AE"/>
    <w:rsid w:val="005852E9"/>
    <w:rsid w:val="00585304"/>
    <w:rsid w:val="0058530A"/>
    <w:rsid w:val="005853A7"/>
    <w:rsid w:val="0058543D"/>
    <w:rsid w:val="005854C3"/>
    <w:rsid w:val="00585617"/>
    <w:rsid w:val="0058567F"/>
    <w:rsid w:val="00585717"/>
    <w:rsid w:val="0058572C"/>
    <w:rsid w:val="005858A9"/>
    <w:rsid w:val="005858BF"/>
    <w:rsid w:val="005858E8"/>
    <w:rsid w:val="005859FA"/>
    <w:rsid w:val="00585A90"/>
    <w:rsid w:val="00585D1A"/>
    <w:rsid w:val="00585D3C"/>
    <w:rsid w:val="00585E31"/>
    <w:rsid w:val="00585E55"/>
    <w:rsid w:val="00585F60"/>
    <w:rsid w:val="00585FCF"/>
    <w:rsid w:val="00586031"/>
    <w:rsid w:val="00586105"/>
    <w:rsid w:val="00586191"/>
    <w:rsid w:val="00586328"/>
    <w:rsid w:val="0058635C"/>
    <w:rsid w:val="005863F3"/>
    <w:rsid w:val="0058645E"/>
    <w:rsid w:val="00586661"/>
    <w:rsid w:val="005866D2"/>
    <w:rsid w:val="00586793"/>
    <w:rsid w:val="00586892"/>
    <w:rsid w:val="00586A1F"/>
    <w:rsid w:val="00586B18"/>
    <w:rsid w:val="00586B51"/>
    <w:rsid w:val="00586C21"/>
    <w:rsid w:val="00586CAB"/>
    <w:rsid w:val="00586D2F"/>
    <w:rsid w:val="00586D92"/>
    <w:rsid w:val="00586E88"/>
    <w:rsid w:val="00586F10"/>
    <w:rsid w:val="00586F20"/>
    <w:rsid w:val="005870F6"/>
    <w:rsid w:val="005872C7"/>
    <w:rsid w:val="005874F3"/>
    <w:rsid w:val="005874FC"/>
    <w:rsid w:val="0058757E"/>
    <w:rsid w:val="005875EF"/>
    <w:rsid w:val="005875F8"/>
    <w:rsid w:val="0058788B"/>
    <w:rsid w:val="00587A2D"/>
    <w:rsid w:val="00587B48"/>
    <w:rsid w:val="00587B84"/>
    <w:rsid w:val="00587CED"/>
    <w:rsid w:val="00587CF1"/>
    <w:rsid w:val="00587ED2"/>
    <w:rsid w:val="00587F46"/>
    <w:rsid w:val="00587FE1"/>
    <w:rsid w:val="00588BA5"/>
    <w:rsid w:val="00590007"/>
    <w:rsid w:val="005900ED"/>
    <w:rsid w:val="00590106"/>
    <w:rsid w:val="0059010B"/>
    <w:rsid w:val="00590168"/>
    <w:rsid w:val="005901E5"/>
    <w:rsid w:val="005905A2"/>
    <w:rsid w:val="005906DD"/>
    <w:rsid w:val="00590769"/>
    <w:rsid w:val="00590775"/>
    <w:rsid w:val="0059082D"/>
    <w:rsid w:val="005908DD"/>
    <w:rsid w:val="00590996"/>
    <w:rsid w:val="00590AC7"/>
    <w:rsid w:val="00590B34"/>
    <w:rsid w:val="00590C54"/>
    <w:rsid w:val="00590EC7"/>
    <w:rsid w:val="00591119"/>
    <w:rsid w:val="0059114E"/>
    <w:rsid w:val="0059117E"/>
    <w:rsid w:val="005912C6"/>
    <w:rsid w:val="0059142C"/>
    <w:rsid w:val="005914F9"/>
    <w:rsid w:val="005915F6"/>
    <w:rsid w:val="0059174D"/>
    <w:rsid w:val="00591750"/>
    <w:rsid w:val="00591812"/>
    <w:rsid w:val="00591915"/>
    <w:rsid w:val="00591917"/>
    <w:rsid w:val="00591B0A"/>
    <w:rsid w:val="00591C5C"/>
    <w:rsid w:val="00591C76"/>
    <w:rsid w:val="00591D49"/>
    <w:rsid w:val="00591DB4"/>
    <w:rsid w:val="00591DCA"/>
    <w:rsid w:val="0059203E"/>
    <w:rsid w:val="00592105"/>
    <w:rsid w:val="0059212A"/>
    <w:rsid w:val="005921B6"/>
    <w:rsid w:val="00592277"/>
    <w:rsid w:val="00592305"/>
    <w:rsid w:val="00592339"/>
    <w:rsid w:val="00592371"/>
    <w:rsid w:val="00592574"/>
    <w:rsid w:val="00592770"/>
    <w:rsid w:val="00592919"/>
    <w:rsid w:val="00592A9E"/>
    <w:rsid w:val="00592BAF"/>
    <w:rsid w:val="00592C29"/>
    <w:rsid w:val="00592CEE"/>
    <w:rsid w:val="00592D29"/>
    <w:rsid w:val="00592D6A"/>
    <w:rsid w:val="00592DCE"/>
    <w:rsid w:val="00593068"/>
    <w:rsid w:val="005930B3"/>
    <w:rsid w:val="005930E4"/>
    <w:rsid w:val="00593181"/>
    <w:rsid w:val="005931A7"/>
    <w:rsid w:val="00593236"/>
    <w:rsid w:val="0059348D"/>
    <w:rsid w:val="005934BA"/>
    <w:rsid w:val="0059351F"/>
    <w:rsid w:val="00593539"/>
    <w:rsid w:val="005936D8"/>
    <w:rsid w:val="00593886"/>
    <w:rsid w:val="005938CA"/>
    <w:rsid w:val="0059393F"/>
    <w:rsid w:val="00593955"/>
    <w:rsid w:val="005939E0"/>
    <w:rsid w:val="005939F8"/>
    <w:rsid w:val="00593B99"/>
    <w:rsid w:val="00593BCA"/>
    <w:rsid w:val="00593D65"/>
    <w:rsid w:val="00593E14"/>
    <w:rsid w:val="00593FE5"/>
    <w:rsid w:val="0059407C"/>
    <w:rsid w:val="005942DB"/>
    <w:rsid w:val="00594390"/>
    <w:rsid w:val="00594399"/>
    <w:rsid w:val="00594451"/>
    <w:rsid w:val="0059458C"/>
    <w:rsid w:val="005945D5"/>
    <w:rsid w:val="00594715"/>
    <w:rsid w:val="0059479C"/>
    <w:rsid w:val="005947CC"/>
    <w:rsid w:val="005949CB"/>
    <w:rsid w:val="00594A62"/>
    <w:rsid w:val="00594ACA"/>
    <w:rsid w:val="00594AF0"/>
    <w:rsid w:val="00594B7D"/>
    <w:rsid w:val="00594DBB"/>
    <w:rsid w:val="00594EA2"/>
    <w:rsid w:val="00594F78"/>
    <w:rsid w:val="0059517B"/>
    <w:rsid w:val="0059524A"/>
    <w:rsid w:val="0059531F"/>
    <w:rsid w:val="005953C6"/>
    <w:rsid w:val="005955DD"/>
    <w:rsid w:val="00595657"/>
    <w:rsid w:val="0059579B"/>
    <w:rsid w:val="00595839"/>
    <w:rsid w:val="00595B33"/>
    <w:rsid w:val="00595B82"/>
    <w:rsid w:val="00595BE4"/>
    <w:rsid w:val="00595BF1"/>
    <w:rsid w:val="00595C72"/>
    <w:rsid w:val="00595CB4"/>
    <w:rsid w:val="0059604D"/>
    <w:rsid w:val="00596350"/>
    <w:rsid w:val="00596399"/>
    <w:rsid w:val="005963E5"/>
    <w:rsid w:val="005967A2"/>
    <w:rsid w:val="005969F1"/>
    <w:rsid w:val="00596A10"/>
    <w:rsid w:val="00596A40"/>
    <w:rsid w:val="00596B7E"/>
    <w:rsid w:val="00596C7A"/>
    <w:rsid w:val="00596C85"/>
    <w:rsid w:val="00596D29"/>
    <w:rsid w:val="00596DDF"/>
    <w:rsid w:val="00596EAD"/>
    <w:rsid w:val="00596EE4"/>
    <w:rsid w:val="00597440"/>
    <w:rsid w:val="005976F2"/>
    <w:rsid w:val="00597837"/>
    <w:rsid w:val="0059788E"/>
    <w:rsid w:val="005979E3"/>
    <w:rsid w:val="00597ABA"/>
    <w:rsid w:val="00597B45"/>
    <w:rsid w:val="00597BD7"/>
    <w:rsid w:val="00597BFF"/>
    <w:rsid w:val="00597D7D"/>
    <w:rsid w:val="00597E24"/>
    <w:rsid w:val="00597F58"/>
    <w:rsid w:val="005A02A1"/>
    <w:rsid w:val="005A02A7"/>
    <w:rsid w:val="005A03CC"/>
    <w:rsid w:val="005A0468"/>
    <w:rsid w:val="005A04AA"/>
    <w:rsid w:val="005A0519"/>
    <w:rsid w:val="005A0650"/>
    <w:rsid w:val="005A06A8"/>
    <w:rsid w:val="005A06F8"/>
    <w:rsid w:val="005A08C8"/>
    <w:rsid w:val="005A0C5C"/>
    <w:rsid w:val="005A0D32"/>
    <w:rsid w:val="005A0D95"/>
    <w:rsid w:val="005A0EBF"/>
    <w:rsid w:val="005A1037"/>
    <w:rsid w:val="005A1089"/>
    <w:rsid w:val="005A11BF"/>
    <w:rsid w:val="005A1362"/>
    <w:rsid w:val="005A145B"/>
    <w:rsid w:val="005A1689"/>
    <w:rsid w:val="005A1801"/>
    <w:rsid w:val="005A1825"/>
    <w:rsid w:val="005A195D"/>
    <w:rsid w:val="005A19EA"/>
    <w:rsid w:val="005A1BDE"/>
    <w:rsid w:val="005A1D01"/>
    <w:rsid w:val="005A1D0A"/>
    <w:rsid w:val="005A1E78"/>
    <w:rsid w:val="005A201E"/>
    <w:rsid w:val="005A20AD"/>
    <w:rsid w:val="005A2212"/>
    <w:rsid w:val="005A2331"/>
    <w:rsid w:val="005A25A5"/>
    <w:rsid w:val="005A2640"/>
    <w:rsid w:val="005A26DC"/>
    <w:rsid w:val="005A26F8"/>
    <w:rsid w:val="005A28A4"/>
    <w:rsid w:val="005A2906"/>
    <w:rsid w:val="005A2BA1"/>
    <w:rsid w:val="005A2C7E"/>
    <w:rsid w:val="005A2D7C"/>
    <w:rsid w:val="005A2E3D"/>
    <w:rsid w:val="005A3183"/>
    <w:rsid w:val="005A31C8"/>
    <w:rsid w:val="005A341B"/>
    <w:rsid w:val="005A341D"/>
    <w:rsid w:val="005A36FB"/>
    <w:rsid w:val="005A37BD"/>
    <w:rsid w:val="005A38B2"/>
    <w:rsid w:val="005A392D"/>
    <w:rsid w:val="005A39D7"/>
    <w:rsid w:val="005A39FC"/>
    <w:rsid w:val="005A3A9E"/>
    <w:rsid w:val="005A3BC2"/>
    <w:rsid w:val="005A3EA3"/>
    <w:rsid w:val="005A4001"/>
    <w:rsid w:val="005A4024"/>
    <w:rsid w:val="005A406E"/>
    <w:rsid w:val="005A4138"/>
    <w:rsid w:val="005A418A"/>
    <w:rsid w:val="005A425D"/>
    <w:rsid w:val="005A446D"/>
    <w:rsid w:val="005A44DB"/>
    <w:rsid w:val="005A4509"/>
    <w:rsid w:val="005A4510"/>
    <w:rsid w:val="005A4595"/>
    <w:rsid w:val="005A4672"/>
    <w:rsid w:val="005A4700"/>
    <w:rsid w:val="005A480B"/>
    <w:rsid w:val="005A4857"/>
    <w:rsid w:val="005A49C7"/>
    <w:rsid w:val="005A49FC"/>
    <w:rsid w:val="005A4B7E"/>
    <w:rsid w:val="005A4D07"/>
    <w:rsid w:val="005A4D21"/>
    <w:rsid w:val="005A4D4E"/>
    <w:rsid w:val="005A4DCF"/>
    <w:rsid w:val="005A4E8A"/>
    <w:rsid w:val="005A4EFE"/>
    <w:rsid w:val="005A4FDC"/>
    <w:rsid w:val="005A4FF2"/>
    <w:rsid w:val="005A5471"/>
    <w:rsid w:val="005A5476"/>
    <w:rsid w:val="005A554D"/>
    <w:rsid w:val="005A562C"/>
    <w:rsid w:val="005A59B2"/>
    <w:rsid w:val="005A5A7E"/>
    <w:rsid w:val="005A5AAF"/>
    <w:rsid w:val="005A5B48"/>
    <w:rsid w:val="005A5C63"/>
    <w:rsid w:val="005A5E01"/>
    <w:rsid w:val="005A6025"/>
    <w:rsid w:val="005A609C"/>
    <w:rsid w:val="005A6147"/>
    <w:rsid w:val="005A644B"/>
    <w:rsid w:val="005A649F"/>
    <w:rsid w:val="005A6554"/>
    <w:rsid w:val="005A6572"/>
    <w:rsid w:val="005A664A"/>
    <w:rsid w:val="005A6671"/>
    <w:rsid w:val="005A66B7"/>
    <w:rsid w:val="005A66DC"/>
    <w:rsid w:val="005A675F"/>
    <w:rsid w:val="005A67FC"/>
    <w:rsid w:val="005A6A13"/>
    <w:rsid w:val="005A6B5C"/>
    <w:rsid w:val="005A6D7E"/>
    <w:rsid w:val="005A6E19"/>
    <w:rsid w:val="005A6ECF"/>
    <w:rsid w:val="005A6FA4"/>
    <w:rsid w:val="005A6FE5"/>
    <w:rsid w:val="005A7093"/>
    <w:rsid w:val="005A71AB"/>
    <w:rsid w:val="005A732C"/>
    <w:rsid w:val="005A73AC"/>
    <w:rsid w:val="005A74C3"/>
    <w:rsid w:val="005A754B"/>
    <w:rsid w:val="005A7791"/>
    <w:rsid w:val="005A787E"/>
    <w:rsid w:val="005A78DE"/>
    <w:rsid w:val="005A7907"/>
    <w:rsid w:val="005A7927"/>
    <w:rsid w:val="005A7954"/>
    <w:rsid w:val="005A7989"/>
    <w:rsid w:val="005A7C4F"/>
    <w:rsid w:val="005A7C7F"/>
    <w:rsid w:val="005A7D12"/>
    <w:rsid w:val="005A7E6F"/>
    <w:rsid w:val="005A7F44"/>
    <w:rsid w:val="005A7FB1"/>
    <w:rsid w:val="005A7FF1"/>
    <w:rsid w:val="005B0038"/>
    <w:rsid w:val="005B00DC"/>
    <w:rsid w:val="005B0474"/>
    <w:rsid w:val="005B077F"/>
    <w:rsid w:val="005B0839"/>
    <w:rsid w:val="005B08A8"/>
    <w:rsid w:val="005B08E1"/>
    <w:rsid w:val="005B096B"/>
    <w:rsid w:val="005B09E2"/>
    <w:rsid w:val="005B0A18"/>
    <w:rsid w:val="005B0BEB"/>
    <w:rsid w:val="005B0C3A"/>
    <w:rsid w:val="005B0CA1"/>
    <w:rsid w:val="005B0CD7"/>
    <w:rsid w:val="005B129A"/>
    <w:rsid w:val="005B12F6"/>
    <w:rsid w:val="005B133E"/>
    <w:rsid w:val="005B13C1"/>
    <w:rsid w:val="005B1477"/>
    <w:rsid w:val="005B1576"/>
    <w:rsid w:val="005B15BF"/>
    <w:rsid w:val="005B15CB"/>
    <w:rsid w:val="005B1603"/>
    <w:rsid w:val="005B16D4"/>
    <w:rsid w:val="005B17F1"/>
    <w:rsid w:val="005B187A"/>
    <w:rsid w:val="005B1C7A"/>
    <w:rsid w:val="005B1D01"/>
    <w:rsid w:val="005B1DF0"/>
    <w:rsid w:val="005B1E26"/>
    <w:rsid w:val="005B1E54"/>
    <w:rsid w:val="005B2161"/>
    <w:rsid w:val="005B21D7"/>
    <w:rsid w:val="005B228F"/>
    <w:rsid w:val="005B230A"/>
    <w:rsid w:val="005B2403"/>
    <w:rsid w:val="005B24DB"/>
    <w:rsid w:val="005B2777"/>
    <w:rsid w:val="005B2826"/>
    <w:rsid w:val="005B29C1"/>
    <w:rsid w:val="005B2AA5"/>
    <w:rsid w:val="005B2BED"/>
    <w:rsid w:val="005B2C20"/>
    <w:rsid w:val="005B2E35"/>
    <w:rsid w:val="005B2E4A"/>
    <w:rsid w:val="005B2EBB"/>
    <w:rsid w:val="005B2EBD"/>
    <w:rsid w:val="005B2F57"/>
    <w:rsid w:val="005B3150"/>
    <w:rsid w:val="005B341E"/>
    <w:rsid w:val="005B362F"/>
    <w:rsid w:val="005B3B84"/>
    <w:rsid w:val="005B3C0C"/>
    <w:rsid w:val="005B3CA5"/>
    <w:rsid w:val="005B3DDA"/>
    <w:rsid w:val="005B3DDE"/>
    <w:rsid w:val="005B3E61"/>
    <w:rsid w:val="005B3F57"/>
    <w:rsid w:val="005B3FA5"/>
    <w:rsid w:val="005B3FC4"/>
    <w:rsid w:val="005B4053"/>
    <w:rsid w:val="005B40FC"/>
    <w:rsid w:val="005B414D"/>
    <w:rsid w:val="005B42C3"/>
    <w:rsid w:val="005B4370"/>
    <w:rsid w:val="005B4381"/>
    <w:rsid w:val="005B461B"/>
    <w:rsid w:val="005B4747"/>
    <w:rsid w:val="005B480A"/>
    <w:rsid w:val="005B4AA2"/>
    <w:rsid w:val="005B4AFA"/>
    <w:rsid w:val="005B4B94"/>
    <w:rsid w:val="005B4BD2"/>
    <w:rsid w:val="005B4C8C"/>
    <w:rsid w:val="005B4CBF"/>
    <w:rsid w:val="005B4D1E"/>
    <w:rsid w:val="005B4DDD"/>
    <w:rsid w:val="005B4E15"/>
    <w:rsid w:val="005B50D2"/>
    <w:rsid w:val="005B51E0"/>
    <w:rsid w:val="005B51E9"/>
    <w:rsid w:val="005B528D"/>
    <w:rsid w:val="005B53C3"/>
    <w:rsid w:val="005B53C7"/>
    <w:rsid w:val="005B5446"/>
    <w:rsid w:val="005B54AA"/>
    <w:rsid w:val="005B5502"/>
    <w:rsid w:val="005B5636"/>
    <w:rsid w:val="005B587D"/>
    <w:rsid w:val="005B5A34"/>
    <w:rsid w:val="005B5B67"/>
    <w:rsid w:val="005B5BC1"/>
    <w:rsid w:val="005B5CB8"/>
    <w:rsid w:val="005B5DCB"/>
    <w:rsid w:val="005B6019"/>
    <w:rsid w:val="005B601C"/>
    <w:rsid w:val="005B617B"/>
    <w:rsid w:val="005B619F"/>
    <w:rsid w:val="005B61DD"/>
    <w:rsid w:val="005B6442"/>
    <w:rsid w:val="005B654C"/>
    <w:rsid w:val="005B6817"/>
    <w:rsid w:val="005B6897"/>
    <w:rsid w:val="005B6899"/>
    <w:rsid w:val="005B68B4"/>
    <w:rsid w:val="005B68E2"/>
    <w:rsid w:val="005B6958"/>
    <w:rsid w:val="005B6CD0"/>
    <w:rsid w:val="005B6E0A"/>
    <w:rsid w:val="005B6EB4"/>
    <w:rsid w:val="005B6F30"/>
    <w:rsid w:val="005B6F63"/>
    <w:rsid w:val="005B6FA2"/>
    <w:rsid w:val="005B6FF9"/>
    <w:rsid w:val="005B7033"/>
    <w:rsid w:val="005B72F7"/>
    <w:rsid w:val="005B7388"/>
    <w:rsid w:val="005B74F5"/>
    <w:rsid w:val="005B751A"/>
    <w:rsid w:val="005B7665"/>
    <w:rsid w:val="005B779F"/>
    <w:rsid w:val="005B7A1F"/>
    <w:rsid w:val="005B7B8B"/>
    <w:rsid w:val="005B7E5C"/>
    <w:rsid w:val="005C01F9"/>
    <w:rsid w:val="005C0301"/>
    <w:rsid w:val="005C061E"/>
    <w:rsid w:val="005C068F"/>
    <w:rsid w:val="005C080F"/>
    <w:rsid w:val="005C0A20"/>
    <w:rsid w:val="005C0B64"/>
    <w:rsid w:val="005C0BF5"/>
    <w:rsid w:val="005C0D60"/>
    <w:rsid w:val="005C0ED4"/>
    <w:rsid w:val="005C0F53"/>
    <w:rsid w:val="005C10A3"/>
    <w:rsid w:val="005C12AA"/>
    <w:rsid w:val="005C12AD"/>
    <w:rsid w:val="005C1302"/>
    <w:rsid w:val="005C13C4"/>
    <w:rsid w:val="005C142D"/>
    <w:rsid w:val="005C161E"/>
    <w:rsid w:val="005C16A5"/>
    <w:rsid w:val="005C18C9"/>
    <w:rsid w:val="005C19E5"/>
    <w:rsid w:val="005C1AA3"/>
    <w:rsid w:val="005C1ABF"/>
    <w:rsid w:val="005C1BA4"/>
    <w:rsid w:val="005C1C04"/>
    <w:rsid w:val="005C1E1A"/>
    <w:rsid w:val="005C1F72"/>
    <w:rsid w:val="005C20B9"/>
    <w:rsid w:val="005C2116"/>
    <w:rsid w:val="005C2121"/>
    <w:rsid w:val="005C2127"/>
    <w:rsid w:val="005C212E"/>
    <w:rsid w:val="005C2170"/>
    <w:rsid w:val="005C2385"/>
    <w:rsid w:val="005C23EF"/>
    <w:rsid w:val="005C251F"/>
    <w:rsid w:val="005C25A1"/>
    <w:rsid w:val="005C2612"/>
    <w:rsid w:val="005C26E8"/>
    <w:rsid w:val="005C271D"/>
    <w:rsid w:val="005C2939"/>
    <w:rsid w:val="005C2958"/>
    <w:rsid w:val="005C2B2B"/>
    <w:rsid w:val="005C2B75"/>
    <w:rsid w:val="005C2C02"/>
    <w:rsid w:val="005C2D9E"/>
    <w:rsid w:val="005C2E33"/>
    <w:rsid w:val="005C2EA1"/>
    <w:rsid w:val="005C2EC2"/>
    <w:rsid w:val="005C2FE4"/>
    <w:rsid w:val="005C2FF9"/>
    <w:rsid w:val="005C303D"/>
    <w:rsid w:val="005C30D7"/>
    <w:rsid w:val="005C3129"/>
    <w:rsid w:val="005C3176"/>
    <w:rsid w:val="005C317B"/>
    <w:rsid w:val="005C33F9"/>
    <w:rsid w:val="005C34FC"/>
    <w:rsid w:val="005C3669"/>
    <w:rsid w:val="005C3673"/>
    <w:rsid w:val="005C36E8"/>
    <w:rsid w:val="005C3748"/>
    <w:rsid w:val="005C3758"/>
    <w:rsid w:val="005C377F"/>
    <w:rsid w:val="005C3920"/>
    <w:rsid w:val="005C3A87"/>
    <w:rsid w:val="005C3A88"/>
    <w:rsid w:val="005C3B5F"/>
    <w:rsid w:val="005C3C3D"/>
    <w:rsid w:val="005C3D92"/>
    <w:rsid w:val="005C3DBB"/>
    <w:rsid w:val="005C3E5E"/>
    <w:rsid w:val="005C3EC9"/>
    <w:rsid w:val="005C3F93"/>
    <w:rsid w:val="005C402B"/>
    <w:rsid w:val="005C402F"/>
    <w:rsid w:val="005C40E6"/>
    <w:rsid w:val="005C420C"/>
    <w:rsid w:val="005C43FF"/>
    <w:rsid w:val="005C4419"/>
    <w:rsid w:val="005C4527"/>
    <w:rsid w:val="005C45AC"/>
    <w:rsid w:val="005C479A"/>
    <w:rsid w:val="005C4892"/>
    <w:rsid w:val="005C492D"/>
    <w:rsid w:val="005C49D1"/>
    <w:rsid w:val="005C49FD"/>
    <w:rsid w:val="005C4FB6"/>
    <w:rsid w:val="005C5198"/>
    <w:rsid w:val="005C51BB"/>
    <w:rsid w:val="005C51C2"/>
    <w:rsid w:val="005C52AF"/>
    <w:rsid w:val="005C53C8"/>
    <w:rsid w:val="005C53F9"/>
    <w:rsid w:val="005C5528"/>
    <w:rsid w:val="005C5540"/>
    <w:rsid w:val="005C55FC"/>
    <w:rsid w:val="005C5673"/>
    <w:rsid w:val="005C57B0"/>
    <w:rsid w:val="005C5946"/>
    <w:rsid w:val="005C59B1"/>
    <w:rsid w:val="005C59B9"/>
    <w:rsid w:val="005C5A38"/>
    <w:rsid w:val="005C5B72"/>
    <w:rsid w:val="005C5BFF"/>
    <w:rsid w:val="005C5C46"/>
    <w:rsid w:val="005C5C9E"/>
    <w:rsid w:val="005C5E38"/>
    <w:rsid w:val="005C605A"/>
    <w:rsid w:val="005C60ED"/>
    <w:rsid w:val="005C6153"/>
    <w:rsid w:val="005C6218"/>
    <w:rsid w:val="005C62AA"/>
    <w:rsid w:val="005C633D"/>
    <w:rsid w:val="005C634D"/>
    <w:rsid w:val="005C6414"/>
    <w:rsid w:val="005C645A"/>
    <w:rsid w:val="005C69BD"/>
    <w:rsid w:val="005C6A14"/>
    <w:rsid w:val="005C6B27"/>
    <w:rsid w:val="005C6BD8"/>
    <w:rsid w:val="005C6E27"/>
    <w:rsid w:val="005C6F56"/>
    <w:rsid w:val="005C6F61"/>
    <w:rsid w:val="005C6FD5"/>
    <w:rsid w:val="005C6FE6"/>
    <w:rsid w:val="005C71C0"/>
    <w:rsid w:val="005C71EF"/>
    <w:rsid w:val="005C7219"/>
    <w:rsid w:val="005C72B6"/>
    <w:rsid w:val="005C72FC"/>
    <w:rsid w:val="005C7411"/>
    <w:rsid w:val="005C745E"/>
    <w:rsid w:val="005C74DF"/>
    <w:rsid w:val="005C75FB"/>
    <w:rsid w:val="005C788E"/>
    <w:rsid w:val="005C7903"/>
    <w:rsid w:val="005C7ABD"/>
    <w:rsid w:val="005C7B53"/>
    <w:rsid w:val="005C7C63"/>
    <w:rsid w:val="005C7ED7"/>
    <w:rsid w:val="005C7F2C"/>
    <w:rsid w:val="005C7FE9"/>
    <w:rsid w:val="005D0010"/>
    <w:rsid w:val="005D0040"/>
    <w:rsid w:val="005D0084"/>
    <w:rsid w:val="005D0148"/>
    <w:rsid w:val="005D01A4"/>
    <w:rsid w:val="005D0294"/>
    <w:rsid w:val="005D02DA"/>
    <w:rsid w:val="005D02F0"/>
    <w:rsid w:val="005D032E"/>
    <w:rsid w:val="005D0410"/>
    <w:rsid w:val="005D04BD"/>
    <w:rsid w:val="005D0523"/>
    <w:rsid w:val="005D058F"/>
    <w:rsid w:val="005D0703"/>
    <w:rsid w:val="005D07B7"/>
    <w:rsid w:val="005D086F"/>
    <w:rsid w:val="005D089C"/>
    <w:rsid w:val="005D0966"/>
    <w:rsid w:val="005D0ACE"/>
    <w:rsid w:val="005D0B24"/>
    <w:rsid w:val="005D0CE1"/>
    <w:rsid w:val="005D0D30"/>
    <w:rsid w:val="005D0DC5"/>
    <w:rsid w:val="005D0F32"/>
    <w:rsid w:val="005D0FD0"/>
    <w:rsid w:val="005D118B"/>
    <w:rsid w:val="005D11FC"/>
    <w:rsid w:val="005D154A"/>
    <w:rsid w:val="005D164C"/>
    <w:rsid w:val="005D1796"/>
    <w:rsid w:val="005D187A"/>
    <w:rsid w:val="005D18CC"/>
    <w:rsid w:val="005D1947"/>
    <w:rsid w:val="005D195B"/>
    <w:rsid w:val="005D1991"/>
    <w:rsid w:val="005D1AB0"/>
    <w:rsid w:val="005D1BD4"/>
    <w:rsid w:val="005D1FAC"/>
    <w:rsid w:val="005D2029"/>
    <w:rsid w:val="005D20BA"/>
    <w:rsid w:val="005D21A1"/>
    <w:rsid w:val="005D2214"/>
    <w:rsid w:val="005D22B0"/>
    <w:rsid w:val="005D2375"/>
    <w:rsid w:val="005D23B1"/>
    <w:rsid w:val="005D245D"/>
    <w:rsid w:val="005D2603"/>
    <w:rsid w:val="005D270B"/>
    <w:rsid w:val="005D27EE"/>
    <w:rsid w:val="005D2881"/>
    <w:rsid w:val="005D2AE0"/>
    <w:rsid w:val="005D2B05"/>
    <w:rsid w:val="005D2C5A"/>
    <w:rsid w:val="005D2C8B"/>
    <w:rsid w:val="005D2D1E"/>
    <w:rsid w:val="005D2DE8"/>
    <w:rsid w:val="005D3084"/>
    <w:rsid w:val="005D31F8"/>
    <w:rsid w:val="005D323B"/>
    <w:rsid w:val="005D3345"/>
    <w:rsid w:val="005D33B5"/>
    <w:rsid w:val="005D3612"/>
    <w:rsid w:val="005D369D"/>
    <w:rsid w:val="005D3771"/>
    <w:rsid w:val="005D3773"/>
    <w:rsid w:val="005D3776"/>
    <w:rsid w:val="005D3799"/>
    <w:rsid w:val="005D37E9"/>
    <w:rsid w:val="005D38AB"/>
    <w:rsid w:val="005D39C9"/>
    <w:rsid w:val="005D39CF"/>
    <w:rsid w:val="005D39E3"/>
    <w:rsid w:val="005D3AC7"/>
    <w:rsid w:val="005D3BE5"/>
    <w:rsid w:val="005D3E59"/>
    <w:rsid w:val="005D4006"/>
    <w:rsid w:val="005D40BC"/>
    <w:rsid w:val="005D424F"/>
    <w:rsid w:val="005D42AC"/>
    <w:rsid w:val="005D43DB"/>
    <w:rsid w:val="005D46E0"/>
    <w:rsid w:val="005D4702"/>
    <w:rsid w:val="005D4889"/>
    <w:rsid w:val="005D4918"/>
    <w:rsid w:val="005D49D1"/>
    <w:rsid w:val="005D4B44"/>
    <w:rsid w:val="005D4C7F"/>
    <w:rsid w:val="005D4CCC"/>
    <w:rsid w:val="005D4DD7"/>
    <w:rsid w:val="005D4DDF"/>
    <w:rsid w:val="005D4FC8"/>
    <w:rsid w:val="005D50DD"/>
    <w:rsid w:val="005D5107"/>
    <w:rsid w:val="005D5283"/>
    <w:rsid w:val="005D5286"/>
    <w:rsid w:val="005D53C4"/>
    <w:rsid w:val="005D53D2"/>
    <w:rsid w:val="005D545E"/>
    <w:rsid w:val="005D552C"/>
    <w:rsid w:val="005D553F"/>
    <w:rsid w:val="005D57E3"/>
    <w:rsid w:val="005D58BF"/>
    <w:rsid w:val="005D58CD"/>
    <w:rsid w:val="005D58F9"/>
    <w:rsid w:val="005D5941"/>
    <w:rsid w:val="005D5A02"/>
    <w:rsid w:val="005D5A88"/>
    <w:rsid w:val="005D5B6B"/>
    <w:rsid w:val="005D5BDA"/>
    <w:rsid w:val="005D5C52"/>
    <w:rsid w:val="005D5D48"/>
    <w:rsid w:val="005D5E20"/>
    <w:rsid w:val="005D5E3C"/>
    <w:rsid w:val="005D60BF"/>
    <w:rsid w:val="005D60F5"/>
    <w:rsid w:val="005D6165"/>
    <w:rsid w:val="005D629B"/>
    <w:rsid w:val="005D6456"/>
    <w:rsid w:val="005D650D"/>
    <w:rsid w:val="005D6648"/>
    <w:rsid w:val="005D66E2"/>
    <w:rsid w:val="005D67D7"/>
    <w:rsid w:val="005D69F1"/>
    <w:rsid w:val="005D6A99"/>
    <w:rsid w:val="005D6BC1"/>
    <w:rsid w:val="005D6C03"/>
    <w:rsid w:val="005D6C0F"/>
    <w:rsid w:val="005D6D33"/>
    <w:rsid w:val="005D6E4C"/>
    <w:rsid w:val="005D6E52"/>
    <w:rsid w:val="005D6FC3"/>
    <w:rsid w:val="005D71EB"/>
    <w:rsid w:val="005D7441"/>
    <w:rsid w:val="005D74B0"/>
    <w:rsid w:val="005D75C2"/>
    <w:rsid w:val="005D75EE"/>
    <w:rsid w:val="005D776E"/>
    <w:rsid w:val="005D78B1"/>
    <w:rsid w:val="005D792C"/>
    <w:rsid w:val="005D796E"/>
    <w:rsid w:val="005D7AA4"/>
    <w:rsid w:val="005D7AB4"/>
    <w:rsid w:val="005D7C06"/>
    <w:rsid w:val="005D7CCF"/>
    <w:rsid w:val="005D7E33"/>
    <w:rsid w:val="005D7F29"/>
    <w:rsid w:val="005DEF52"/>
    <w:rsid w:val="005E0084"/>
    <w:rsid w:val="005E02DB"/>
    <w:rsid w:val="005E02F0"/>
    <w:rsid w:val="005E03D9"/>
    <w:rsid w:val="005E0620"/>
    <w:rsid w:val="005E078E"/>
    <w:rsid w:val="005E07A7"/>
    <w:rsid w:val="005E07E9"/>
    <w:rsid w:val="005E0816"/>
    <w:rsid w:val="005E0A17"/>
    <w:rsid w:val="005E0A65"/>
    <w:rsid w:val="005E0D52"/>
    <w:rsid w:val="005E0DC3"/>
    <w:rsid w:val="005E0F76"/>
    <w:rsid w:val="005E0F9F"/>
    <w:rsid w:val="005E10C3"/>
    <w:rsid w:val="005E12A6"/>
    <w:rsid w:val="005E1428"/>
    <w:rsid w:val="005E16A4"/>
    <w:rsid w:val="005E18B7"/>
    <w:rsid w:val="005E18FF"/>
    <w:rsid w:val="005E1975"/>
    <w:rsid w:val="005E1B1C"/>
    <w:rsid w:val="005E1BDA"/>
    <w:rsid w:val="005E1CC2"/>
    <w:rsid w:val="005E1CC7"/>
    <w:rsid w:val="005E1D61"/>
    <w:rsid w:val="005E1DE9"/>
    <w:rsid w:val="005E1E94"/>
    <w:rsid w:val="005E2010"/>
    <w:rsid w:val="005E2079"/>
    <w:rsid w:val="005E20C3"/>
    <w:rsid w:val="005E23B1"/>
    <w:rsid w:val="005E2459"/>
    <w:rsid w:val="005E2462"/>
    <w:rsid w:val="005E24B5"/>
    <w:rsid w:val="005E2565"/>
    <w:rsid w:val="005E2693"/>
    <w:rsid w:val="005E27E7"/>
    <w:rsid w:val="005E27FB"/>
    <w:rsid w:val="005E2873"/>
    <w:rsid w:val="005E291B"/>
    <w:rsid w:val="005E2AFD"/>
    <w:rsid w:val="005E2B2D"/>
    <w:rsid w:val="005E2B7E"/>
    <w:rsid w:val="005E2BB5"/>
    <w:rsid w:val="005E2D4D"/>
    <w:rsid w:val="005E2E3D"/>
    <w:rsid w:val="005E2FAE"/>
    <w:rsid w:val="005E3169"/>
    <w:rsid w:val="005E317A"/>
    <w:rsid w:val="005E34C0"/>
    <w:rsid w:val="005E3655"/>
    <w:rsid w:val="005E3712"/>
    <w:rsid w:val="005E37F2"/>
    <w:rsid w:val="005E3898"/>
    <w:rsid w:val="005E3959"/>
    <w:rsid w:val="005E3A47"/>
    <w:rsid w:val="005E3AF3"/>
    <w:rsid w:val="005E3C3D"/>
    <w:rsid w:val="005E3C90"/>
    <w:rsid w:val="005E3F3C"/>
    <w:rsid w:val="005E3FA5"/>
    <w:rsid w:val="005E4034"/>
    <w:rsid w:val="005E4079"/>
    <w:rsid w:val="005E40A2"/>
    <w:rsid w:val="005E4226"/>
    <w:rsid w:val="005E4230"/>
    <w:rsid w:val="005E4257"/>
    <w:rsid w:val="005E4345"/>
    <w:rsid w:val="005E4378"/>
    <w:rsid w:val="005E4429"/>
    <w:rsid w:val="005E44B7"/>
    <w:rsid w:val="005E4680"/>
    <w:rsid w:val="005E46E5"/>
    <w:rsid w:val="005E499A"/>
    <w:rsid w:val="005E4A43"/>
    <w:rsid w:val="005E4AC0"/>
    <w:rsid w:val="005E4BA6"/>
    <w:rsid w:val="005E4BC5"/>
    <w:rsid w:val="005E4C09"/>
    <w:rsid w:val="005E4C3A"/>
    <w:rsid w:val="005E4DFB"/>
    <w:rsid w:val="005E4EA5"/>
    <w:rsid w:val="005E5036"/>
    <w:rsid w:val="005E50B2"/>
    <w:rsid w:val="005E510A"/>
    <w:rsid w:val="005E51AF"/>
    <w:rsid w:val="005E5263"/>
    <w:rsid w:val="005E532E"/>
    <w:rsid w:val="005E5355"/>
    <w:rsid w:val="005E54F8"/>
    <w:rsid w:val="005E55EC"/>
    <w:rsid w:val="005E5674"/>
    <w:rsid w:val="005E5800"/>
    <w:rsid w:val="005E586A"/>
    <w:rsid w:val="005E5911"/>
    <w:rsid w:val="005E5AC9"/>
    <w:rsid w:val="005E5B80"/>
    <w:rsid w:val="005E5D51"/>
    <w:rsid w:val="005E5E0B"/>
    <w:rsid w:val="005E5E43"/>
    <w:rsid w:val="005E5E8C"/>
    <w:rsid w:val="005E6033"/>
    <w:rsid w:val="005E6128"/>
    <w:rsid w:val="005E6172"/>
    <w:rsid w:val="005E62E6"/>
    <w:rsid w:val="005E652A"/>
    <w:rsid w:val="005E68E2"/>
    <w:rsid w:val="005E6943"/>
    <w:rsid w:val="005E6A0A"/>
    <w:rsid w:val="005E6A2E"/>
    <w:rsid w:val="005E6B5F"/>
    <w:rsid w:val="005E6B66"/>
    <w:rsid w:val="005E6B7E"/>
    <w:rsid w:val="005E6C2C"/>
    <w:rsid w:val="005E6C3D"/>
    <w:rsid w:val="005E6D4D"/>
    <w:rsid w:val="005E6EF8"/>
    <w:rsid w:val="005E6EF9"/>
    <w:rsid w:val="005E6F18"/>
    <w:rsid w:val="005E6F74"/>
    <w:rsid w:val="005E6FD3"/>
    <w:rsid w:val="005E704C"/>
    <w:rsid w:val="005E70C9"/>
    <w:rsid w:val="005E7150"/>
    <w:rsid w:val="005E719C"/>
    <w:rsid w:val="005E71C0"/>
    <w:rsid w:val="005E71F1"/>
    <w:rsid w:val="005E72B5"/>
    <w:rsid w:val="005E72DB"/>
    <w:rsid w:val="005E7482"/>
    <w:rsid w:val="005E75A8"/>
    <w:rsid w:val="005E77B1"/>
    <w:rsid w:val="005E78F5"/>
    <w:rsid w:val="005E7908"/>
    <w:rsid w:val="005E7A1A"/>
    <w:rsid w:val="005E7A6A"/>
    <w:rsid w:val="005E7C5A"/>
    <w:rsid w:val="005E7C8F"/>
    <w:rsid w:val="005E7D31"/>
    <w:rsid w:val="005E7D32"/>
    <w:rsid w:val="005E7DCC"/>
    <w:rsid w:val="005E7E5A"/>
    <w:rsid w:val="005E7E83"/>
    <w:rsid w:val="005F022E"/>
    <w:rsid w:val="005F024D"/>
    <w:rsid w:val="005F0255"/>
    <w:rsid w:val="005F02A6"/>
    <w:rsid w:val="005F02AB"/>
    <w:rsid w:val="005F02FE"/>
    <w:rsid w:val="005F03BD"/>
    <w:rsid w:val="005F05CD"/>
    <w:rsid w:val="005F067B"/>
    <w:rsid w:val="005F0762"/>
    <w:rsid w:val="005F094B"/>
    <w:rsid w:val="005F0A72"/>
    <w:rsid w:val="005F0A75"/>
    <w:rsid w:val="005F0B4C"/>
    <w:rsid w:val="005F0BAC"/>
    <w:rsid w:val="005F0F25"/>
    <w:rsid w:val="005F10C1"/>
    <w:rsid w:val="005F11D3"/>
    <w:rsid w:val="005F147A"/>
    <w:rsid w:val="005F14D1"/>
    <w:rsid w:val="005F1531"/>
    <w:rsid w:val="005F1655"/>
    <w:rsid w:val="005F168F"/>
    <w:rsid w:val="005F172F"/>
    <w:rsid w:val="005F17B3"/>
    <w:rsid w:val="005F198C"/>
    <w:rsid w:val="005F19D3"/>
    <w:rsid w:val="005F1A72"/>
    <w:rsid w:val="005F1AA4"/>
    <w:rsid w:val="005F1AA8"/>
    <w:rsid w:val="005F1CB4"/>
    <w:rsid w:val="005F1DDD"/>
    <w:rsid w:val="005F1EB0"/>
    <w:rsid w:val="005F200F"/>
    <w:rsid w:val="005F214A"/>
    <w:rsid w:val="005F24E3"/>
    <w:rsid w:val="005F253F"/>
    <w:rsid w:val="005F2664"/>
    <w:rsid w:val="005F26EB"/>
    <w:rsid w:val="005F2974"/>
    <w:rsid w:val="005F29A8"/>
    <w:rsid w:val="005F29A9"/>
    <w:rsid w:val="005F2A8D"/>
    <w:rsid w:val="005F2B9D"/>
    <w:rsid w:val="005F2BB3"/>
    <w:rsid w:val="005F2BE1"/>
    <w:rsid w:val="005F2DAC"/>
    <w:rsid w:val="005F2E14"/>
    <w:rsid w:val="005F2F61"/>
    <w:rsid w:val="005F2F9C"/>
    <w:rsid w:val="005F3112"/>
    <w:rsid w:val="005F3116"/>
    <w:rsid w:val="005F3243"/>
    <w:rsid w:val="005F3264"/>
    <w:rsid w:val="005F3317"/>
    <w:rsid w:val="005F332F"/>
    <w:rsid w:val="005F3393"/>
    <w:rsid w:val="005F33A9"/>
    <w:rsid w:val="005F3492"/>
    <w:rsid w:val="005F34C9"/>
    <w:rsid w:val="005F3515"/>
    <w:rsid w:val="005F3536"/>
    <w:rsid w:val="005F3632"/>
    <w:rsid w:val="005F3688"/>
    <w:rsid w:val="005F3728"/>
    <w:rsid w:val="005F3750"/>
    <w:rsid w:val="005F3844"/>
    <w:rsid w:val="005F385E"/>
    <w:rsid w:val="005F3886"/>
    <w:rsid w:val="005F39A2"/>
    <w:rsid w:val="005F3A1D"/>
    <w:rsid w:val="005F3A2E"/>
    <w:rsid w:val="005F3BAD"/>
    <w:rsid w:val="005F3CCB"/>
    <w:rsid w:val="005F3D13"/>
    <w:rsid w:val="005F3D7F"/>
    <w:rsid w:val="005F3D96"/>
    <w:rsid w:val="005F3DD8"/>
    <w:rsid w:val="005F3E63"/>
    <w:rsid w:val="005F3FBC"/>
    <w:rsid w:val="005F3FE5"/>
    <w:rsid w:val="005F3FFE"/>
    <w:rsid w:val="005F4009"/>
    <w:rsid w:val="005F4073"/>
    <w:rsid w:val="005F407A"/>
    <w:rsid w:val="005F40BF"/>
    <w:rsid w:val="005F41BF"/>
    <w:rsid w:val="005F42C0"/>
    <w:rsid w:val="005F4362"/>
    <w:rsid w:val="005F438D"/>
    <w:rsid w:val="005F43C5"/>
    <w:rsid w:val="005F4433"/>
    <w:rsid w:val="005F4644"/>
    <w:rsid w:val="005F4863"/>
    <w:rsid w:val="005F497D"/>
    <w:rsid w:val="005F4A83"/>
    <w:rsid w:val="005F4B60"/>
    <w:rsid w:val="005F4BDF"/>
    <w:rsid w:val="005F4BF4"/>
    <w:rsid w:val="005F4C76"/>
    <w:rsid w:val="005F4F74"/>
    <w:rsid w:val="005F5036"/>
    <w:rsid w:val="005F5076"/>
    <w:rsid w:val="005F51B0"/>
    <w:rsid w:val="005F521C"/>
    <w:rsid w:val="005F5227"/>
    <w:rsid w:val="005F5303"/>
    <w:rsid w:val="005F5308"/>
    <w:rsid w:val="005F54AF"/>
    <w:rsid w:val="005F552B"/>
    <w:rsid w:val="005F55C0"/>
    <w:rsid w:val="005F5609"/>
    <w:rsid w:val="005F5814"/>
    <w:rsid w:val="005F5840"/>
    <w:rsid w:val="005F584D"/>
    <w:rsid w:val="005F5900"/>
    <w:rsid w:val="005F59F3"/>
    <w:rsid w:val="005F5A81"/>
    <w:rsid w:val="005F5A9D"/>
    <w:rsid w:val="005F5AA9"/>
    <w:rsid w:val="005F5B69"/>
    <w:rsid w:val="005F5C4D"/>
    <w:rsid w:val="005F5CB6"/>
    <w:rsid w:val="005F5D92"/>
    <w:rsid w:val="005F5EE0"/>
    <w:rsid w:val="005F630B"/>
    <w:rsid w:val="005F639D"/>
    <w:rsid w:val="005F63FC"/>
    <w:rsid w:val="005F64D8"/>
    <w:rsid w:val="005F667A"/>
    <w:rsid w:val="005F67DD"/>
    <w:rsid w:val="005F6881"/>
    <w:rsid w:val="005F68BE"/>
    <w:rsid w:val="005F69E5"/>
    <w:rsid w:val="005F6A72"/>
    <w:rsid w:val="005F6AED"/>
    <w:rsid w:val="005F6C15"/>
    <w:rsid w:val="005F6D67"/>
    <w:rsid w:val="005F6DBE"/>
    <w:rsid w:val="005F6F91"/>
    <w:rsid w:val="005F6F9B"/>
    <w:rsid w:val="005F702C"/>
    <w:rsid w:val="005F71DE"/>
    <w:rsid w:val="005F7289"/>
    <w:rsid w:val="005F729F"/>
    <w:rsid w:val="005F756E"/>
    <w:rsid w:val="005F7654"/>
    <w:rsid w:val="005F79C8"/>
    <w:rsid w:val="005F7A55"/>
    <w:rsid w:val="005F7AAD"/>
    <w:rsid w:val="005F7C02"/>
    <w:rsid w:val="005F7C38"/>
    <w:rsid w:val="005F7CF3"/>
    <w:rsid w:val="005F7DF6"/>
    <w:rsid w:val="005F7EDD"/>
    <w:rsid w:val="005F7EFE"/>
    <w:rsid w:val="005F7F84"/>
    <w:rsid w:val="006000C3"/>
    <w:rsid w:val="006000F1"/>
    <w:rsid w:val="006001DE"/>
    <w:rsid w:val="006004B9"/>
    <w:rsid w:val="00600524"/>
    <w:rsid w:val="00600570"/>
    <w:rsid w:val="006005B3"/>
    <w:rsid w:val="006005D1"/>
    <w:rsid w:val="006005DA"/>
    <w:rsid w:val="0060062E"/>
    <w:rsid w:val="0060065C"/>
    <w:rsid w:val="006008B2"/>
    <w:rsid w:val="006008D0"/>
    <w:rsid w:val="00600ADD"/>
    <w:rsid w:val="00600B42"/>
    <w:rsid w:val="00600C7A"/>
    <w:rsid w:val="00600C87"/>
    <w:rsid w:val="00600D3B"/>
    <w:rsid w:val="00600D41"/>
    <w:rsid w:val="00600F0B"/>
    <w:rsid w:val="0060101F"/>
    <w:rsid w:val="006010EA"/>
    <w:rsid w:val="00601187"/>
    <w:rsid w:val="006013FA"/>
    <w:rsid w:val="006014C7"/>
    <w:rsid w:val="006015A6"/>
    <w:rsid w:val="00601633"/>
    <w:rsid w:val="00601726"/>
    <w:rsid w:val="006017E2"/>
    <w:rsid w:val="0060197F"/>
    <w:rsid w:val="00601A32"/>
    <w:rsid w:val="00601A96"/>
    <w:rsid w:val="00601B4B"/>
    <w:rsid w:val="00601B4F"/>
    <w:rsid w:val="00601BBB"/>
    <w:rsid w:val="00601BFA"/>
    <w:rsid w:val="00601CB5"/>
    <w:rsid w:val="00601E30"/>
    <w:rsid w:val="00601EEC"/>
    <w:rsid w:val="00601FC0"/>
    <w:rsid w:val="0060225A"/>
    <w:rsid w:val="006022B9"/>
    <w:rsid w:val="00602329"/>
    <w:rsid w:val="006023A1"/>
    <w:rsid w:val="00602489"/>
    <w:rsid w:val="00602495"/>
    <w:rsid w:val="006024F9"/>
    <w:rsid w:val="006025A8"/>
    <w:rsid w:val="006025CE"/>
    <w:rsid w:val="00602623"/>
    <w:rsid w:val="006028B9"/>
    <w:rsid w:val="00602961"/>
    <w:rsid w:val="00602B2F"/>
    <w:rsid w:val="00602B42"/>
    <w:rsid w:val="00602B67"/>
    <w:rsid w:val="00602C01"/>
    <w:rsid w:val="00602C17"/>
    <w:rsid w:val="00602D99"/>
    <w:rsid w:val="00602E96"/>
    <w:rsid w:val="00602FAE"/>
    <w:rsid w:val="00602FC5"/>
    <w:rsid w:val="00603027"/>
    <w:rsid w:val="00603330"/>
    <w:rsid w:val="006036B7"/>
    <w:rsid w:val="006037C9"/>
    <w:rsid w:val="0060389A"/>
    <w:rsid w:val="006038A2"/>
    <w:rsid w:val="006038C4"/>
    <w:rsid w:val="006038F1"/>
    <w:rsid w:val="006039B1"/>
    <w:rsid w:val="006039E2"/>
    <w:rsid w:val="00603A91"/>
    <w:rsid w:val="00603B6B"/>
    <w:rsid w:val="00603C88"/>
    <w:rsid w:val="00603CC8"/>
    <w:rsid w:val="00603D53"/>
    <w:rsid w:val="00603E32"/>
    <w:rsid w:val="00603E78"/>
    <w:rsid w:val="00603FF0"/>
    <w:rsid w:val="00604156"/>
    <w:rsid w:val="00604214"/>
    <w:rsid w:val="00604260"/>
    <w:rsid w:val="006042B2"/>
    <w:rsid w:val="00604361"/>
    <w:rsid w:val="006044D6"/>
    <w:rsid w:val="006045EC"/>
    <w:rsid w:val="00604622"/>
    <w:rsid w:val="00604662"/>
    <w:rsid w:val="006046FA"/>
    <w:rsid w:val="0060474F"/>
    <w:rsid w:val="00604866"/>
    <w:rsid w:val="006048E6"/>
    <w:rsid w:val="00604A2A"/>
    <w:rsid w:val="00604B9D"/>
    <w:rsid w:val="00604CCA"/>
    <w:rsid w:val="00604FA7"/>
    <w:rsid w:val="00604FE5"/>
    <w:rsid w:val="00605007"/>
    <w:rsid w:val="0060507E"/>
    <w:rsid w:val="006050E5"/>
    <w:rsid w:val="0060524D"/>
    <w:rsid w:val="0060533C"/>
    <w:rsid w:val="0060534A"/>
    <w:rsid w:val="006053C2"/>
    <w:rsid w:val="006053DA"/>
    <w:rsid w:val="00605571"/>
    <w:rsid w:val="00605706"/>
    <w:rsid w:val="006057B1"/>
    <w:rsid w:val="006057DD"/>
    <w:rsid w:val="0060582A"/>
    <w:rsid w:val="00605856"/>
    <w:rsid w:val="0060595C"/>
    <w:rsid w:val="00605AA9"/>
    <w:rsid w:val="00605AC2"/>
    <w:rsid w:val="00605B38"/>
    <w:rsid w:val="00605B6B"/>
    <w:rsid w:val="00605C2C"/>
    <w:rsid w:val="00605CAE"/>
    <w:rsid w:val="00605E69"/>
    <w:rsid w:val="00605F0C"/>
    <w:rsid w:val="00605F82"/>
    <w:rsid w:val="00606201"/>
    <w:rsid w:val="00606302"/>
    <w:rsid w:val="0060641E"/>
    <w:rsid w:val="006064CB"/>
    <w:rsid w:val="006064DD"/>
    <w:rsid w:val="006064FD"/>
    <w:rsid w:val="0060665C"/>
    <w:rsid w:val="006066A7"/>
    <w:rsid w:val="006066D3"/>
    <w:rsid w:val="00606737"/>
    <w:rsid w:val="006067D0"/>
    <w:rsid w:val="006068E7"/>
    <w:rsid w:val="006068F7"/>
    <w:rsid w:val="00606981"/>
    <w:rsid w:val="00606A39"/>
    <w:rsid w:val="00606AC6"/>
    <w:rsid w:val="00606AF6"/>
    <w:rsid w:val="00606AF7"/>
    <w:rsid w:val="00606C57"/>
    <w:rsid w:val="00606C82"/>
    <w:rsid w:val="00606CE8"/>
    <w:rsid w:val="00606DD9"/>
    <w:rsid w:val="00606E54"/>
    <w:rsid w:val="00606E67"/>
    <w:rsid w:val="00606F88"/>
    <w:rsid w:val="006072D3"/>
    <w:rsid w:val="0060739C"/>
    <w:rsid w:val="006073C1"/>
    <w:rsid w:val="006073F3"/>
    <w:rsid w:val="0060747C"/>
    <w:rsid w:val="006075AC"/>
    <w:rsid w:val="006075D4"/>
    <w:rsid w:val="006075E0"/>
    <w:rsid w:val="00607659"/>
    <w:rsid w:val="0060768E"/>
    <w:rsid w:val="0060777C"/>
    <w:rsid w:val="00607835"/>
    <w:rsid w:val="00607846"/>
    <w:rsid w:val="00607998"/>
    <w:rsid w:val="00607AB8"/>
    <w:rsid w:val="00607C01"/>
    <w:rsid w:val="00607CA9"/>
    <w:rsid w:val="00607F43"/>
    <w:rsid w:val="00610015"/>
    <w:rsid w:val="00610023"/>
    <w:rsid w:val="00610033"/>
    <w:rsid w:val="006101A4"/>
    <w:rsid w:val="006103EE"/>
    <w:rsid w:val="006104E1"/>
    <w:rsid w:val="0061065A"/>
    <w:rsid w:val="0061070A"/>
    <w:rsid w:val="00610928"/>
    <w:rsid w:val="0061093A"/>
    <w:rsid w:val="00610A0E"/>
    <w:rsid w:val="00610AF0"/>
    <w:rsid w:val="00610C63"/>
    <w:rsid w:val="00610C69"/>
    <w:rsid w:val="00610C98"/>
    <w:rsid w:val="00610D72"/>
    <w:rsid w:val="00610F17"/>
    <w:rsid w:val="00610FCA"/>
    <w:rsid w:val="006110FC"/>
    <w:rsid w:val="00611301"/>
    <w:rsid w:val="00611356"/>
    <w:rsid w:val="0061138F"/>
    <w:rsid w:val="006113DF"/>
    <w:rsid w:val="00611721"/>
    <w:rsid w:val="0061175D"/>
    <w:rsid w:val="0061187F"/>
    <w:rsid w:val="006118CB"/>
    <w:rsid w:val="00611A4B"/>
    <w:rsid w:val="00611A67"/>
    <w:rsid w:val="00611B77"/>
    <w:rsid w:val="00611D05"/>
    <w:rsid w:val="00611D66"/>
    <w:rsid w:val="00611D9A"/>
    <w:rsid w:val="00611EF6"/>
    <w:rsid w:val="006123C8"/>
    <w:rsid w:val="00612413"/>
    <w:rsid w:val="0061245B"/>
    <w:rsid w:val="00612483"/>
    <w:rsid w:val="0061249B"/>
    <w:rsid w:val="006124F7"/>
    <w:rsid w:val="0061250A"/>
    <w:rsid w:val="00612563"/>
    <w:rsid w:val="006125A0"/>
    <w:rsid w:val="006126C1"/>
    <w:rsid w:val="00612717"/>
    <w:rsid w:val="0061297F"/>
    <w:rsid w:val="0061299F"/>
    <w:rsid w:val="006129B6"/>
    <w:rsid w:val="00612A4B"/>
    <w:rsid w:val="00612A51"/>
    <w:rsid w:val="00612B56"/>
    <w:rsid w:val="00612C4A"/>
    <w:rsid w:val="00612E1D"/>
    <w:rsid w:val="00612E52"/>
    <w:rsid w:val="006131C7"/>
    <w:rsid w:val="0061324F"/>
    <w:rsid w:val="0061326C"/>
    <w:rsid w:val="006132EE"/>
    <w:rsid w:val="006134E8"/>
    <w:rsid w:val="00613500"/>
    <w:rsid w:val="00613563"/>
    <w:rsid w:val="006135C8"/>
    <w:rsid w:val="00613CBF"/>
    <w:rsid w:val="00613CF2"/>
    <w:rsid w:val="00613D5A"/>
    <w:rsid w:val="00613E6E"/>
    <w:rsid w:val="00613FDC"/>
    <w:rsid w:val="0061409B"/>
    <w:rsid w:val="0061421E"/>
    <w:rsid w:val="0061427E"/>
    <w:rsid w:val="006142CE"/>
    <w:rsid w:val="00614313"/>
    <w:rsid w:val="006143E4"/>
    <w:rsid w:val="00614436"/>
    <w:rsid w:val="006144FC"/>
    <w:rsid w:val="0061450F"/>
    <w:rsid w:val="006146BD"/>
    <w:rsid w:val="006148D8"/>
    <w:rsid w:val="0061497F"/>
    <w:rsid w:val="00614A26"/>
    <w:rsid w:val="00614A2D"/>
    <w:rsid w:val="00614A97"/>
    <w:rsid w:val="00614B74"/>
    <w:rsid w:val="00614D56"/>
    <w:rsid w:val="00614D82"/>
    <w:rsid w:val="006151FA"/>
    <w:rsid w:val="006152D0"/>
    <w:rsid w:val="00615449"/>
    <w:rsid w:val="00615576"/>
    <w:rsid w:val="00615592"/>
    <w:rsid w:val="0061571A"/>
    <w:rsid w:val="0061575D"/>
    <w:rsid w:val="00615847"/>
    <w:rsid w:val="0061584F"/>
    <w:rsid w:val="00615853"/>
    <w:rsid w:val="0061597E"/>
    <w:rsid w:val="00615AD5"/>
    <w:rsid w:val="00615CCB"/>
    <w:rsid w:val="00616272"/>
    <w:rsid w:val="006162FB"/>
    <w:rsid w:val="006164A1"/>
    <w:rsid w:val="006165FD"/>
    <w:rsid w:val="0061666B"/>
    <w:rsid w:val="0061676B"/>
    <w:rsid w:val="006167F9"/>
    <w:rsid w:val="0061687F"/>
    <w:rsid w:val="00616A11"/>
    <w:rsid w:val="00616C37"/>
    <w:rsid w:val="00616C62"/>
    <w:rsid w:val="00616D06"/>
    <w:rsid w:val="00616D9A"/>
    <w:rsid w:val="00616E33"/>
    <w:rsid w:val="006170A5"/>
    <w:rsid w:val="006170A7"/>
    <w:rsid w:val="00617345"/>
    <w:rsid w:val="006173E0"/>
    <w:rsid w:val="00617533"/>
    <w:rsid w:val="0061754D"/>
    <w:rsid w:val="006177FA"/>
    <w:rsid w:val="00617A88"/>
    <w:rsid w:val="00617B30"/>
    <w:rsid w:val="00617B88"/>
    <w:rsid w:val="00617C53"/>
    <w:rsid w:val="00617C8A"/>
    <w:rsid w:val="00617CD2"/>
    <w:rsid w:val="00617D90"/>
    <w:rsid w:val="00617DC9"/>
    <w:rsid w:val="00617ED1"/>
    <w:rsid w:val="00617F1E"/>
    <w:rsid w:val="00617F3A"/>
    <w:rsid w:val="006200F1"/>
    <w:rsid w:val="0062012C"/>
    <w:rsid w:val="00620131"/>
    <w:rsid w:val="0062013F"/>
    <w:rsid w:val="00620190"/>
    <w:rsid w:val="006202EF"/>
    <w:rsid w:val="00620320"/>
    <w:rsid w:val="00620382"/>
    <w:rsid w:val="00620443"/>
    <w:rsid w:val="00620486"/>
    <w:rsid w:val="006204C1"/>
    <w:rsid w:val="006204F2"/>
    <w:rsid w:val="00620546"/>
    <w:rsid w:val="00620553"/>
    <w:rsid w:val="0062066A"/>
    <w:rsid w:val="006206AB"/>
    <w:rsid w:val="0062074F"/>
    <w:rsid w:val="00620754"/>
    <w:rsid w:val="0062075D"/>
    <w:rsid w:val="00620810"/>
    <w:rsid w:val="006208F4"/>
    <w:rsid w:val="006208FF"/>
    <w:rsid w:val="00620A06"/>
    <w:rsid w:val="00620B2D"/>
    <w:rsid w:val="00620B9D"/>
    <w:rsid w:val="00620C57"/>
    <w:rsid w:val="00620DB6"/>
    <w:rsid w:val="00620FD5"/>
    <w:rsid w:val="0062106A"/>
    <w:rsid w:val="0062108E"/>
    <w:rsid w:val="0062110C"/>
    <w:rsid w:val="0062116B"/>
    <w:rsid w:val="00621253"/>
    <w:rsid w:val="006212AD"/>
    <w:rsid w:val="00621396"/>
    <w:rsid w:val="006213E0"/>
    <w:rsid w:val="006214AB"/>
    <w:rsid w:val="0062151E"/>
    <w:rsid w:val="00621583"/>
    <w:rsid w:val="00621594"/>
    <w:rsid w:val="0062160D"/>
    <w:rsid w:val="006216F8"/>
    <w:rsid w:val="00621740"/>
    <w:rsid w:val="00621768"/>
    <w:rsid w:val="006217FA"/>
    <w:rsid w:val="00621869"/>
    <w:rsid w:val="006218A6"/>
    <w:rsid w:val="0062196C"/>
    <w:rsid w:val="00621BDB"/>
    <w:rsid w:val="00621D23"/>
    <w:rsid w:val="00621DE0"/>
    <w:rsid w:val="00621E0A"/>
    <w:rsid w:val="00621F27"/>
    <w:rsid w:val="00622033"/>
    <w:rsid w:val="006220AE"/>
    <w:rsid w:val="0062245D"/>
    <w:rsid w:val="0062260E"/>
    <w:rsid w:val="00622646"/>
    <w:rsid w:val="0062276C"/>
    <w:rsid w:val="006228A2"/>
    <w:rsid w:val="006228AC"/>
    <w:rsid w:val="0062294B"/>
    <w:rsid w:val="006229A9"/>
    <w:rsid w:val="00622AE4"/>
    <w:rsid w:val="00622B12"/>
    <w:rsid w:val="00622C7F"/>
    <w:rsid w:val="00622DE8"/>
    <w:rsid w:val="00622E1F"/>
    <w:rsid w:val="00623098"/>
    <w:rsid w:val="006230D1"/>
    <w:rsid w:val="006230DA"/>
    <w:rsid w:val="0062313F"/>
    <w:rsid w:val="00623239"/>
    <w:rsid w:val="0062338F"/>
    <w:rsid w:val="006235C7"/>
    <w:rsid w:val="006235F4"/>
    <w:rsid w:val="006236C1"/>
    <w:rsid w:val="00623730"/>
    <w:rsid w:val="00623778"/>
    <w:rsid w:val="006237F9"/>
    <w:rsid w:val="0062384F"/>
    <w:rsid w:val="00623909"/>
    <w:rsid w:val="0062396D"/>
    <w:rsid w:val="006239FD"/>
    <w:rsid w:val="00623A0A"/>
    <w:rsid w:val="00623AB6"/>
    <w:rsid w:val="00623ACB"/>
    <w:rsid w:val="00623CAC"/>
    <w:rsid w:val="00623E7C"/>
    <w:rsid w:val="00623EDF"/>
    <w:rsid w:val="0062410F"/>
    <w:rsid w:val="006242A0"/>
    <w:rsid w:val="006242B0"/>
    <w:rsid w:val="006242B2"/>
    <w:rsid w:val="006243D5"/>
    <w:rsid w:val="00624563"/>
    <w:rsid w:val="006245FC"/>
    <w:rsid w:val="00624683"/>
    <w:rsid w:val="006248E5"/>
    <w:rsid w:val="0062499B"/>
    <w:rsid w:val="00624A9D"/>
    <w:rsid w:val="00624AB1"/>
    <w:rsid w:val="00624B10"/>
    <w:rsid w:val="00624B9A"/>
    <w:rsid w:val="00624BEC"/>
    <w:rsid w:val="00624FC1"/>
    <w:rsid w:val="006251CD"/>
    <w:rsid w:val="006252F3"/>
    <w:rsid w:val="0062537E"/>
    <w:rsid w:val="006253F7"/>
    <w:rsid w:val="006254A7"/>
    <w:rsid w:val="00625567"/>
    <w:rsid w:val="006255D3"/>
    <w:rsid w:val="006255F4"/>
    <w:rsid w:val="006258C3"/>
    <w:rsid w:val="006258EB"/>
    <w:rsid w:val="006259EB"/>
    <w:rsid w:val="00625A83"/>
    <w:rsid w:val="00625AB9"/>
    <w:rsid w:val="00625C83"/>
    <w:rsid w:val="00625D29"/>
    <w:rsid w:val="00625D33"/>
    <w:rsid w:val="00625D5D"/>
    <w:rsid w:val="00625E41"/>
    <w:rsid w:val="00625E5F"/>
    <w:rsid w:val="0062600F"/>
    <w:rsid w:val="0062618B"/>
    <w:rsid w:val="0062628B"/>
    <w:rsid w:val="006262D5"/>
    <w:rsid w:val="006264A0"/>
    <w:rsid w:val="00626572"/>
    <w:rsid w:val="00626838"/>
    <w:rsid w:val="00626921"/>
    <w:rsid w:val="00626E27"/>
    <w:rsid w:val="00626FD6"/>
    <w:rsid w:val="006271A7"/>
    <w:rsid w:val="00627382"/>
    <w:rsid w:val="006273C1"/>
    <w:rsid w:val="00627473"/>
    <w:rsid w:val="00627495"/>
    <w:rsid w:val="006274E6"/>
    <w:rsid w:val="006276DD"/>
    <w:rsid w:val="00627752"/>
    <w:rsid w:val="0062782E"/>
    <w:rsid w:val="006278F9"/>
    <w:rsid w:val="00627946"/>
    <w:rsid w:val="006279A8"/>
    <w:rsid w:val="006279B4"/>
    <w:rsid w:val="00627B5A"/>
    <w:rsid w:val="00627B96"/>
    <w:rsid w:val="00627DB2"/>
    <w:rsid w:val="00627E7C"/>
    <w:rsid w:val="00627EE8"/>
    <w:rsid w:val="00627F38"/>
    <w:rsid w:val="00627F7A"/>
    <w:rsid w:val="00627F97"/>
    <w:rsid w:val="00627FFD"/>
    <w:rsid w:val="00630044"/>
    <w:rsid w:val="0063004C"/>
    <w:rsid w:val="00630152"/>
    <w:rsid w:val="0063027E"/>
    <w:rsid w:val="0063039D"/>
    <w:rsid w:val="006303E0"/>
    <w:rsid w:val="006305B7"/>
    <w:rsid w:val="006305F4"/>
    <w:rsid w:val="00630653"/>
    <w:rsid w:val="00630810"/>
    <w:rsid w:val="00630964"/>
    <w:rsid w:val="00630ADC"/>
    <w:rsid w:val="00630AF1"/>
    <w:rsid w:val="00630C3E"/>
    <w:rsid w:val="00630D11"/>
    <w:rsid w:val="00630D64"/>
    <w:rsid w:val="00630E4E"/>
    <w:rsid w:val="00630FD9"/>
    <w:rsid w:val="006310F5"/>
    <w:rsid w:val="00631244"/>
    <w:rsid w:val="0063124A"/>
    <w:rsid w:val="0063124D"/>
    <w:rsid w:val="00631279"/>
    <w:rsid w:val="00631288"/>
    <w:rsid w:val="00631401"/>
    <w:rsid w:val="0063142D"/>
    <w:rsid w:val="006314D2"/>
    <w:rsid w:val="00631501"/>
    <w:rsid w:val="00631649"/>
    <w:rsid w:val="00631745"/>
    <w:rsid w:val="00631831"/>
    <w:rsid w:val="006318E5"/>
    <w:rsid w:val="00631910"/>
    <w:rsid w:val="00631948"/>
    <w:rsid w:val="006319D0"/>
    <w:rsid w:val="00631C25"/>
    <w:rsid w:val="00631C27"/>
    <w:rsid w:val="00631CC3"/>
    <w:rsid w:val="00631D3A"/>
    <w:rsid w:val="00631D45"/>
    <w:rsid w:val="00631E13"/>
    <w:rsid w:val="00631EDE"/>
    <w:rsid w:val="00631F00"/>
    <w:rsid w:val="006320B9"/>
    <w:rsid w:val="006321E3"/>
    <w:rsid w:val="0063224B"/>
    <w:rsid w:val="00632253"/>
    <w:rsid w:val="006323AF"/>
    <w:rsid w:val="006324A2"/>
    <w:rsid w:val="006324D6"/>
    <w:rsid w:val="00632575"/>
    <w:rsid w:val="006327FD"/>
    <w:rsid w:val="00632810"/>
    <w:rsid w:val="00632836"/>
    <w:rsid w:val="00632A31"/>
    <w:rsid w:val="00632A53"/>
    <w:rsid w:val="00632A84"/>
    <w:rsid w:val="00632A94"/>
    <w:rsid w:val="00632BAE"/>
    <w:rsid w:val="00632BC9"/>
    <w:rsid w:val="00632BDB"/>
    <w:rsid w:val="00632C27"/>
    <w:rsid w:val="00632CD4"/>
    <w:rsid w:val="00632D82"/>
    <w:rsid w:val="00632DC4"/>
    <w:rsid w:val="00632EC6"/>
    <w:rsid w:val="00632FC7"/>
    <w:rsid w:val="0063320E"/>
    <w:rsid w:val="00633370"/>
    <w:rsid w:val="00633422"/>
    <w:rsid w:val="0063372F"/>
    <w:rsid w:val="00633ABE"/>
    <w:rsid w:val="00633B40"/>
    <w:rsid w:val="00633BA8"/>
    <w:rsid w:val="00633D5A"/>
    <w:rsid w:val="00633E3A"/>
    <w:rsid w:val="00633E4A"/>
    <w:rsid w:val="00633EE7"/>
    <w:rsid w:val="00633FB2"/>
    <w:rsid w:val="0063401B"/>
    <w:rsid w:val="006341E5"/>
    <w:rsid w:val="0063420E"/>
    <w:rsid w:val="0063435F"/>
    <w:rsid w:val="006343AD"/>
    <w:rsid w:val="00634414"/>
    <w:rsid w:val="00634563"/>
    <w:rsid w:val="0063457C"/>
    <w:rsid w:val="006345B2"/>
    <w:rsid w:val="00634711"/>
    <w:rsid w:val="0063474F"/>
    <w:rsid w:val="006348B1"/>
    <w:rsid w:val="00634BC3"/>
    <w:rsid w:val="00634C61"/>
    <w:rsid w:val="00634CAA"/>
    <w:rsid w:val="00634D34"/>
    <w:rsid w:val="00634EED"/>
    <w:rsid w:val="006350BC"/>
    <w:rsid w:val="006350EC"/>
    <w:rsid w:val="006351A6"/>
    <w:rsid w:val="00635282"/>
    <w:rsid w:val="0063545A"/>
    <w:rsid w:val="006354F0"/>
    <w:rsid w:val="00635546"/>
    <w:rsid w:val="00635596"/>
    <w:rsid w:val="006357F4"/>
    <w:rsid w:val="00635C32"/>
    <w:rsid w:val="00635D7D"/>
    <w:rsid w:val="00635DA2"/>
    <w:rsid w:val="00635DEE"/>
    <w:rsid w:val="006361C1"/>
    <w:rsid w:val="006361F7"/>
    <w:rsid w:val="006362C9"/>
    <w:rsid w:val="0063632F"/>
    <w:rsid w:val="00636401"/>
    <w:rsid w:val="006365BA"/>
    <w:rsid w:val="006365BB"/>
    <w:rsid w:val="006365F4"/>
    <w:rsid w:val="006366E0"/>
    <w:rsid w:val="006366E2"/>
    <w:rsid w:val="0063674E"/>
    <w:rsid w:val="006367DF"/>
    <w:rsid w:val="006368BE"/>
    <w:rsid w:val="00636955"/>
    <w:rsid w:val="00636B50"/>
    <w:rsid w:val="00636EC9"/>
    <w:rsid w:val="00637186"/>
    <w:rsid w:val="00637428"/>
    <w:rsid w:val="006375C1"/>
    <w:rsid w:val="0063765F"/>
    <w:rsid w:val="006376D0"/>
    <w:rsid w:val="00637750"/>
    <w:rsid w:val="00637839"/>
    <w:rsid w:val="0063785A"/>
    <w:rsid w:val="00637958"/>
    <w:rsid w:val="00637979"/>
    <w:rsid w:val="006379B1"/>
    <w:rsid w:val="006379FD"/>
    <w:rsid w:val="00637AFF"/>
    <w:rsid w:val="00637C93"/>
    <w:rsid w:val="00637D5C"/>
    <w:rsid w:val="00637EB1"/>
    <w:rsid w:val="00640271"/>
    <w:rsid w:val="00640300"/>
    <w:rsid w:val="006403E3"/>
    <w:rsid w:val="006404D9"/>
    <w:rsid w:val="0064061E"/>
    <w:rsid w:val="0064086C"/>
    <w:rsid w:val="00640996"/>
    <w:rsid w:val="006409D8"/>
    <w:rsid w:val="00640AFD"/>
    <w:rsid w:val="00640F0E"/>
    <w:rsid w:val="00641337"/>
    <w:rsid w:val="00641364"/>
    <w:rsid w:val="006414C9"/>
    <w:rsid w:val="006414D7"/>
    <w:rsid w:val="00641655"/>
    <w:rsid w:val="00641759"/>
    <w:rsid w:val="00641824"/>
    <w:rsid w:val="00641987"/>
    <w:rsid w:val="00641AA5"/>
    <w:rsid w:val="00641AD4"/>
    <w:rsid w:val="00641ADD"/>
    <w:rsid w:val="00641C05"/>
    <w:rsid w:val="00641C28"/>
    <w:rsid w:val="00641CAC"/>
    <w:rsid w:val="00641E1A"/>
    <w:rsid w:val="00641E32"/>
    <w:rsid w:val="00641E36"/>
    <w:rsid w:val="00641E6E"/>
    <w:rsid w:val="00641F2C"/>
    <w:rsid w:val="00641F69"/>
    <w:rsid w:val="00641FA1"/>
    <w:rsid w:val="00641FEF"/>
    <w:rsid w:val="006420A3"/>
    <w:rsid w:val="00642159"/>
    <w:rsid w:val="00642197"/>
    <w:rsid w:val="006422E7"/>
    <w:rsid w:val="006423C8"/>
    <w:rsid w:val="00642468"/>
    <w:rsid w:val="00642636"/>
    <w:rsid w:val="006426D8"/>
    <w:rsid w:val="00642745"/>
    <w:rsid w:val="006428C3"/>
    <w:rsid w:val="0064290E"/>
    <w:rsid w:val="006429EB"/>
    <w:rsid w:val="00642A11"/>
    <w:rsid w:val="00642A4B"/>
    <w:rsid w:val="00642AF4"/>
    <w:rsid w:val="00642C89"/>
    <w:rsid w:val="00642D95"/>
    <w:rsid w:val="00642EC2"/>
    <w:rsid w:val="00642FAA"/>
    <w:rsid w:val="0064319D"/>
    <w:rsid w:val="006431C9"/>
    <w:rsid w:val="00643240"/>
    <w:rsid w:val="00643299"/>
    <w:rsid w:val="006432F7"/>
    <w:rsid w:val="006434FF"/>
    <w:rsid w:val="006436EB"/>
    <w:rsid w:val="00643848"/>
    <w:rsid w:val="006438A6"/>
    <w:rsid w:val="00643A0D"/>
    <w:rsid w:val="00643A1D"/>
    <w:rsid w:val="00643AD3"/>
    <w:rsid w:val="00643C51"/>
    <w:rsid w:val="00643C84"/>
    <w:rsid w:val="00643DFA"/>
    <w:rsid w:val="00643DFC"/>
    <w:rsid w:val="00643E2E"/>
    <w:rsid w:val="00644002"/>
    <w:rsid w:val="0064402B"/>
    <w:rsid w:val="006440B4"/>
    <w:rsid w:val="00644210"/>
    <w:rsid w:val="00644224"/>
    <w:rsid w:val="00644244"/>
    <w:rsid w:val="0064430E"/>
    <w:rsid w:val="0064440C"/>
    <w:rsid w:val="006445D5"/>
    <w:rsid w:val="00644642"/>
    <w:rsid w:val="006446FA"/>
    <w:rsid w:val="006446FE"/>
    <w:rsid w:val="006447B6"/>
    <w:rsid w:val="00644C3A"/>
    <w:rsid w:val="00644D64"/>
    <w:rsid w:val="00644DB1"/>
    <w:rsid w:val="00644E36"/>
    <w:rsid w:val="00644E46"/>
    <w:rsid w:val="00644EDF"/>
    <w:rsid w:val="00644EF3"/>
    <w:rsid w:val="00644F4C"/>
    <w:rsid w:val="00644FD9"/>
    <w:rsid w:val="0064506E"/>
    <w:rsid w:val="006450C5"/>
    <w:rsid w:val="00645169"/>
    <w:rsid w:val="006451B4"/>
    <w:rsid w:val="00645291"/>
    <w:rsid w:val="006452AC"/>
    <w:rsid w:val="006452FA"/>
    <w:rsid w:val="00645476"/>
    <w:rsid w:val="006454E3"/>
    <w:rsid w:val="006455C7"/>
    <w:rsid w:val="0064562D"/>
    <w:rsid w:val="006456D0"/>
    <w:rsid w:val="00645828"/>
    <w:rsid w:val="006458F1"/>
    <w:rsid w:val="0064598A"/>
    <w:rsid w:val="00645A97"/>
    <w:rsid w:val="00645C40"/>
    <w:rsid w:val="00645CB3"/>
    <w:rsid w:val="00645D02"/>
    <w:rsid w:val="00645D17"/>
    <w:rsid w:val="00645F38"/>
    <w:rsid w:val="00645F74"/>
    <w:rsid w:val="006460D3"/>
    <w:rsid w:val="0064629C"/>
    <w:rsid w:val="00646352"/>
    <w:rsid w:val="0064640A"/>
    <w:rsid w:val="00646486"/>
    <w:rsid w:val="00646492"/>
    <w:rsid w:val="006464C2"/>
    <w:rsid w:val="0064650E"/>
    <w:rsid w:val="006466B5"/>
    <w:rsid w:val="006468B9"/>
    <w:rsid w:val="00646952"/>
    <w:rsid w:val="006469B8"/>
    <w:rsid w:val="00646A25"/>
    <w:rsid w:val="00646A95"/>
    <w:rsid w:val="00646AAA"/>
    <w:rsid w:val="00646AE8"/>
    <w:rsid w:val="00646E22"/>
    <w:rsid w:val="00646E2A"/>
    <w:rsid w:val="00646E70"/>
    <w:rsid w:val="006470CC"/>
    <w:rsid w:val="00647182"/>
    <w:rsid w:val="006471EF"/>
    <w:rsid w:val="00647235"/>
    <w:rsid w:val="00647295"/>
    <w:rsid w:val="00647361"/>
    <w:rsid w:val="00647449"/>
    <w:rsid w:val="006475F8"/>
    <w:rsid w:val="00647683"/>
    <w:rsid w:val="0064769C"/>
    <w:rsid w:val="0064781B"/>
    <w:rsid w:val="00647907"/>
    <w:rsid w:val="0064793F"/>
    <w:rsid w:val="00647973"/>
    <w:rsid w:val="00647E15"/>
    <w:rsid w:val="00647E29"/>
    <w:rsid w:val="00647E6D"/>
    <w:rsid w:val="00647E8A"/>
    <w:rsid w:val="00647F4C"/>
    <w:rsid w:val="0064E821"/>
    <w:rsid w:val="0065017D"/>
    <w:rsid w:val="006501E6"/>
    <w:rsid w:val="0065043D"/>
    <w:rsid w:val="006506B6"/>
    <w:rsid w:val="00650704"/>
    <w:rsid w:val="0065075F"/>
    <w:rsid w:val="006507E5"/>
    <w:rsid w:val="006508D2"/>
    <w:rsid w:val="00650AD8"/>
    <w:rsid w:val="00650AEE"/>
    <w:rsid w:val="00650D23"/>
    <w:rsid w:val="00650D2D"/>
    <w:rsid w:val="006512EA"/>
    <w:rsid w:val="00651325"/>
    <w:rsid w:val="00651499"/>
    <w:rsid w:val="00651548"/>
    <w:rsid w:val="0065154C"/>
    <w:rsid w:val="006515EC"/>
    <w:rsid w:val="00651662"/>
    <w:rsid w:val="00651761"/>
    <w:rsid w:val="006517C2"/>
    <w:rsid w:val="00651852"/>
    <w:rsid w:val="0065190E"/>
    <w:rsid w:val="00651975"/>
    <w:rsid w:val="0065198C"/>
    <w:rsid w:val="006519CA"/>
    <w:rsid w:val="006519D0"/>
    <w:rsid w:val="00651AD9"/>
    <w:rsid w:val="00651B2F"/>
    <w:rsid w:val="00651E39"/>
    <w:rsid w:val="00651E47"/>
    <w:rsid w:val="00652097"/>
    <w:rsid w:val="00652161"/>
    <w:rsid w:val="006522C1"/>
    <w:rsid w:val="00652364"/>
    <w:rsid w:val="006523DD"/>
    <w:rsid w:val="00652414"/>
    <w:rsid w:val="00652479"/>
    <w:rsid w:val="0065261B"/>
    <w:rsid w:val="00652660"/>
    <w:rsid w:val="00652768"/>
    <w:rsid w:val="00652864"/>
    <w:rsid w:val="00652884"/>
    <w:rsid w:val="0065294A"/>
    <w:rsid w:val="0065295A"/>
    <w:rsid w:val="00652B20"/>
    <w:rsid w:val="00652BFB"/>
    <w:rsid w:val="00652C42"/>
    <w:rsid w:val="00652CE5"/>
    <w:rsid w:val="00652DBD"/>
    <w:rsid w:val="00652DFB"/>
    <w:rsid w:val="00653077"/>
    <w:rsid w:val="0065313F"/>
    <w:rsid w:val="0065329D"/>
    <w:rsid w:val="00653310"/>
    <w:rsid w:val="00653353"/>
    <w:rsid w:val="0065348D"/>
    <w:rsid w:val="006535F7"/>
    <w:rsid w:val="00653637"/>
    <w:rsid w:val="0065376D"/>
    <w:rsid w:val="0065388B"/>
    <w:rsid w:val="0065398C"/>
    <w:rsid w:val="00653D3F"/>
    <w:rsid w:val="00653E2A"/>
    <w:rsid w:val="00653EB0"/>
    <w:rsid w:val="00653EF4"/>
    <w:rsid w:val="00653F29"/>
    <w:rsid w:val="00653FD9"/>
    <w:rsid w:val="00653FF8"/>
    <w:rsid w:val="00653FFE"/>
    <w:rsid w:val="006540E7"/>
    <w:rsid w:val="00654247"/>
    <w:rsid w:val="0065427E"/>
    <w:rsid w:val="00654344"/>
    <w:rsid w:val="0065437F"/>
    <w:rsid w:val="006543EC"/>
    <w:rsid w:val="00654730"/>
    <w:rsid w:val="0065475B"/>
    <w:rsid w:val="006547DC"/>
    <w:rsid w:val="00654815"/>
    <w:rsid w:val="00654AB7"/>
    <w:rsid w:val="00654B00"/>
    <w:rsid w:val="00654B39"/>
    <w:rsid w:val="00654BFE"/>
    <w:rsid w:val="00654C25"/>
    <w:rsid w:val="00654C80"/>
    <w:rsid w:val="00654DB7"/>
    <w:rsid w:val="00654DFC"/>
    <w:rsid w:val="00654E8E"/>
    <w:rsid w:val="00654EEA"/>
    <w:rsid w:val="00654EFA"/>
    <w:rsid w:val="00654FF9"/>
    <w:rsid w:val="0065510C"/>
    <w:rsid w:val="00655372"/>
    <w:rsid w:val="0065537B"/>
    <w:rsid w:val="006554CE"/>
    <w:rsid w:val="006554ED"/>
    <w:rsid w:val="0065584B"/>
    <w:rsid w:val="00655C91"/>
    <w:rsid w:val="00655CCF"/>
    <w:rsid w:val="00655D28"/>
    <w:rsid w:val="00655D98"/>
    <w:rsid w:val="00655E3D"/>
    <w:rsid w:val="00655EB4"/>
    <w:rsid w:val="00655F17"/>
    <w:rsid w:val="00656152"/>
    <w:rsid w:val="006562DF"/>
    <w:rsid w:val="006562EB"/>
    <w:rsid w:val="006563D1"/>
    <w:rsid w:val="006563F7"/>
    <w:rsid w:val="0065641B"/>
    <w:rsid w:val="006565DE"/>
    <w:rsid w:val="006566ED"/>
    <w:rsid w:val="006567D9"/>
    <w:rsid w:val="006568CE"/>
    <w:rsid w:val="006569C5"/>
    <w:rsid w:val="00656A35"/>
    <w:rsid w:val="00656B7A"/>
    <w:rsid w:val="00656BBD"/>
    <w:rsid w:val="00656C1B"/>
    <w:rsid w:val="00656C40"/>
    <w:rsid w:val="00656CC3"/>
    <w:rsid w:val="00656D38"/>
    <w:rsid w:val="00656D64"/>
    <w:rsid w:val="00656DA2"/>
    <w:rsid w:val="00656DE5"/>
    <w:rsid w:val="00656E11"/>
    <w:rsid w:val="00656E16"/>
    <w:rsid w:val="00656E84"/>
    <w:rsid w:val="00656E86"/>
    <w:rsid w:val="00656F2B"/>
    <w:rsid w:val="00656FDC"/>
    <w:rsid w:val="00657063"/>
    <w:rsid w:val="0065712D"/>
    <w:rsid w:val="00657133"/>
    <w:rsid w:val="0065717E"/>
    <w:rsid w:val="0065722E"/>
    <w:rsid w:val="006572A1"/>
    <w:rsid w:val="006572D1"/>
    <w:rsid w:val="0065765D"/>
    <w:rsid w:val="006576FB"/>
    <w:rsid w:val="00657786"/>
    <w:rsid w:val="006577B9"/>
    <w:rsid w:val="00657955"/>
    <w:rsid w:val="00657971"/>
    <w:rsid w:val="006579A8"/>
    <w:rsid w:val="00657C50"/>
    <w:rsid w:val="00657D2E"/>
    <w:rsid w:val="00657D53"/>
    <w:rsid w:val="00657ECA"/>
    <w:rsid w:val="00657FA0"/>
    <w:rsid w:val="006600E1"/>
    <w:rsid w:val="006601D0"/>
    <w:rsid w:val="006602FA"/>
    <w:rsid w:val="0066030E"/>
    <w:rsid w:val="006603CD"/>
    <w:rsid w:val="00660434"/>
    <w:rsid w:val="006606C7"/>
    <w:rsid w:val="00660769"/>
    <w:rsid w:val="0066086C"/>
    <w:rsid w:val="00660906"/>
    <w:rsid w:val="0066096B"/>
    <w:rsid w:val="0066097D"/>
    <w:rsid w:val="00660A73"/>
    <w:rsid w:val="00660B57"/>
    <w:rsid w:val="00660BD7"/>
    <w:rsid w:val="00660C79"/>
    <w:rsid w:val="00660D62"/>
    <w:rsid w:val="00660F77"/>
    <w:rsid w:val="00661073"/>
    <w:rsid w:val="00661207"/>
    <w:rsid w:val="006613B9"/>
    <w:rsid w:val="00661474"/>
    <w:rsid w:val="006614D6"/>
    <w:rsid w:val="0066155C"/>
    <w:rsid w:val="00661587"/>
    <w:rsid w:val="00661705"/>
    <w:rsid w:val="006618F7"/>
    <w:rsid w:val="0066195C"/>
    <w:rsid w:val="00661AD3"/>
    <w:rsid w:val="00661C75"/>
    <w:rsid w:val="00661F3A"/>
    <w:rsid w:val="00662112"/>
    <w:rsid w:val="00662127"/>
    <w:rsid w:val="006622C7"/>
    <w:rsid w:val="0066232C"/>
    <w:rsid w:val="0066237D"/>
    <w:rsid w:val="00662652"/>
    <w:rsid w:val="0066269B"/>
    <w:rsid w:val="006627CE"/>
    <w:rsid w:val="006627D9"/>
    <w:rsid w:val="00662929"/>
    <w:rsid w:val="00662930"/>
    <w:rsid w:val="00662A12"/>
    <w:rsid w:val="00662A4F"/>
    <w:rsid w:val="00662A56"/>
    <w:rsid w:val="00662C58"/>
    <w:rsid w:val="00662E3E"/>
    <w:rsid w:val="00662E4D"/>
    <w:rsid w:val="00662EF6"/>
    <w:rsid w:val="00662FB1"/>
    <w:rsid w:val="0066312E"/>
    <w:rsid w:val="00663185"/>
    <w:rsid w:val="006631AC"/>
    <w:rsid w:val="00663305"/>
    <w:rsid w:val="0066340D"/>
    <w:rsid w:val="0066348C"/>
    <w:rsid w:val="0066359A"/>
    <w:rsid w:val="00663711"/>
    <w:rsid w:val="006637E2"/>
    <w:rsid w:val="00663834"/>
    <w:rsid w:val="006638C3"/>
    <w:rsid w:val="0066393D"/>
    <w:rsid w:val="00663A09"/>
    <w:rsid w:val="00663A3F"/>
    <w:rsid w:val="00664073"/>
    <w:rsid w:val="006643DE"/>
    <w:rsid w:val="006644F3"/>
    <w:rsid w:val="006646DC"/>
    <w:rsid w:val="0066477B"/>
    <w:rsid w:val="006647C8"/>
    <w:rsid w:val="006647E6"/>
    <w:rsid w:val="00664810"/>
    <w:rsid w:val="0066483A"/>
    <w:rsid w:val="00664870"/>
    <w:rsid w:val="00664886"/>
    <w:rsid w:val="00664954"/>
    <w:rsid w:val="0066499C"/>
    <w:rsid w:val="006649E7"/>
    <w:rsid w:val="00664B5D"/>
    <w:rsid w:val="00664C8C"/>
    <w:rsid w:val="00664CF5"/>
    <w:rsid w:val="00664D58"/>
    <w:rsid w:val="00664DA8"/>
    <w:rsid w:val="00664DC3"/>
    <w:rsid w:val="00664F20"/>
    <w:rsid w:val="00665032"/>
    <w:rsid w:val="00665062"/>
    <w:rsid w:val="00665251"/>
    <w:rsid w:val="006652AA"/>
    <w:rsid w:val="00665329"/>
    <w:rsid w:val="00665416"/>
    <w:rsid w:val="0066547C"/>
    <w:rsid w:val="0066554C"/>
    <w:rsid w:val="0066557E"/>
    <w:rsid w:val="0066567D"/>
    <w:rsid w:val="006656EA"/>
    <w:rsid w:val="0066592C"/>
    <w:rsid w:val="006659E0"/>
    <w:rsid w:val="00665B06"/>
    <w:rsid w:val="00665B47"/>
    <w:rsid w:val="00665FCA"/>
    <w:rsid w:val="00665FDF"/>
    <w:rsid w:val="00665FE6"/>
    <w:rsid w:val="006660A7"/>
    <w:rsid w:val="006662C6"/>
    <w:rsid w:val="006663B7"/>
    <w:rsid w:val="00666438"/>
    <w:rsid w:val="00666468"/>
    <w:rsid w:val="0066647B"/>
    <w:rsid w:val="0066647E"/>
    <w:rsid w:val="00666525"/>
    <w:rsid w:val="00666528"/>
    <w:rsid w:val="00666533"/>
    <w:rsid w:val="00666619"/>
    <w:rsid w:val="0066662C"/>
    <w:rsid w:val="0066664B"/>
    <w:rsid w:val="006667BB"/>
    <w:rsid w:val="006667E9"/>
    <w:rsid w:val="006667FC"/>
    <w:rsid w:val="00666871"/>
    <w:rsid w:val="00666892"/>
    <w:rsid w:val="00666A35"/>
    <w:rsid w:val="00666A43"/>
    <w:rsid w:val="00666B46"/>
    <w:rsid w:val="00666B6A"/>
    <w:rsid w:val="00666B73"/>
    <w:rsid w:val="00666D29"/>
    <w:rsid w:val="00666EEA"/>
    <w:rsid w:val="00667081"/>
    <w:rsid w:val="00667131"/>
    <w:rsid w:val="0066721E"/>
    <w:rsid w:val="00667221"/>
    <w:rsid w:val="0066730D"/>
    <w:rsid w:val="00667352"/>
    <w:rsid w:val="00667481"/>
    <w:rsid w:val="00667521"/>
    <w:rsid w:val="006675AC"/>
    <w:rsid w:val="00667634"/>
    <w:rsid w:val="00667860"/>
    <w:rsid w:val="0066792D"/>
    <w:rsid w:val="0066794D"/>
    <w:rsid w:val="006679E3"/>
    <w:rsid w:val="00667ACA"/>
    <w:rsid w:val="00667B9D"/>
    <w:rsid w:val="00667C01"/>
    <w:rsid w:val="00667C4E"/>
    <w:rsid w:val="00667C88"/>
    <w:rsid w:val="00667F84"/>
    <w:rsid w:val="00667F8B"/>
    <w:rsid w:val="00667FEE"/>
    <w:rsid w:val="006702D1"/>
    <w:rsid w:val="006702F7"/>
    <w:rsid w:val="00670753"/>
    <w:rsid w:val="00670877"/>
    <w:rsid w:val="00670944"/>
    <w:rsid w:val="00670A77"/>
    <w:rsid w:val="00670BFE"/>
    <w:rsid w:val="00670D00"/>
    <w:rsid w:val="00670D43"/>
    <w:rsid w:val="00670F34"/>
    <w:rsid w:val="00671078"/>
    <w:rsid w:val="00671099"/>
    <w:rsid w:val="006710AD"/>
    <w:rsid w:val="00671278"/>
    <w:rsid w:val="006714EB"/>
    <w:rsid w:val="006716D8"/>
    <w:rsid w:val="00671923"/>
    <w:rsid w:val="00671A43"/>
    <w:rsid w:val="00671AD6"/>
    <w:rsid w:val="00671B35"/>
    <w:rsid w:val="00671B75"/>
    <w:rsid w:val="00671C18"/>
    <w:rsid w:val="00671C5F"/>
    <w:rsid w:val="00671D7C"/>
    <w:rsid w:val="00671D99"/>
    <w:rsid w:val="00671E68"/>
    <w:rsid w:val="00671E7E"/>
    <w:rsid w:val="00671F3B"/>
    <w:rsid w:val="00671F52"/>
    <w:rsid w:val="006720E7"/>
    <w:rsid w:val="00672214"/>
    <w:rsid w:val="006722AF"/>
    <w:rsid w:val="00672309"/>
    <w:rsid w:val="0067241A"/>
    <w:rsid w:val="00672587"/>
    <w:rsid w:val="00672856"/>
    <w:rsid w:val="00672952"/>
    <w:rsid w:val="00672AA2"/>
    <w:rsid w:val="00672B4C"/>
    <w:rsid w:val="00672BC8"/>
    <w:rsid w:val="00672C79"/>
    <w:rsid w:val="00672E3E"/>
    <w:rsid w:val="00672EC7"/>
    <w:rsid w:val="00672F54"/>
    <w:rsid w:val="00673076"/>
    <w:rsid w:val="006730B0"/>
    <w:rsid w:val="00673313"/>
    <w:rsid w:val="00673363"/>
    <w:rsid w:val="006736D3"/>
    <w:rsid w:val="006736DF"/>
    <w:rsid w:val="00673768"/>
    <w:rsid w:val="006739BC"/>
    <w:rsid w:val="00673A6D"/>
    <w:rsid w:val="00673A77"/>
    <w:rsid w:val="00673B85"/>
    <w:rsid w:val="00673C28"/>
    <w:rsid w:val="00673C58"/>
    <w:rsid w:val="00673D0B"/>
    <w:rsid w:val="00673D3C"/>
    <w:rsid w:val="00673E77"/>
    <w:rsid w:val="00673EA1"/>
    <w:rsid w:val="00673EBB"/>
    <w:rsid w:val="00673EE3"/>
    <w:rsid w:val="00673F21"/>
    <w:rsid w:val="00673F90"/>
    <w:rsid w:val="006742CF"/>
    <w:rsid w:val="00674389"/>
    <w:rsid w:val="006744D7"/>
    <w:rsid w:val="00674607"/>
    <w:rsid w:val="006747EF"/>
    <w:rsid w:val="006749D6"/>
    <w:rsid w:val="00674AC1"/>
    <w:rsid w:val="00674B84"/>
    <w:rsid w:val="00674BA8"/>
    <w:rsid w:val="00674BC0"/>
    <w:rsid w:val="00674CB4"/>
    <w:rsid w:val="00674D57"/>
    <w:rsid w:val="00674E47"/>
    <w:rsid w:val="00674E83"/>
    <w:rsid w:val="00674F0D"/>
    <w:rsid w:val="0067501D"/>
    <w:rsid w:val="00675049"/>
    <w:rsid w:val="00675147"/>
    <w:rsid w:val="006751C1"/>
    <w:rsid w:val="0067522E"/>
    <w:rsid w:val="00675329"/>
    <w:rsid w:val="006753EF"/>
    <w:rsid w:val="0067545B"/>
    <w:rsid w:val="00675498"/>
    <w:rsid w:val="0067555A"/>
    <w:rsid w:val="0067574D"/>
    <w:rsid w:val="0067576D"/>
    <w:rsid w:val="0067580D"/>
    <w:rsid w:val="00675A40"/>
    <w:rsid w:val="00675A69"/>
    <w:rsid w:val="00675A6E"/>
    <w:rsid w:val="00675C10"/>
    <w:rsid w:val="00675C8A"/>
    <w:rsid w:val="00675D2D"/>
    <w:rsid w:val="00675DAC"/>
    <w:rsid w:val="00675DBA"/>
    <w:rsid w:val="00675DE9"/>
    <w:rsid w:val="00675ECB"/>
    <w:rsid w:val="00676033"/>
    <w:rsid w:val="006760F1"/>
    <w:rsid w:val="00676521"/>
    <w:rsid w:val="00676686"/>
    <w:rsid w:val="006766D6"/>
    <w:rsid w:val="006766EE"/>
    <w:rsid w:val="00676716"/>
    <w:rsid w:val="00676849"/>
    <w:rsid w:val="00676A44"/>
    <w:rsid w:val="00676B0A"/>
    <w:rsid w:val="00676CF6"/>
    <w:rsid w:val="00676D2A"/>
    <w:rsid w:val="00676DEC"/>
    <w:rsid w:val="00676DFD"/>
    <w:rsid w:val="00676E03"/>
    <w:rsid w:val="00676E06"/>
    <w:rsid w:val="00676EF8"/>
    <w:rsid w:val="00676FD8"/>
    <w:rsid w:val="00676FE6"/>
    <w:rsid w:val="006771E8"/>
    <w:rsid w:val="0067736B"/>
    <w:rsid w:val="006773C6"/>
    <w:rsid w:val="006774DE"/>
    <w:rsid w:val="006774F0"/>
    <w:rsid w:val="006774F5"/>
    <w:rsid w:val="00677678"/>
    <w:rsid w:val="0067769F"/>
    <w:rsid w:val="006776A8"/>
    <w:rsid w:val="006776FF"/>
    <w:rsid w:val="00677766"/>
    <w:rsid w:val="006778ED"/>
    <w:rsid w:val="00677A22"/>
    <w:rsid w:val="00677A79"/>
    <w:rsid w:val="00677AA3"/>
    <w:rsid w:val="00677B26"/>
    <w:rsid w:val="00677CB8"/>
    <w:rsid w:val="00677DC9"/>
    <w:rsid w:val="00677F8E"/>
    <w:rsid w:val="0067F962"/>
    <w:rsid w:val="00680022"/>
    <w:rsid w:val="006802AF"/>
    <w:rsid w:val="006802F8"/>
    <w:rsid w:val="00680345"/>
    <w:rsid w:val="00680500"/>
    <w:rsid w:val="006805AA"/>
    <w:rsid w:val="006805BF"/>
    <w:rsid w:val="006805EE"/>
    <w:rsid w:val="00680615"/>
    <w:rsid w:val="006806DA"/>
    <w:rsid w:val="006807AE"/>
    <w:rsid w:val="0068087F"/>
    <w:rsid w:val="006808C7"/>
    <w:rsid w:val="006809E1"/>
    <w:rsid w:val="00680A96"/>
    <w:rsid w:val="00680B36"/>
    <w:rsid w:val="00680B7F"/>
    <w:rsid w:val="00680BC9"/>
    <w:rsid w:val="00680D8D"/>
    <w:rsid w:val="00680DE1"/>
    <w:rsid w:val="00680DF2"/>
    <w:rsid w:val="00681064"/>
    <w:rsid w:val="006814C1"/>
    <w:rsid w:val="006814C9"/>
    <w:rsid w:val="00681520"/>
    <w:rsid w:val="00681667"/>
    <w:rsid w:val="00681BAD"/>
    <w:rsid w:val="00681D06"/>
    <w:rsid w:val="00681DE0"/>
    <w:rsid w:val="00681E13"/>
    <w:rsid w:val="00681E17"/>
    <w:rsid w:val="00681FEE"/>
    <w:rsid w:val="00682054"/>
    <w:rsid w:val="00682120"/>
    <w:rsid w:val="00682274"/>
    <w:rsid w:val="0068229D"/>
    <w:rsid w:val="006822D8"/>
    <w:rsid w:val="00682313"/>
    <w:rsid w:val="0068237D"/>
    <w:rsid w:val="0068245A"/>
    <w:rsid w:val="00682530"/>
    <w:rsid w:val="00682543"/>
    <w:rsid w:val="00682649"/>
    <w:rsid w:val="0068281A"/>
    <w:rsid w:val="0068282A"/>
    <w:rsid w:val="006828A2"/>
    <w:rsid w:val="006828D7"/>
    <w:rsid w:val="0068293A"/>
    <w:rsid w:val="00682AA8"/>
    <w:rsid w:val="00682B3E"/>
    <w:rsid w:val="00682BAD"/>
    <w:rsid w:val="00682C17"/>
    <w:rsid w:val="00682C7E"/>
    <w:rsid w:val="00682E46"/>
    <w:rsid w:val="00682E70"/>
    <w:rsid w:val="00682EC2"/>
    <w:rsid w:val="00682F26"/>
    <w:rsid w:val="00682F6E"/>
    <w:rsid w:val="00683011"/>
    <w:rsid w:val="006832AF"/>
    <w:rsid w:val="00683313"/>
    <w:rsid w:val="006833CD"/>
    <w:rsid w:val="006835D4"/>
    <w:rsid w:val="0068364F"/>
    <w:rsid w:val="0068368A"/>
    <w:rsid w:val="00683696"/>
    <w:rsid w:val="006836C5"/>
    <w:rsid w:val="006836C9"/>
    <w:rsid w:val="006837A0"/>
    <w:rsid w:val="00683BB5"/>
    <w:rsid w:val="00683BE2"/>
    <w:rsid w:val="00683D89"/>
    <w:rsid w:val="00683E35"/>
    <w:rsid w:val="006841FA"/>
    <w:rsid w:val="00684214"/>
    <w:rsid w:val="0068426E"/>
    <w:rsid w:val="00684274"/>
    <w:rsid w:val="00684474"/>
    <w:rsid w:val="006844A9"/>
    <w:rsid w:val="00684566"/>
    <w:rsid w:val="006845E6"/>
    <w:rsid w:val="0068466E"/>
    <w:rsid w:val="0068469A"/>
    <w:rsid w:val="006846DF"/>
    <w:rsid w:val="00684725"/>
    <w:rsid w:val="006847E7"/>
    <w:rsid w:val="006847EB"/>
    <w:rsid w:val="00684837"/>
    <w:rsid w:val="00684A41"/>
    <w:rsid w:val="00684A9F"/>
    <w:rsid w:val="00684ABA"/>
    <w:rsid w:val="00684BB9"/>
    <w:rsid w:val="00684DEE"/>
    <w:rsid w:val="00684EBD"/>
    <w:rsid w:val="00684EF1"/>
    <w:rsid w:val="00685046"/>
    <w:rsid w:val="006853C0"/>
    <w:rsid w:val="00685485"/>
    <w:rsid w:val="006854B9"/>
    <w:rsid w:val="006854D9"/>
    <w:rsid w:val="006854FD"/>
    <w:rsid w:val="0068554B"/>
    <w:rsid w:val="0068562E"/>
    <w:rsid w:val="0068566A"/>
    <w:rsid w:val="00685681"/>
    <w:rsid w:val="00685725"/>
    <w:rsid w:val="006858A7"/>
    <w:rsid w:val="00685C51"/>
    <w:rsid w:val="00685D8B"/>
    <w:rsid w:val="00685DB0"/>
    <w:rsid w:val="00685EAF"/>
    <w:rsid w:val="00685F0C"/>
    <w:rsid w:val="0068610E"/>
    <w:rsid w:val="006861DA"/>
    <w:rsid w:val="006864AC"/>
    <w:rsid w:val="00686503"/>
    <w:rsid w:val="0068658D"/>
    <w:rsid w:val="0068660E"/>
    <w:rsid w:val="0068668C"/>
    <w:rsid w:val="006866E3"/>
    <w:rsid w:val="00686789"/>
    <w:rsid w:val="006868B8"/>
    <w:rsid w:val="006869C8"/>
    <w:rsid w:val="00686AC1"/>
    <w:rsid w:val="00686C86"/>
    <w:rsid w:val="00686E0D"/>
    <w:rsid w:val="00686FF0"/>
    <w:rsid w:val="00687019"/>
    <w:rsid w:val="0068729E"/>
    <w:rsid w:val="006872D0"/>
    <w:rsid w:val="00687302"/>
    <w:rsid w:val="00687619"/>
    <w:rsid w:val="0068767E"/>
    <w:rsid w:val="00687864"/>
    <w:rsid w:val="00687887"/>
    <w:rsid w:val="0068792D"/>
    <w:rsid w:val="00687A67"/>
    <w:rsid w:val="00687ABE"/>
    <w:rsid w:val="00687E09"/>
    <w:rsid w:val="00687EA8"/>
    <w:rsid w:val="00687F8E"/>
    <w:rsid w:val="00690018"/>
    <w:rsid w:val="006900B0"/>
    <w:rsid w:val="0069011B"/>
    <w:rsid w:val="00690227"/>
    <w:rsid w:val="00690270"/>
    <w:rsid w:val="0069027F"/>
    <w:rsid w:val="00690368"/>
    <w:rsid w:val="00690670"/>
    <w:rsid w:val="00690710"/>
    <w:rsid w:val="006907B1"/>
    <w:rsid w:val="006908DF"/>
    <w:rsid w:val="00690A0B"/>
    <w:rsid w:val="00690A45"/>
    <w:rsid w:val="00690B2F"/>
    <w:rsid w:val="00690CF0"/>
    <w:rsid w:val="00690D0E"/>
    <w:rsid w:val="00690F5B"/>
    <w:rsid w:val="00690FAE"/>
    <w:rsid w:val="00690FBD"/>
    <w:rsid w:val="00691215"/>
    <w:rsid w:val="00691304"/>
    <w:rsid w:val="00691379"/>
    <w:rsid w:val="006914C6"/>
    <w:rsid w:val="006914EE"/>
    <w:rsid w:val="00691628"/>
    <w:rsid w:val="00691669"/>
    <w:rsid w:val="00691830"/>
    <w:rsid w:val="00691839"/>
    <w:rsid w:val="0069190F"/>
    <w:rsid w:val="00691919"/>
    <w:rsid w:val="00691A71"/>
    <w:rsid w:val="00691A94"/>
    <w:rsid w:val="00691CCB"/>
    <w:rsid w:val="00691D4B"/>
    <w:rsid w:val="00691E6C"/>
    <w:rsid w:val="00691EB4"/>
    <w:rsid w:val="00692128"/>
    <w:rsid w:val="0069212A"/>
    <w:rsid w:val="006921FD"/>
    <w:rsid w:val="00692303"/>
    <w:rsid w:val="0069232B"/>
    <w:rsid w:val="00692339"/>
    <w:rsid w:val="006923E5"/>
    <w:rsid w:val="006924AA"/>
    <w:rsid w:val="00692595"/>
    <w:rsid w:val="006925D7"/>
    <w:rsid w:val="0069260D"/>
    <w:rsid w:val="00692700"/>
    <w:rsid w:val="00692724"/>
    <w:rsid w:val="00692744"/>
    <w:rsid w:val="006927D7"/>
    <w:rsid w:val="00692875"/>
    <w:rsid w:val="006928B8"/>
    <w:rsid w:val="0069292C"/>
    <w:rsid w:val="00692ABC"/>
    <w:rsid w:val="00692AE2"/>
    <w:rsid w:val="00692C4C"/>
    <w:rsid w:val="00692DFD"/>
    <w:rsid w:val="00692E19"/>
    <w:rsid w:val="00692F3B"/>
    <w:rsid w:val="00693006"/>
    <w:rsid w:val="006930BF"/>
    <w:rsid w:val="006930CC"/>
    <w:rsid w:val="0069311D"/>
    <w:rsid w:val="00693154"/>
    <w:rsid w:val="00693201"/>
    <w:rsid w:val="006932AF"/>
    <w:rsid w:val="0069353B"/>
    <w:rsid w:val="00693600"/>
    <w:rsid w:val="00693782"/>
    <w:rsid w:val="0069384F"/>
    <w:rsid w:val="006939CF"/>
    <w:rsid w:val="00693ADA"/>
    <w:rsid w:val="00693E03"/>
    <w:rsid w:val="00693E78"/>
    <w:rsid w:val="00693F38"/>
    <w:rsid w:val="00693FAC"/>
    <w:rsid w:val="00694170"/>
    <w:rsid w:val="006941E9"/>
    <w:rsid w:val="006941F2"/>
    <w:rsid w:val="00694359"/>
    <w:rsid w:val="00694435"/>
    <w:rsid w:val="00694452"/>
    <w:rsid w:val="006944E7"/>
    <w:rsid w:val="00694621"/>
    <w:rsid w:val="006946DD"/>
    <w:rsid w:val="00694779"/>
    <w:rsid w:val="006948B8"/>
    <w:rsid w:val="00694AA1"/>
    <w:rsid w:val="00694BA6"/>
    <w:rsid w:val="00694C07"/>
    <w:rsid w:val="00694CB1"/>
    <w:rsid w:val="00694D36"/>
    <w:rsid w:val="00694D62"/>
    <w:rsid w:val="00694DF5"/>
    <w:rsid w:val="00694E9A"/>
    <w:rsid w:val="00694FC8"/>
    <w:rsid w:val="00695089"/>
    <w:rsid w:val="006950B7"/>
    <w:rsid w:val="006950FF"/>
    <w:rsid w:val="00695138"/>
    <w:rsid w:val="00695222"/>
    <w:rsid w:val="00695464"/>
    <w:rsid w:val="006956C4"/>
    <w:rsid w:val="006956F4"/>
    <w:rsid w:val="006957D1"/>
    <w:rsid w:val="0069584D"/>
    <w:rsid w:val="00695881"/>
    <w:rsid w:val="006958E3"/>
    <w:rsid w:val="0069598D"/>
    <w:rsid w:val="00695A14"/>
    <w:rsid w:val="00695AF9"/>
    <w:rsid w:val="00695B25"/>
    <w:rsid w:val="00695E0B"/>
    <w:rsid w:val="00695EC9"/>
    <w:rsid w:val="00695FAD"/>
    <w:rsid w:val="00696164"/>
    <w:rsid w:val="0069618C"/>
    <w:rsid w:val="00696335"/>
    <w:rsid w:val="00696409"/>
    <w:rsid w:val="00696432"/>
    <w:rsid w:val="00696542"/>
    <w:rsid w:val="0069664E"/>
    <w:rsid w:val="006966E9"/>
    <w:rsid w:val="0069670B"/>
    <w:rsid w:val="006967DD"/>
    <w:rsid w:val="00696815"/>
    <w:rsid w:val="00696866"/>
    <w:rsid w:val="006968A7"/>
    <w:rsid w:val="006968ED"/>
    <w:rsid w:val="006969DA"/>
    <w:rsid w:val="006969DC"/>
    <w:rsid w:val="00696AA3"/>
    <w:rsid w:val="00696DEE"/>
    <w:rsid w:val="00696EAF"/>
    <w:rsid w:val="00697036"/>
    <w:rsid w:val="00697181"/>
    <w:rsid w:val="0069724F"/>
    <w:rsid w:val="006972B6"/>
    <w:rsid w:val="006972EA"/>
    <w:rsid w:val="00697480"/>
    <w:rsid w:val="0069749C"/>
    <w:rsid w:val="00697580"/>
    <w:rsid w:val="006975BE"/>
    <w:rsid w:val="006976DD"/>
    <w:rsid w:val="00697775"/>
    <w:rsid w:val="0069793E"/>
    <w:rsid w:val="0069798D"/>
    <w:rsid w:val="00697D0B"/>
    <w:rsid w:val="00697FB5"/>
    <w:rsid w:val="006A0151"/>
    <w:rsid w:val="006A01CC"/>
    <w:rsid w:val="006A01DB"/>
    <w:rsid w:val="006A0307"/>
    <w:rsid w:val="006A031C"/>
    <w:rsid w:val="006A03B2"/>
    <w:rsid w:val="006A0468"/>
    <w:rsid w:val="006A046F"/>
    <w:rsid w:val="006A0578"/>
    <w:rsid w:val="006A088D"/>
    <w:rsid w:val="006A089E"/>
    <w:rsid w:val="006A0A4D"/>
    <w:rsid w:val="006A0AA1"/>
    <w:rsid w:val="006A0B2F"/>
    <w:rsid w:val="006A0DB8"/>
    <w:rsid w:val="006A0F62"/>
    <w:rsid w:val="006A10F5"/>
    <w:rsid w:val="006A114C"/>
    <w:rsid w:val="006A1381"/>
    <w:rsid w:val="006A149B"/>
    <w:rsid w:val="006A1686"/>
    <w:rsid w:val="006A18A1"/>
    <w:rsid w:val="006A1968"/>
    <w:rsid w:val="006A197C"/>
    <w:rsid w:val="006A1A43"/>
    <w:rsid w:val="006A1AA6"/>
    <w:rsid w:val="006A1AE9"/>
    <w:rsid w:val="006A1B2E"/>
    <w:rsid w:val="006A1C0C"/>
    <w:rsid w:val="006A1CAD"/>
    <w:rsid w:val="006A1D83"/>
    <w:rsid w:val="006A1F4E"/>
    <w:rsid w:val="006A2129"/>
    <w:rsid w:val="006A21FE"/>
    <w:rsid w:val="006A22C6"/>
    <w:rsid w:val="006A2556"/>
    <w:rsid w:val="006A2583"/>
    <w:rsid w:val="006A2598"/>
    <w:rsid w:val="006A2767"/>
    <w:rsid w:val="006A27BD"/>
    <w:rsid w:val="006A287E"/>
    <w:rsid w:val="006A287F"/>
    <w:rsid w:val="006A2A8F"/>
    <w:rsid w:val="006A2B16"/>
    <w:rsid w:val="006A2B8E"/>
    <w:rsid w:val="006A2C86"/>
    <w:rsid w:val="006A2CFD"/>
    <w:rsid w:val="006A314F"/>
    <w:rsid w:val="006A3196"/>
    <w:rsid w:val="006A33CE"/>
    <w:rsid w:val="006A340F"/>
    <w:rsid w:val="006A349F"/>
    <w:rsid w:val="006A34D8"/>
    <w:rsid w:val="006A3514"/>
    <w:rsid w:val="006A3635"/>
    <w:rsid w:val="006A37EB"/>
    <w:rsid w:val="006A38A5"/>
    <w:rsid w:val="006A393F"/>
    <w:rsid w:val="006A39FA"/>
    <w:rsid w:val="006A3A39"/>
    <w:rsid w:val="006A3AA4"/>
    <w:rsid w:val="006A3B88"/>
    <w:rsid w:val="006A3CE3"/>
    <w:rsid w:val="006A4018"/>
    <w:rsid w:val="006A401E"/>
    <w:rsid w:val="006A4046"/>
    <w:rsid w:val="006A4049"/>
    <w:rsid w:val="006A40A4"/>
    <w:rsid w:val="006A4268"/>
    <w:rsid w:val="006A4328"/>
    <w:rsid w:val="006A4370"/>
    <w:rsid w:val="006A44B2"/>
    <w:rsid w:val="006A46B4"/>
    <w:rsid w:val="006A4767"/>
    <w:rsid w:val="006A48E3"/>
    <w:rsid w:val="006A4903"/>
    <w:rsid w:val="006A4984"/>
    <w:rsid w:val="006A498B"/>
    <w:rsid w:val="006A49F7"/>
    <w:rsid w:val="006A4A62"/>
    <w:rsid w:val="006A4B7D"/>
    <w:rsid w:val="006A4C22"/>
    <w:rsid w:val="006A4CE5"/>
    <w:rsid w:val="006A4DCF"/>
    <w:rsid w:val="006A4EC0"/>
    <w:rsid w:val="006A4FCF"/>
    <w:rsid w:val="006A4FD5"/>
    <w:rsid w:val="006A511B"/>
    <w:rsid w:val="006A512C"/>
    <w:rsid w:val="006A519B"/>
    <w:rsid w:val="006A52D0"/>
    <w:rsid w:val="006A540F"/>
    <w:rsid w:val="006A5579"/>
    <w:rsid w:val="006A55AF"/>
    <w:rsid w:val="006A55BB"/>
    <w:rsid w:val="006A5737"/>
    <w:rsid w:val="006A5790"/>
    <w:rsid w:val="006A57EC"/>
    <w:rsid w:val="006A5A36"/>
    <w:rsid w:val="006A5A48"/>
    <w:rsid w:val="006A5AEC"/>
    <w:rsid w:val="006A5B1D"/>
    <w:rsid w:val="006A5B4C"/>
    <w:rsid w:val="006A5BDF"/>
    <w:rsid w:val="006A5D6C"/>
    <w:rsid w:val="006A5E83"/>
    <w:rsid w:val="006A5FAD"/>
    <w:rsid w:val="006A6118"/>
    <w:rsid w:val="006A6423"/>
    <w:rsid w:val="006A652F"/>
    <w:rsid w:val="006A6543"/>
    <w:rsid w:val="006A668D"/>
    <w:rsid w:val="006A674C"/>
    <w:rsid w:val="006A6869"/>
    <w:rsid w:val="006A6927"/>
    <w:rsid w:val="006A6943"/>
    <w:rsid w:val="006A69AB"/>
    <w:rsid w:val="006A6B01"/>
    <w:rsid w:val="006A6C69"/>
    <w:rsid w:val="006A6CB6"/>
    <w:rsid w:val="006A6D74"/>
    <w:rsid w:val="006A6D7C"/>
    <w:rsid w:val="006A6E71"/>
    <w:rsid w:val="006A6E7F"/>
    <w:rsid w:val="006A6E83"/>
    <w:rsid w:val="006A6E94"/>
    <w:rsid w:val="006A6F1A"/>
    <w:rsid w:val="006A6FAC"/>
    <w:rsid w:val="006A713F"/>
    <w:rsid w:val="006A72F3"/>
    <w:rsid w:val="006A73AF"/>
    <w:rsid w:val="006A742B"/>
    <w:rsid w:val="006A747E"/>
    <w:rsid w:val="006A758A"/>
    <w:rsid w:val="006A7842"/>
    <w:rsid w:val="006A7970"/>
    <w:rsid w:val="006A7A7F"/>
    <w:rsid w:val="006A7C11"/>
    <w:rsid w:val="006A7E1B"/>
    <w:rsid w:val="006A7EBD"/>
    <w:rsid w:val="006A7EE6"/>
    <w:rsid w:val="006A7F21"/>
    <w:rsid w:val="006B002D"/>
    <w:rsid w:val="006B00AB"/>
    <w:rsid w:val="006B0100"/>
    <w:rsid w:val="006B0189"/>
    <w:rsid w:val="006B021F"/>
    <w:rsid w:val="006B023A"/>
    <w:rsid w:val="006B0436"/>
    <w:rsid w:val="006B0475"/>
    <w:rsid w:val="006B04E1"/>
    <w:rsid w:val="006B073B"/>
    <w:rsid w:val="006B076C"/>
    <w:rsid w:val="006B0A5E"/>
    <w:rsid w:val="006B0A5F"/>
    <w:rsid w:val="006B0B1A"/>
    <w:rsid w:val="006B0B8C"/>
    <w:rsid w:val="006B0BBD"/>
    <w:rsid w:val="006B0DBC"/>
    <w:rsid w:val="006B0DF6"/>
    <w:rsid w:val="006B0F5F"/>
    <w:rsid w:val="006B1098"/>
    <w:rsid w:val="006B1156"/>
    <w:rsid w:val="006B1302"/>
    <w:rsid w:val="006B1313"/>
    <w:rsid w:val="006B13F2"/>
    <w:rsid w:val="006B145F"/>
    <w:rsid w:val="006B148A"/>
    <w:rsid w:val="006B1557"/>
    <w:rsid w:val="006B1598"/>
    <w:rsid w:val="006B15D4"/>
    <w:rsid w:val="006B1616"/>
    <w:rsid w:val="006B16BF"/>
    <w:rsid w:val="006B17BF"/>
    <w:rsid w:val="006B1A39"/>
    <w:rsid w:val="006B1B93"/>
    <w:rsid w:val="006B1C45"/>
    <w:rsid w:val="006B1C98"/>
    <w:rsid w:val="006B1D95"/>
    <w:rsid w:val="006B1EA0"/>
    <w:rsid w:val="006B1FB1"/>
    <w:rsid w:val="006B1FC5"/>
    <w:rsid w:val="006B20DC"/>
    <w:rsid w:val="006B228E"/>
    <w:rsid w:val="006B236C"/>
    <w:rsid w:val="006B256D"/>
    <w:rsid w:val="006B289E"/>
    <w:rsid w:val="006B29BA"/>
    <w:rsid w:val="006B2B54"/>
    <w:rsid w:val="006B2D02"/>
    <w:rsid w:val="006B2EAB"/>
    <w:rsid w:val="006B2EEF"/>
    <w:rsid w:val="006B2EF1"/>
    <w:rsid w:val="006B3026"/>
    <w:rsid w:val="006B3229"/>
    <w:rsid w:val="006B339B"/>
    <w:rsid w:val="006B33CE"/>
    <w:rsid w:val="006B34A7"/>
    <w:rsid w:val="006B34B3"/>
    <w:rsid w:val="006B35F3"/>
    <w:rsid w:val="006B3662"/>
    <w:rsid w:val="006B3748"/>
    <w:rsid w:val="006B3875"/>
    <w:rsid w:val="006B390A"/>
    <w:rsid w:val="006B3AD9"/>
    <w:rsid w:val="006B3B43"/>
    <w:rsid w:val="006B3B89"/>
    <w:rsid w:val="006B3D80"/>
    <w:rsid w:val="006B3E68"/>
    <w:rsid w:val="006B3EE6"/>
    <w:rsid w:val="006B3F24"/>
    <w:rsid w:val="006B3FF9"/>
    <w:rsid w:val="006B40BA"/>
    <w:rsid w:val="006B40E6"/>
    <w:rsid w:val="006B40ED"/>
    <w:rsid w:val="006B4266"/>
    <w:rsid w:val="006B428E"/>
    <w:rsid w:val="006B4337"/>
    <w:rsid w:val="006B43F5"/>
    <w:rsid w:val="006B4586"/>
    <w:rsid w:val="006B45A8"/>
    <w:rsid w:val="006B45D2"/>
    <w:rsid w:val="006B463A"/>
    <w:rsid w:val="006B4674"/>
    <w:rsid w:val="006B46C1"/>
    <w:rsid w:val="006B4A6D"/>
    <w:rsid w:val="006B4A83"/>
    <w:rsid w:val="006B4AE4"/>
    <w:rsid w:val="006B4BB7"/>
    <w:rsid w:val="006B4C95"/>
    <w:rsid w:val="006B4CA8"/>
    <w:rsid w:val="006B4CC8"/>
    <w:rsid w:val="006B4D7D"/>
    <w:rsid w:val="006B507E"/>
    <w:rsid w:val="006B5082"/>
    <w:rsid w:val="006B50A6"/>
    <w:rsid w:val="006B50AE"/>
    <w:rsid w:val="006B52BA"/>
    <w:rsid w:val="006B52DF"/>
    <w:rsid w:val="006B5345"/>
    <w:rsid w:val="006B5366"/>
    <w:rsid w:val="006B538F"/>
    <w:rsid w:val="006B53D0"/>
    <w:rsid w:val="006B569C"/>
    <w:rsid w:val="006B5881"/>
    <w:rsid w:val="006B5995"/>
    <w:rsid w:val="006B59B4"/>
    <w:rsid w:val="006B59EF"/>
    <w:rsid w:val="006B5A20"/>
    <w:rsid w:val="006B5A65"/>
    <w:rsid w:val="006B5B39"/>
    <w:rsid w:val="006B5C0C"/>
    <w:rsid w:val="006B5C18"/>
    <w:rsid w:val="006B5C9C"/>
    <w:rsid w:val="006B5D9E"/>
    <w:rsid w:val="006B5DE3"/>
    <w:rsid w:val="006B5E0B"/>
    <w:rsid w:val="006B6057"/>
    <w:rsid w:val="006B6273"/>
    <w:rsid w:val="006B62A1"/>
    <w:rsid w:val="006B6339"/>
    <w:rsid w:val="006B6365"/>
    <w:rsid w:val="006B64FC"/>
    <w:rsid w:val="006B67AB"/>
    <w:rsid w:val="006B691F"/>
    <w:rsid w:val="006B6A06"/>
    <w:rsid w:val="006B6A3F"/>
    <w:rsid w:val="006B6C7E"/>
    <w:rsid w:val="006B6C88"/>
    <w:rsid w:val="006B6E6F"/>
    <w:rsid w:val="006B6EE2"/>
    <w:rsid w:val="006B6F00"/>
    <w:rsid w:val="006B70D4"/>
    <w:rsid w:val="006B7110"/>
    <w:rsid w:val="006B7177"/>
    <w:rsid w:val="006B71CF"/>
    <w:rsid w:val="006B734D"/>
    <w:rsid w:val="006B747A"/>
    <w:rsid w:val="006B7574"/>
    <w:rsid w:val="006B770F"/>
    <w:rsid w:val="006B772E"/>
    <w:rsid w:val="006B7989"/>
    <w:rsid w:val="006B79C8"/>
    <w:rsid w:val="006B7BCF"/>
    <w:rsid w:val="006B7C20"/>
    <w:rsid w:val="006B7D16"/>
    <w:rsid w:val="006B7E44"/>
    <w:rsid w:val="006B7E9C"/>
    <w:rsid w:val="006B7F66"/>
    <w:rsid w:val="006B7F71"/>
    <w:rsid w:val="006B7F8D"/>
    <w:rsid w:val="006C0081"/>
    <w:rsid w:val="006C0164"/>
    <w:rsid w:val="006C038D"/>
    <w:rsid w:val="006C04E4"/>
    <w:rsid w:val="006C0653"/>
    <w:rsid w:val="006C06B5"/>
    <w:rsid w:val="006C06D4"/>
    <w:rsid w:val="006C06F0"/>
    <w:rsid w:val="006C079E"/>
    <w:rsid w:val="006C0930"/>
    <w:rsid w:val="006C0B47"/>
    <w:rsid w:val="006C0BAD"/>
    <w:rsid w:val="006C0D5C"/>
    <w:rsid w:val="006C0D91"/>
    <w:rsid w:val="006C0DAD"/>
    <w:rsid w:val="006C0DBF"/>
    <w:rsid w:val="006C0EAE"/>
    <w:rsid w:val="006C0F01"/>
    <w:rsid w:val="006C1008"/>
    <w:rsid w:val="006C100F"/>
    <w:rsid w:val="006C115E"/>
    <w:rsid w:val="006C11CD"/>
    <w:rsid w:val="006C121A"/>
    <w:rsid w:val="006C124B"/>
    <w:rsid w:val="006C1266"/>
    <w:rsid w:val="006C1414"/>
    <w:rsid w:val="006C1446"/>
    <w:rsid w:val="006C1503"/>
    <w:rsid w:val="006C17C4"/>
    <w:rsid w:val="006C1806"/>
    <w:rsid w:val="006C1883"/>
    <w:rsid w:val="006C1A21"/>
    <w:rsid w:val="006C1A8D"/>
    <w:rsid w:val="006C1BAA"/>
    <w:rsid w:val="006C1BAD"/>
    <w:rsid w:val="006C1CCC"/>
    <w:rsid w:val="006C1CE2"/>
    <w:rsid w:val="006C1CF6"/>
    <w:rsid w:val="006C1D39"/>
    <w:rsid w:val="006C1DDA"/>
    <w:rsid w:val="006C1FA6"/>
    <w:rsid w:val="006C1FC4"/>
    <w:rsid w:val="006C1FFF"/>
    <w:rsid w:val="006C2024"/>
    <w:rsid w:val="006C21CC"/>
    <w:rsid w:val="006C21FD"/>
    <w:rsid w:val="006C2497"/>
    <w:rsid w:val="006C24C4"/>
    <w:rsid w:val="006C25AF"/>
    <w:rsid w:val="006C2627"/>
    <w:rsid w:val="006C2677"/>
    <w:rsid w:val="006C2678"/>
    <w:rsid w:val="006C2742"/>
    <w:rsid w:val="006C280B"/>
    <w:rsid w:val="006C2944"/>
    <w:rsid w:val="006C2B3D"/>
    <w:rsid w:val="006C2C02"/>
    <w:rsid w:val="006C2D86"/>
    <w:rsid w:val="006C2DAE"/>
    <w:rsid w:val="006C2DE7"/>
    <w:rsid w:val="006C2FA1"/>
    <w:rsid w:val="006C3000"/>
    <w:rsid w:val="006C3001"/>
    <w:rsid w:val="006C33FF"/>
    <w:rsid w:val="006C3592"/>
    <w:rsid w:val="006C35E7"/>
    <w:rsid w:val="006C3671"/>
    <w:rsid w:val="006C36C7"/>
    <w:rsid w:val="006C36C9"/>
    <w:rsid w:val="006C36F1"/>
    <w:rsid w:val="006C380F"/>
    <w:rsid w:val="006C3A7F"/>
    <w:rsid w:val="006C3D71"/>
    <w:rsid w:val="006C3E86"/>
    <w:rsid w:val="006C3EAB"/>
    <w:rsid w:val="006C3F81"/>
    <w:rsid w:val="006C4242"/>
    <w:rsid w:val="006C431D"/>
    <w:rsid w:val="006C432F"/>
    <w:rsid w:val="006C4543"/>
    <w:rsid w:val="006C4620"/>
    <w:rsid w:val="006C4757"/>
    <w:rsid w:val="006C47B1"/>
    <w:rsid w:val="006C482A"/>
    <w:rsid w:val="006C48F1"/>
    <w:rsid w:val="006C4A29"/>
    <w:rsid w:val="006C4AB3"/>
    <w:rsid w:val="006C4ADB"/>
    <w:rsid w:val="006C4AF3"/>
    <w:rsid w:val="006C4C52"/>
    <w:rsid w:val="006C4CEF"/>
    <w:rsid w:val="006C4E57"/>
    <w:rsid w:val="006C5000"/>
    <w:rsid w:val="006C508A"/>
    <w:rsid w:val="006C5242"/>
    <w:rsid w:val="006C53B5"/>
    <w:rsid w:val="006C586F"/>
    <w:rsid w:val="006C5AE6"/>
    <w:rsid w:val="006C5D40"/>
    <w:rsid w:val="006C5E87"/>
    <w:rsid w:val="006C5FA4"/>
    <w:rsid w:val="006C5FB9"/>
    <w:rsid w:val="006C61E9"/>
    <w:rsid w:val="006C6205"/>
    <w:rsid w:val="006C626F"/>
    <w:rsid w:val="006C62DA"/>
    <w:rsid w:val="006C64C5"/>
    <w:rsid w:val="006C64F7"/>
    <w:rsid w:val="006C657C"/>
    <w:rsid w:val="006C659E"/>
    <w:rsid w:val="006C65F2"/>
    <w:rsid w:val="006C6755"/>
    <w:rsid w:val="006C67DC"/>
    <w:rsid w:val="006C69EF"/>
    <w:rsid w:val="006C6A2F"/>
    <w:rsid w:val="006C6ADC"/>
    <w:rsid w:val="006C6D27"/>
    <w:rsid w:val="006C6D59"/>
    <w:rsid w:val="006C6E47"/>
    <w:rsid w:val="006C6F82"/>
    <w:rsid w:val="006C7077"/>
    <w:rsid w:val="006C718E"/>
    <w:rsid w:val="006C72DB"/>
    <w:rsid w:val="006C7426"/>
    <w:rsid w:val="006C749F"/>
    <w:rsid w:val="006C75DB"/>
    <w:rsid w:val="006C75F3"/>
    <w:rsid w:val="006C767D"/>
    <w:rsid w:val="006C7756"/>
    <w:rsid w:val="006C77C2"/>
    <w:rsid w:val="006C7A8E"/>
    <w:rsid w:val="006C7B18"/>
    <w:rsid w:val="006C7C81"/>
    <w:rsid w:val="006C7E2A"/>
    <w:rsid w:val="006CA1D6"/>
    <w:rsid w:val="006CB40A"/>
    <w:rsid w:val="006D0106"/>
    <w:rsid w:val="006D0219"/>
    <w:rsid w:val="006D02C5"/>
    <w:rsid w:val="006D031B"/>
    <w:rsid w:val="006D0403"/>
    <w:rsid w:val="006D052F"/>
    <w:rsid w:val="006D0855"/>
    <w:rsid w:val="006D0962"/>
    <w:rsid w:val="006D09CD"/>
    <w:rsid w:val="006D0AAA"/>
    <w:rsid w:val="006D0AEC"/>
    <w:rsid w:val="006D0B89"/>
    <w:rsid w:val="006D0CC5"/>
    <w:rsid w:val="006D0CE9"/>
    <w:rsid w:val="006D0E17"/>
    <w:rsid w:val="006D1013"/>
    <w:rsid w:val="006D11E2"/>
    <w:rsid w:val="006D1279"/>
    <w:rsid w:val="006D1313"/>
    <w:rsid w:val="006D13D5"/>
    <w:rsid w:val="006D1449"/>
    <w:rsid w:val="006D1488"/>
    <w:rsid w:val="006D173F"/>
    <w:rsid w:val="006D17D6"/>
    <w:rsid w:val="006D1830"/>
    <w:rsid w:val="006D183D"/>
    <w:rsid w:val="006D1885"/>
    <w:rsid w:val="006D1901"/>
    <w:rsid w:val="006D1A99"/>
    <w:rsid w:val="006D1BAF"/>
    <w:rsid w:val="006D1C8A"/>
    <w:rsid w:val="006D1ECF"/>
    <w:rsid w:val="006D1F32"/>
    <w:rsid w:val="006D212A"/>
    <w:rsid w:val="006D2179"/>
    <w:rsid w:val="006D21C8"/>
    <w:rsid w:val="006D21CB"/>
    <w:rsid w:val="006D22AA"/>
    <w:rsid w:val="006D22FE"/>
    <w:rsid w:val="006D2371"/>
    <w:rsid w:val="006D23B8"/>
    <w:rsid w:val="006D242F"/>
    <w:rsid w:val="006D2CC9"/>
    <w:rsid w:val="006D2CDF"/>
    <w:rsid w:val="006D2D6B"/>
    <w:rsid w:val="006D2F04"/>
    <w:rsid w:val="006D302F"/>
    <w:rsid w:val="006D3385"/>
    <w:rsid w:val="006D3547"/>
    <w:rsid w:val="006D3596"/>
    <w:rsid w:val="006D35E3"/>
    <w:rsid w:val="006D364E"/>
    <w:rsid w:val="006D367A"/>
    <w:rsid w:val="006D36F2"/>
    <w:rsid w:val="006D3744"/>
    <w:rsid w:val="006D3753"/>
    <w:rsid w:val="006D37B0"/>
    <w:rsid w:val="006D37B5"/>
    <w:rsid w:val="006D3804"/>
    <w:rsid w:val="006D380C"/>
    <w:rsid w:val="006D38D7"/>
    <w:rsid w:val="006D394C"/>
    <w:rsid w:val="006D39B8"/>
    <w:rsid w:val="006D39E9"/>
    <w:rsid w:val="006D3A7E"/>
    <w:rsid w:val="006D3B6E"/>
    <w:rsid w:val="006D3C29"/>
    <w:rsid w:val="006D3DB5"/>
    <w:rsid w:val="006D3DC4"/>
    <w:rsid w:val="006D3F8B"/>
    <w:rsid w:val="006D4040"/>
    <w:rsid w:val="006D43EE"/>
    <w:rsid w:val="006D4460"/>
    <w:rsid w:val="006D47A4"/>
    <w:rsid w:val="006D4AD0"/>
    <w:rsid w:val="006D4B21"/>
    <w:rsid w:val="006D4CA0"/>
    <w:rsid w:val="006D4DE1"/>
    <w:rsid w:val="006D4E8A"/>
    <w:rsid w:val="006D4ED8"/>
    <w:rsid w:val="006D516A"/>
    <w:rsid w:val="006D519E"/>
    <w:rsid w:val="006D53B2"/>
    <w:rsid w:val="006D5416"/>
    <w:rsid w:val="006D5419"/>
    <w:rsid w:val="006D5470"/>
    <w:rsid w:val="006D54B4"/>
    <w:rsid w:val="006D568C"/>
    <w:rsid w:val="006D56AD"/>
    <w:rsid w:val="006D56B4"/>
    <w:rsid w:val="006D576D"/>
    <w:rsid w:val="006D5771"/>
    <w:rsid w:val="006D57C8"/>
    <w:rsid w:val="006D59F1"/>
    <w:rsid w:val="006D5B42"/>
    <w:rsid w:val="006D5D9E"/>
    <w:rsid w:val="006D5E28"/>
    <w:rsid w:val="006D5E83"/>
    <w:rsid w:val="006D5F89"/>
    <w:rsid w:val="006D60E1"/>
    <w:rsid w:val="006D62F5"/>
    <w:rsid w:val="006D6335"/>
    <w:rsid w:val="006D6370"/>
    <w:rsid w:val="006D63B3"/>
    <w:rsid w:val="006D6432"/>
    <w:rsid w:val="006D6459"/>
    <w:rsid w:val="006D6506"/>
    <w:rsid w:val="006D6518"/>
    <w:rsid w:val="006D65B8"/>
    <w:rsid w:val="006D67D3"/>
    <w:rsid w:val="006D6828"/>
    <w:rsid w:val="006D684B"/>
    <w:rsid w:val="006D68B2"/>
    <w:rsid w:val="006D68C8"/>
    <w:rsid w:val="006D6980"/>
    <w:rsid w:val="006D6A14"/>
    <w:rsid w:val="006D6AE6"/>
    <w:rsid w:val="006D6C72"/>
    <w:rsid w:val="006D6CC2"/>
    <w:rsid w:val="006D6D1F"/>
    <w:rsid w:val="006D6FA8"/>
    <w:rsid w:val="006D7045"/>
    <w:rsid w:val="006D71E3"/>
    <w:rsid w:val="006D71FA"/>
    <w:rsid w:val="006D724F"/>
    <w:rsid w:val="006D7321"/>
    <w:rsid w:val="006D74BE"/>
    <w:rsid w:val="006D7639"/>
    <w:rsid w:val="006D77BE"/>
    <w:rsid w:val="006D7809"/>
    <w:rsid w:val="006D7961"/>
    <w:rsid w:val="006D7B5A"/>
    <w:rsid w:val="006D7CC9"/>
    <w:rsid w:val="006D7D0C"/>
    <w:rsid w:val="006D7DEF"/>
    <w:rsid w:val="006D7DF2"/>
    <w:rsid w:val="006D7EA9"/>
    <w:rsid w:val="006D7F72"/>
    <w:rsid w:val="006D7F7D"/>
    <w:rsid w:val="006D7FED"/>
    <w:rsid w:val="006E00CD"/>
    <w:rsid w:val="006E0118"/>
    <w:rsid w:val="006E0263"/>
    <w:rsid w:val="006E0275"/>
    <w:rsid w:val="006E02A7"/>
    <w:rsid w:val="006E02C0"/>
    <w:rsid w:val="006E0353"/>
    <w:rsid w:val="006E0448"/>
    <w:rsid w:val="006E053B"/>
    <w:rsid w:val="006E0773"/>
    <w:rsid w:val="006E07C6"/>
    <w:rsid w:val="006E08D1"/>
    <w:rsid w:val="006E08DD"/>
    <w:rsid w:val="006E09E5"/>
    <w:rsid w:val="006E09FA"/>
    <w:rsid w:val="006E0B28"/>
    <w:rsid w:val="006E0CFA"/>
    <w:rsid w:val="006E0E2A"/>
    <w:rsid w:val="006E0EE0"/>
    <w:rsid w:val="006E0FCE"/>
    <w:rsid w:val="006E0FCF"/>
    <w:rsid w:val="006E1001"/>
    <w:rsid w:val="006E10FA"/>
    <w:rsid w:val="006E119C"/>
    <w:rsid w:val="006E11F0"/>
    <w:rsid w:val="006E12EF"/>
    <w:rsid w:val="006E141D"/>
    <w:rsid w:val="006E1425"/>
    <w:rsid w:val="006E1439"/>
    <w:rsid w:val="006E149B"/>
    <w:rsid w:val="006E1571"/>
    <w:rsid w:val="006E159A"/>
    <w:rsid w:val="006E15EE"/>
    <w:rsid w:val="006E1671"/>
    <w:rsid w:val="006E1698"/>
    <w:rsid w:val="006E169D"/>
    <w:rsid w:val="006E1772"/>
    <w:rsid w:val="006E17FA"/>
    <w:rsid w:val="006E1815"/>
    <w:rsid w:val="006E18C1"/>
    <w:rsid w:val="006E198D"/>
    <w:rsid w:val="006E199E"/>
    <w:rsid w:val="006E1ABE"/>
    <w:rsid w:val="006E1B73"/>
    <w:rsid w:val="006E1DD2"/>
    <w:rsid w:val="006E2005"/>
    <w:rsid w:val="006E2115"/>
    <w:rsid w:val="006E213B"/>
    <w:rsid w:val="006E24C8"/>
    <w:rsid w:val="006E24D4"/>
    <w:rsid w:val="006E276C"/>
    <w:rsid w:val="006E27BE"/>
    <w:rsid w:val="006E27E1"/>
    <w:rsid w:val="006E2863"/>
    <w:rsid w:val="006E2A30"/>
    <w:rsid w:val="006E2B76"/>
    <w:rsid w:val="006E2D70"/>
    <w:rsid w:val="006E2E78"/>
    <w:rsid w:val="006E3083"/>
    <w:rsid w:val="006E3161"/>
    <w:rsid w:val="006E3405"/>
    <w:rsid w:val="006E3462"/>
    <w:rsid w:val="006E3471"/>
    <w:rsid w:val="006E34F7"/>
    <w:rsid w:val="006E36B1"/>
    <w:rsid w:val="006E36B4"/>
    <w:rsid w:val="006E3832"/>
    <w:rsid w:val="006E3880"/>
    <w:rsid w:val="006E3939"/>
    <w:rsid w:val="006E3967"/>
    <w:rsid w:val="006E3B93"/>
    <w:rsid w:val="006E3F2F"/>
    <w:rsid w:val="006E404D"/>
    <w:rsid w:val="006E418E"/>
    <w:rsid w:val="006E429D"/>
    <w:rsid w:val="006E42B7"/>
    <w:rsid w:val="006E441E"/>
    <w:rsid w:val="006E4465"/>
    <w:rsid w:val="006E4593"/>
    <w:rsid w:val="006E462F"/>
    <w:rsid w:val="006E4680"/>
    <w:rsid w:val="006E470C"/>
    <w:rsid w:val="006E4859"/>
    <w:rsid w:val="006E4913"/>
    <w:rsid w:val="006E4991"/>
    <w:rsid w:val="006E49AC"/>
    <w:rsid w:val="006E49C6"/>
    <w:rsid w:val="006E4A14"/>
    <w:rsid w:val="006E4AFE"/>
    <w:rsid w:val="006E4B1F"/>
    <w:rsid w:val="006E4BE5"/>
    <w:rsid w:val="006E4C43"/>
    <w:rsid w:val="006E4DAC"/>
    <w:rsid w:val="006E4E13"/>
    <w:rsid w:val="006E4FFF"/>
    <w:rsid w:val="006E509E"/>
    <w:rsid w:val="006E5124"/>
    <w:rsid w:val="006E51D6"/>
    <w:rsid w:val="006E532A"/>
    <w:rsid w:val="006E532C"/>
    <w:rsid w:val="006E5449"/>
    <w:rsid w:val="006E55AA"/>
    <w:rsid w:val="006E55C1"/>
    <w:rsid w:val="006E58D9"/>
    <w:rsid w:val="006E59BD"/>
    <w:rsid w:val="006E5BFF"/>
    <w:rsid w:val="006E5C18"/>
    <w:rsid w:val="006E5F58"/>
    <w:rsid w:val="006E5F92"/>
    <w:rsid w:val="006E5FC5"/>
    <w:rsid w:val="006E5FE2"/>
    <w:rsid w:val="006E6029"/>
    <w:rsid w:val="006E60B0"/>
    <w:rsid w:val="006E61D4"/>
    <w:rsid w:val="006E61DF"/>
    <w:rsid w:val="006E6206"/>
    <w:rsid w:val="006E627F"/>
    <w:rsid w:val="006E63AF"/>
    <w:rsid w:val="006E64CC"/>
    <w:rsid w:val="006E64D1"/>
    <w:rsid w:val="006E64DF"/>
    <w:rsid w:val="006E654E"/>
    <w:rsid w:val="006E658A"/>
    <w:rsid w:val="006E65A0"/>
    <w:rsid w:val="006E65F6"/>
    <w:rsid w:val="006E6611"/>
    <w:rsid w:val="006E6678"/>
    <w:rsid w:val="006E6933"/>
    <w:rsid w:val="006E69D5"/>
    <w:rsid w:val="006E6A58"/>
    <w:rsid w:val="006E6AE0"/>
    <w:rsid w:val="006E6B8B"/>
    <w:rsid w:val="006E6BCB"/>
    <w:rsid w:val="006E6BCC"/>
    <w:rsid w:val="006E6CDE"/>
    <w:rsid w:val="006E6CE8"/>
    <w:rsid w:val="006E6DA5"/>
    <w:rsid w:val="006E6ED8"/>
    <w:rsid w:val="006E7203"/>
    <w:rsid w:val="006E725C"/>
    <w:rsid w:val="006E7317"/>
    <w:rsid w:val="006E737F"/>
    <w:rsid w:val="006E7575"/>
    <w:rsid w:val="006E759C"/>
    <w:rsid w:val="006E75C4"/>
    <w:rsid w:val="006E76E9"/>
    <w:rsid w:val="006E76ED"/>
    <w:rsid w:val="006E77D4"/>
    <w:rsid w:val="006E77EF"/>
    <w:rsid w:val="006E77F5"/>
    <w:rsid w:val="006E7934"/>
    <w:rsid w:val="006E7957"/>
    <w:rsid w:val="006E79F3"/>
    <w:rsid w:val="006E7A3B"/>
    <w:rsid w:val="006E7A91"/>
    <w:rsid w:val="006E7BE6"/>
    <w:rsid w:val="006E7C86"/>
    <w:rsid w:val="006E7D67"/>
    <w:rsid w:val="006E7DD6"/>
    <w:rsid w:val="006E7E8F"/>
    <w:rsid w:val="006F001E"/>
    <w:rsid w:val="006F00F3"/>
    <w:rsid w:val="006F05B2"/>
    <w:rsid w:val="006F06F8"/>
    <w:rsid w:val="006F07E0"/>
    <w:rsid w:val="006F0921"/>
    <w:rsid w:val="006F0953"/>
    <w:rsid w:val="006F097E"/>
    <w:rsid w:val="006F099A"/>
    <w:rsid w:val="006F09A4"/>
    <w:rsid w:val="006F0AD9"/>
    <w:rsid w:val="006F0CCE"/>
    <w:rsid w:val="006F0D29"/>
    <w:rsid w:val="006F0E20"/>
    <w:rsid w:val="006F0E28"/>
    <w:rsid w:val="006F0F1B"/>
    <w:rsid w:val="006F0F63"/>
    <w:rsid w:val="006F101B"/>
    <w:rsid w:val="006F1022"/>
    <w:rsid w:val="006F1037"/>
    <w:rsid w:val="006F1158"/>
    <w:rsid w:val="006F1201"/>
    <w:rsid w:val="006F1398"/>
    <w:rsid w:val="006F1433"/>
    <w:rsid w:val="006F16CC"/>
    <w:rsid w:val="006F1729"/>
    <w:rsid w:val="006F1908"/>
    <w:rsid w:val="006F1A20"/>
    <w:rsid w:val="006F1AAA"/>
    <w:rsid w:val="006F1DF1"/>
    <w:rsid w:val="006F1E34"/>
    <w:rsid w:val="006F1E3D"/>
    <w:rsid w:val="006F215A"/>
    <w:rsid w:val="006F216E"/>
    <w:rsid w:val="006F225F"/>
    <w:rsid w:val="006F2274"/>
    <w:rsid w:val="006F2329"/>
    <w:rsid w:val="006F2344"/>
    <w:rsid w:val="006F23AA"/>
    <w:rsid w:val="006F24CC"/>
    <w:rsid w:val="006F2675"/>
    <w:rsid w:val="006F2714"/>
    <w:rsid w:val="006F27B7"/>
    <w:rsid w:val="006F2820"/>
    <w:rsid w:val="006F2856"/>
    <w:rsid w:val="006F2996"/>
    <w:rsid w:val="006F2BA0"/>
    <w:rsid w:val="006F2CA9"/>
    <w:rsid w:val="006F2CE4"/>
    <w:rsid w:val="006F2E5F"/>
    <w:rsid w:val="006F3079"/>
    <w:rsid w:val="006F310D"/>
    <w:rsid w:val="006F3279"/>
    <w:rsid w:val="006F327F"/>
    <w:rsid w:val="006F3320"/>
    <w:rsid w:val="006F3352"/>
    <w:rsid w:val="006F340E"/>
    <w:rsid w:val="006F3426"/>
    <w:rsid w:val="006F3863"/>
    <w:rsid w:val="006F3914"/>
    <w:rsid w:val="006F399E"/>
    <w:rsid w:val="006F39C5"/>
    <w:rsid w:val="006F3A60"/>
    <w:rsid w:val="006F3B34"/>
    <w:rsid w:val="006F3BDE"/>
    <w:rsid w:val="006F3BF4"/>
    <w:rsid w:val="006F3F5B"/>
    <w:rsid w:val="006F4173"/>
    <w:rsid w:val="006F41B9"/>
    <w:rsid w:val="006F4311"/>
    <w:rsid w:val="006F43A2"/>
    <w:rsid w:val="006F43BF"/>
    <w:rsid w:val="006F44F9"/>
    <w:rsid w:val="006F4625"/>
    <w:rsid w:val="006F4637"/>
    <w:rsid w:val="006F4795"/>
    <w:rsid w:val="006F47E9"/>
    <w:rsid w:val="006F4906"/>
    <w:rsid w:val="006F4A0C"/>
    <w:rsid w:val="006F4A12"/>
    <w:rsid w:val="006F4A5A"/>
    <w:rsid w:val="006F4B62"/>
    <w:rsid w:val="006F4B9D"/>
    <w:rsid w:val="006F4CB3"/>
    <w:rsid w:val="006F4D17"/>
    <w:rsid w:val="006F4D9D"/>
    <w:rsid w:val="006F4DFF"/>
    <w:rsid w:val="006F4E8D"/>
    <w:rsid w:val="006F4F5A"/>
    <w:rsid w:val="006F505D"/>
    <w:rsid w:val="006F5192"/>
    <w:rsid w:val="006F519A"/>
    <w:rsid w:val="006F51EF"/>
    <w:rsid w:val="006F523B"/>
    <w:rsid w:val="006F530B"/>
    <w:rsid w:val="006F53D7"/>
    <w:rsid w:val="006F53FA"/>
    <w:rsid w:val="006F5483"/>
    <w:rsid w:val="006F56F7"/>
    <w:rsid w:val="006F5BB7"/>
    <w:rsid w:val="006F5DE9"/>
    <w:rsid w:val="006F5DEE"/>
    <w:rsid w:val="006F5E8D"/>
    <w:rsid w:val="006F5FF9"/>
    <w:rsid w:val="006F60BF"/>
    <w:rsid w:val="006F63D5"/>
    <w:rsid w:val="006F6403"/>
    <w:rsid w:val="006F64DC"/>
    <w:rsid w:val="006F653D"/>
    <w:rsid w:val="006F6612"/>
    <w:rsid w:val="006F666D"/>
    <w:rsid w:val="006F6863"/>
    <w:rsid w:val="006F688F"/>
    <w:rsid w:val="006F69C5"/>
    <w:rsid w:val="006F6A5D"/>
    <w:rsid w:val="006F6BA2"/>
    <w:rsid w:val="006F6C61"/>
    <w:rsid w:val="006F6CC7"/>
    <w:rsid w:val="006F6E6D"/>
    <w:rsid w:val="006F7044"/>
    <w:rsid w:val="006F70B6"/>
    <w:rsid w:val="006F71D8"/>
    <w:rsid w:val="006F72A0"/>
    <w:rsid w:val="006F7389"/>
    <w:rsid w:val="006F7444"/>
    <w:rsid w:val="006F74B1"/>
    <w:rsid w:val="006F75C0"/>
    <w:rsid w:val="006F763F"/>
    <w:rsid w:val="006F7824"/>
    <w:rsid w:val="006F7A05"/>
    <w:rsid w:val="006F7A30"/>
    <w:rsid w:val="006F7AAF"/>
    <w:rsid w:val="006F7AD9"/>
    <w:rsid w:val="006F7B1A"/>
    <w:rsid w:val="006F7C59"/>
    <w:rsid w:val="006F7E5A"/>
    <w:rsid w:val="006F7E9C"/>
    <w:rsid w:val="006F7ECD"/>
    <w:rsid w:val="006F7F15"/>
    <w:rsid w:val="006F7F32"/>
    <w:rsid w:val="00700055"/>
    <w:rsid w:val="0070005F"/>
    <w:rsid w:val="007000BC"/>
    <w:rsid w:val="0070015B"/>
    <w:rsid w:val="007003C9"/>
    <w:rsid w:val="00700416"/>
    <w:rsid w:val="00700431"/>
    <w:rsid w:val="007004E5"/>
    <w:rsid w:val="0070057B"/>
    <w:rsid w:val="00700683"/>
    <w:rsid w:val="007006C3"/>
    <w:rsid w:val="007006FD"/>
    <w:rsid w:val="0070073B"/>
    <w:rsid w:val="0070073F"/>
    <w:rsid w:val="007007FC"/>
    <w:rsid w:val="007008BD"/>
    <w:rsid w:val="007009BE"/>
    <w:rsid w:val="007009E7"/>
    <w:rsid w:val="00700A82"/>
    <w:rsid w:val="00700B8F"/>
    <w:rsid w:val="00700C3F"/>
    <w:rsid w:val="00700D4B"/>
    <w:rsid w:val="00700D76"/>
    <w:rsid w:val="00700DFA"/>
    <w:rsid w:val="00700E27"/>
    <w:rsid w:val="00700EF0"/>
    <w:rsid w:val="0070118E"/>
    <w:rsid w:val="00701199"/>
    <w:rsid w:val="0070133B"/>
    <w:rsid w:val="0070133D"/>
    <w:rsid w:val="0070135A"/>
    <w:rsid w:val="007013AA"/>
    <w:rsid w:val="00701437"/>
    <w:rsid w:val="00701490"/>
    <w:rsid w:val="007015B9"/>
    <w:rsid w:val="007015C6"/>
    <w:rsid w:val="0070164A"/>
    <w:rsid w:val="007017D1"/>
    <w:rsid w:val="007017FD"/>
    <w:rsid w:val="007018F7"/>
    <w:rsid w:val="007019F7"/>
    <w:rsid w:val="00701A5F"/>
    <w:rsid w:val="00701B28"/>
    <w:rsid w:val="00701BAA"/>
    <w:rsid w:val="00701D11"/>
    <w:rsid w:val="00701F06"/>
    <w:rsid w:val="00701FA7"/>
    <w:rsid w:val="00702049"/>
    <w:rsid w:val="007021B3"/>
    <w:rsid w:val="0070223B"/>
    <w:rsid w:val="007022A8"/>
    <w:rsid w:val="0070241C"/>
    <w:rsid w:val="0070250C"/>
    <w:rsid w:val="00702599"/>
    <w:rsid w:val="00702620"/>
    <w:rsid w:val="00702659"/>
    <w:rsid w:val="007026BC"/>
    <w:rsid w:val="0070291F"/>
    <w:rsid w:val="007029BD"/>
    <w:rsid w:val="00702A09"/>
    <w:rsid w:val="00702A65"/>
    <w:rsid w:val="00702AE9"/>
    <w:rsid w:val="00702BEA"/>
    <w:rsid w:val="00702D46"/>
    <w:rsid w:val="0070304D"/>
    <w:rsid w:val="00703060"/>
    <w:rsid w:val="007032B1"/>
    <w:rsid w:val="00703373"/>
    <w:rsid w:val="0070346A"/>
    <w:rsid w:val="0070355C"/>
    <w:rsid w:val="0070374D"/>
    <w:rsid w:val="00703A2A"/>
    <w:rsid w:val="00703AAE"/>
    <w:rsid w:val="00703C0A"/>
    <w:rsid w:val="00703CED"/>
    <w:rsid w:val="00703DB2"/>
    <w:rsid w:val="00703EFD"/>
    <w:rsid w:val="00703FF5"/>
    <w:rsid w:val="00704059"/>
    <w:rsid w:val="0070406F"/>
    <w:rsid w:val="00704272"/>
    <w:rsid w:val="00704320"/>
    <w:rsid w:val="0070432B"/>
    <w:rsid w:val="00704374"/>
    <w:rsid w:val="007043D3"/>
    <w:rsid w:val="007044AA"/>
    <w:rsid w:val="00704509"/>
    <w:rsid w:val="00704549"/>
    <w:rsid w:val="00704572"/>
    <w:rsid w:val="007045CF"/>
    <w:rsid w:val="007046F9"/>
    <w:rsid w:val="007046FE"/>
    <w:rsid w:val="00704702"/>
    <w:rsid w:val="00704777"/>
    <w:rsid w:val="007048B2"/>
    <w:rsid w:val="007048DD"/>
    <w:rsid w:val="007048E8"/>
    <w:rsid w:val="007048ED"/>
    <w:rsid w:val="00704CDC"/>
    <w:rsid w:val="00704D33"/>
    <w:rsid w:val="00704D6E"/>
    <w:rsid w:val="00704E8A"/>
    <w:rsid w:val="00704E9B"/>
    <w:rsid w:val="00704EDF"/>
    <w:rsid w:val="00704EE8"/>
    <w:rsid w:val="00704FE0"/>
    <w:rsid w:val="007050A0"/>
    <w:rsid w:val="00705330"/>
    <w:rsid w:val="0070538F"/>
    <w:rsid w:val="007054ED"/>
    <w:rsid w:val="007055D5"/>
    <w:rsid w:val="00705676"/>
    <w:rsid w:val="007057C2"/>
    <w:rsid w:val="00705A0F"/>
    <w:rsid w:val="00705A18"/>
    <w:rsid w:val="00705A1E"/>
    <w:rsid w:val="00705A65"/>
    <w:rsid w:val="00705AFF"/>
    <w:rsid w:val="00705B7D"/>
    <w:rsid w:val="00705D60"/>
    <w:rsid w:val="00705E94"/>
    <w:rsid w:val="00705EC6"/>
    <w:rsid w:val="00705F5A"/>
    <w:rsid w:val="00705FF9"/>
    <w:rsid w:val="00706275"/>
    <w:rsid w:val="007062C4"/>
    <w:rsid w:val="007063AA"/>
    <w:rsid w:val="007063B9"/>
    <w:rsid w:val="0070642A"/>
    <w:rsid w:val="00706619"/>
    <w:rsid w:val="00706687"/>
    <w:rsid w:val="0070684B"/>
    <w:rsid w:val="00706872"/>
    <w:rsid w:val="007068FC"/>
    <w:rsid w:val="00706908"/>
    <w:rsid w:val="00706A36"/>
    <w:rsid w:val="00706A4E"/>
    <w:rsid w:val="00706BFD"/>
    <w:rsid w:val="00706E95"/>
    <w:rsid w:val="00706F02"/>
    <w:rsid w:val="00706FFC"/>
    <w:rsid w:val="0070701E"/>
    <w:rsid w:val="00707032"/>
    <w:rsid w:val="0070708F"/>
    <w:rsid w:val="007070D7"/>
    <w:rsid w:val="007070E1"/>
    <w:rsid w:val="0070716B"/>
    <w:rsid w:val="00707260"/>
    <w:rsid w:val="00707288"/>
    <w:rsid w:val="007072EF"/>
    <w:rsid w:val="0070758F"/>
    <w:rsid w:val="007075A0"/>
    <w:rsid w:val="0070761B"/>
    <w:rsid w:val="00707685"/>
    <w:rsid w:val="007076C2"/>
    <w:rsid w:val="007077BF"/>
    <w:rsid w:val="00707885"/>
    <w:rsid w:val="00707A57"/>
    <w:rsid w:val="00707BEA"/>
    <w:rsid w:val="00707C20"/>
    <w:rsid w:val="00707C60"/>
    <w:rsid w:val="00707CFC"/>
    <w:rsid w:val="00707DD5"/>
    <w:rsid w:val="00707EAA"/>
    <w:rsid w:val="00707EB4"/>
    <w:rsid w:val="00707ECA"/>
    <w:rsid w:val="00707ED0"/>
    <w:rsid w:val="007101C7"/>
    <w:rsid w:val="0071026D"/>
    <w:rsid w:val="0071034D"/>
    <w:rsid w:val="007104AD"/>
    <w:rsid w:val="007105AF"/>
    <w:rsid w:val="00710643"/>
    <w:rsid w:val="00710675"/>
    <w:rsid w:val="00710725"/>
    <w:rsid w:val="0071076C"/>
    <w:rsid w:val="007107BE"/>
    <w:rsid w:val="007107E2"/>
    <w:rsid w:val="00710832"/>
    <w:rsid w:val="00710881"/>
    <w:rsid w:val="007108B6"/>
    <w:rsid w:val="007108C1"/>
    <w:rsid w:val="007108CC"/>
    <w:rsid w:val="007108E9"/>
    <w:rsid w:val="00710A59"/>
    <w:rsid w:val="00710A76"/>
    <w:rsid w:val="00710D0F"/>
    <w:rsid w:val="00710E06"/>
    <w:rsid w:val="00710E4A"/>
    <w:rsid w:val="00710EFF"/>
    <w:rsid w:val="007110C0"/>
    <w:rsid w:val="0071118B"/>
    <w:rsid w:val="007111A1"/>
    <w:rsid w:val="007112B1"/>
    <w:rsid w:val="007112EE"/>
    <w:rsid w:val="00711338"/>
    <w:rsid w:val="007113EC"/>
    <w:rsid w:val="007114CA"/>
    <w:rsid w:val="007114CF"/>
    <w:rsid w:val="00711598"/>
    <w:rsid w:val="007115CB"/>
    <w:rsid w:val="007116A5"/>
    <w:rsid w:val="00711860"/>
    <w:rsid w:val="00711AE4"/>
    <w:rsid w:val="00711B0E"/>
    <w:rsid w:val="00711BEE"/>
    <w:rsid w:val="00711C30"/>
    <w:rsid w:val="00711CAC"/>
    <w:rsid w:val="00711DC5"/>
    <w:rsid w:val="00711E0A"/>
    <w:rsid w:val="00711FCD"/>
    <w:rsid w:val="00712026"/>
    <w:rsid w:val="0071208C"/>
    <w:rsid w:val="0071239B"/>
    <w:rsid w:val="0071239F"/>
    <w:rsid w:val="0071245C"/>
    <w:rsid w:val="00712495"/>
    <w:rsid w:val="00712566"/>
    <w:rsid w:val="007125C5"/>
    <w:rsid w:val="0071263E"/>
    <w:rsid w:val="007126B7"/>
    <w:rsid w:val="00712775"/>
    <w:rsid w:val="00712786"/>
    <w:rsid w:val="00712825"/>
    <w:rsid w:val="00712B27"/>
    <w:rsid w:val="00712B43"/>
    <w:rsid w:val="00712C61"/>
    <w:rsid w:val="00712CAF"/>
    <w:rsid w:val="00712D89"/>
    <w:rsid w:val="00712EE8"/>
    <w:rsid w:val="00713132"/>
    <w:rsid w:val="00713471"/>
    <w:rsid w:val="007135B1"/>
    <w:rsid w:val="007135C5"/>
    <w:rsid w:val="00713712"/>
    <w:rsid w:val="007137EC"/>
    <w:rsid w:val="0071387C"/>
    <w:rsid w:val="0071396A"/>
    <w:rsid w:val="007139A0"/>
    <w:rsid w:val="00713A9E"/>
    <w:rsid w:val="00713CB2"/>
    <w:rsid w:val="00713DC6"/>
    <w:rsid w:val="00713F08"/>
    <w:rsid w:val="00713F2D"/>
    <w:rsid w:val="0071412D"/>
    <w:rsid w:val="00714135"/>
    <w:rsid w:val="007143B5"/>
    <w:rsid w:val="0071441C"/>
    <w:rsid w:val="00714619"/>
    <w:rsid w:val="00714731"/>
    <w:rsid w:val="0071483D"/>
    <w:rsid w:val="0071487D"/>
    <w:rsid w:val="007148A4"/>
    <w:rsid w:val="007148DC"/>
    <w:rsid w:val="007148F9"/>
    <w:rsid w:val="00714901"/>
    <w:rsid w:val="0071492C"/>
    <w:rsid w:val="0071496F"/>
    <w:rsid w:val="007149E9"/>
    <w:rsid w:val="00714A7E"/>
    <w:rsid w:val="00714AC0"/>
    <w:rsid w:val="00714BCA"/>
    <w:rsid w:val="00714C46"/>
    <w:rsid w:val="00714C6A"/>
    <w:rsid w:val="00714E9B"/>
    <w:rsid w:val="00714F18"/>
    <w:rsid w:val="00714F35"/>
    <w:rsid w:val="00715002"/>
    <w:rsid w:val="00715147"/>
    <w:rsid w:val="00715220"/>
    <w:rsid w:val="007152AB"/>
    <w:rsid w:val="007153E0"/>
    <w:rsid w:val="007154A6"/>
    <w:rsid w:val="007154AD"/>
    <w:rsid w:val="00715667"/>
    <w:rsid w:val="0071596C"/>
    <w:rsid w:val="00715972"/>
    <w:rsid w:val="007159C8"/>
    <w:rsid w:val="007159CE"/>
    <w:rsid w:val="00715AA8"/>
    <w:rsid w:val="00715ABE"/>
    <w:rsid w:val="00715CF5"/>
    <w:rsid w:val="00715D2F"/>
    <w:rsid w:val="00715D61"/>
    <w:rsid w:val="00715E53"/>
    <w:rsid w:val="0071601D"/>
    <w:rsid w:val="0071603F"/>
    <w:rsid w:val="007161CC"/>
    <w:rsid w:val="00716346"/>
    <w:rsid w:val="0071646F"/>
    <w:rsid w:val="00716528"/>
    <w:rsid w:val="00716585"/>
    <w:rsid w:val="0071660D"/>
    <w:rsid w:val="0071665D"/>
    <w:rsid w:val="007166C2"/>
    <w:rsid w:val="007167FE"/>
    <w:rsid w:val="00716951"/>
    <w:rsid w:val="00716972"/>
    <w:rsid w:val="007169C6"/>
    <w:rsid w:val="007169E2"/>
    <w:rsid w:val="00716ADB"/>
    <w:rsid w:val="00716B31"/>
    <w:rsid w:val="00716B63"/>
    <w:rsid w:val="00716D1B"/>
    <w:rsid w:val="007170FD"/>
    <w:rsid w:val="00717217"/>
    <w:rsid w:val="0071727D"/>
    <w:rsid w:val="007172A3"/>
    <w:rsid w:val="007172DB"/>
    <w:rsid w:val="007173AC"/>
    <w:rsid w:val="0071749D"/>
    <w:rsid w:val="00717537"/>
    <w:rsid w:val="00717577"/>
    <w:rsid w:val="007175A9"/>
    <w:rsid w:val="00717632"/>
    <w:rsid w:val="00717713"/>
    <w:rsid w:val="007177A8"/>
    <w:rsid w:val="00717A57"/>
    <w:rsid w:val="00717AF4"/>
    <w:rsid w:val="00717B21"/>
    <w:rsid w:val="00717D26"/>
    <w:rsid w:val="00717D60"/>
    <w:rsid w:val="00717DE7"/>
    <w:rsid w:val="0072002C"/>
    <w:rsid w:val="00720137"/>
    <w:rsid w:val="0072020A"/>
    <w:rsid w:val="0072021D"/>
    <w:rsid w:val="0072031D"/>
    <w:rsid w:val="00720409"/>
    <w:rsid w:val="00720553"/>
    <w:rsid w:val="0072060D"/>
    <w:rsid w:val="0072075B"/>
    <w:rsid w:val="007207F1"/>
    <w:rsid w:val="007208D1"/>
    <w:rsid w:val="00720913"/>
    <w:rsid w:val="00720999"/>
    <w:rsid w:val="00720AD1"/>
    <w:rsid w:val="00720BBF"/>
    <w:rsid w:val="00720CBC"/>
    <w:rsid w:val="00720DAD"/>
    <w:rsid w:val="00720DB4"/>
    <w:rsid w:val="00720DC5"/>
    <w:rsid w:val="00720FAC"/>
    <w:rsid w:val="00721026"/>
    <w:rsid w:val="00721079"/>
    <w:rsid w:val="007210B8"/>
    <w:rsid w:val="007211F9"/>
    <w:rsid w:val="0072123D"/>
    <w:rsid w:val="0072145E"/>
    <w:rsid w:val="00721623"/>
    <w:rsid w:val="007218D1"/>
    <w:rsid w:val="00721A77"/>
    <w:rsid w:val="00721BFB"/>
    <w:rsid w:val="00721F3A"/>
    <w:rsid w:val="007220E4"/>
    <w:rsid w:val="00722210"/>
    <w:rsid w:val="0072227E"/>
    <w:rsid w:val="007222CD"/>
    <w:rsid w:val="007223B4"/>
    <w:rsid w:val="007223C5"/>
    <w:rsid w:val="00722419"/>
    <w:rsid w:val="00722667"/>
    <w:rsid w:val="0072268D"/>
    <w:rsid w:val="00722758"/>
    <w:rsid w:val="00722861"/>
    <w:rsid w:val="00722A60"/>
    <w:rsid w:val="00722BA5"/>
    <w:rsid w:val="00722C78"/>
    <w:rsid w:val="00722C7A"/>
    <w:rsid w:val="00722D5A"/>
    <w:rsid w:val="00722E7B"/>
    <w:rsid w:val="00722EC1"/>
    <w:rsid w:val="00722F53"/>
    <w:rsid w:val="00722FD1"/>
    <w:rsid w:val="0072306A"/>
    <w:rsid w:val="007232E1"/>
    <w:rsid w:val="0072332E"/>
    <w:rsid w:val="00723380"/>
    <w:rsid w:val="0072349D"/>
    <w:rsid w:val="007234A3"/>
    <w:rsid w:val="00723501"/>
    <w:rsid w:val="00723659"/>
    <w:rsid w:val="007236BC"/>
    <w:rsid w:val="00723719"/>
    <w:rsid w:val="00723783"/>
    <w:rsid w:val="007238FB"/>
    <w:rsid w:val="00723911"/>
    <w:rsid w:val="00723AB5"/>
    <w:rsid w:val="00723DAD"/>
    <w:rsid w:val="00723DBC"/>
    <w:rsid w:val="00723EFC"/>
    <w:rsid w:val="00724358"/>
    <w:rsid w:val="00724376"/>
    <w:rsid w:val="0072443E"/>
    <w:rsid w:val="0072443F"/>
    <w:rsid w:val="0072460F"/>
    <w:rsid w:val="007246F3"/>
    <w:rsid w:val="007247EA"/>
    <w:rsid w:val="00724802"/>
    <w:rsid w:val="00724806"/>
    <w:rsid w:val="00724A08"/>
    <w:rsid w:val="00724AA2"/>
    <w:rsid w:val="00724B62"/>
    <w:rsid w:val="00724B99"/>
    <w:rsid w:val="00724BA7"/>
    <w:rsid w:val="00724BD2"/>
    <w:rsid w:val="00724D2D"/>
    <w:rsid w:val="00724E6F"/>
    <w:rsid w:val="00724EE5"/>
    <w:rsid w:val="00724F7A"/>
    <w:rsid w:val="00724FC1"/>
    <w:rsid w:val="007253C5"/>
    <w:rsid w:val="007254CA"/>
    <w:rsid w:val="007255E7"/>
    <w:rsid w:val="0072560E"/>
    <w:rsid w:val="00725839"/>
    <w:rsid w:val="0072585F"/>
    <w:rsid w:val="007258E7"/>
    <w:rsid w:val="00725900"/>
    <w:rsid w:val="00725974"/>
    <w:rsid w:val="00725A6A"/>
    <w:rsid w:val="00725AC4"/>
    <w:rsid w:val="00725C12"/>
    <w:rsid w:val="00725DA6"/>
    <w:rsid w:val="00725DAA"/>
    <w:rsid w:val="00725E04"/>
    <w:rsid w:val="00725E3C"/>
    <w:rsid w:val="00725FF2"/>
    <w:rsid w:val="007260BB"/>
    <w:rsid w:val="0072642A"/>
    <w:rsid w:val="0072643D"/>
    <w:rsid w:val="007264DA"/>
    <w:rsid w:val="007264DE"/>
    <w:rsid w:val="007264F2"/>
    <w:rsid w:val="00726546"/>
    <w:rsid w:val="00726712"/>
    <w:rsid w:val="00726788"/>
    <w:rsid w:val="007267F8"/>
    <w:rsid w:val="007267FB"/>
    <w:rsid w:val="007268A3"/>
    <w:rsid w:val="007268D3"/>
    <w:rsid w:val="00726A1F"/>
    <w:rsid w:val="00726A6A"/>
    <w:rsid w:val="00726B11"/>
    <w:rsid w:val="00726B64"/>
    <w:rsid w:val="00726B86"/>
    <w:rsid w:val="00726D74"/>
    <w:rsid w:val="00726DA3"/>
    <w:rsid w:val="00726EA5"/>
    <w:rsid w:val="00726EF7"/>
    <w:rsid w:val="00727059"/>
    <w:rsid w:val="00727087"/>
    <w:rsid w:val="007270CE"/>
    <w:rsid w:val="00727118"/>
    <w:rsid w:val="00727276"/>
    <w:rsid w:val="00727309"/>
    <w:rsid w:val="007273D2"/>
    <w:rsid w:val="00727409"/>
    <w:rsid w:val="00727505"/>
    <w:rsid w:val="00727772"/>
    <w:rsid w:val="0072797D"/>
    <w:rsid w:val="00727AEA"/>
    <w:rsid w:val="00727B1C"/>
    <w:rsid w:val="00727D7A"/>
    <w:rsid w:val="00727E3B"/>
    <w:rsid w:val="00727EA9"/>
    <w:rsid w:val="00727F3F"/>
    <w:rsid w:val="00727FC7"/>
    <w:rsid w:val="00727FE6"/>
    <w:rsid w:val="0072CDD6"/>
    <w:rsid w:val="007303CE"/>
    <w:rsid w:val="0073047E"/>
    <w:rsid w:val="00730492"/>
    <w:rsid w:val="00730553"/>
    <w:rsid w:val="00730687"/>
    <w:rsid w:val="00730742"/>
    <w:rsid w:val="007307C3"/>
    <w:rsid w:val="00730883"/>
    <w:rsid w:val="007308AD"/>
    <w:rsid w:val="007308B8"/>
    <w:rsid w:val="007308BA"/>
    <w:rsid w:val="00730929"/>
    <w:rsid w:val="00730A63"/>
    <w:rsid w:val="00730BAC"/>
    <w:rsid w:val="00730C70"/>
    <w:rsid w:val="00730CA5"/>
    <w:rsid w:val="0073142E"/>
    <w:rsid w:val="007314E2"/>
    <w:rsid w:val="007317FA"/>
    <w:rsid w:val="0073182D"/>
    <w:rsid w:val="00731944"/>
    <w:rsid w:val="00731AAA"/>
    <w:rsid w:val="00731AE7"/>
    <w:rsid w:val="00731B14"/>
    <w:rsid w:val="00731C02"/>
    <w:rsid w:val="00731D25"/>
    <w:rsid w:val="00731F8C"/>
    <w:rsid w:val="00732097"/>
    <w:rsid w:val="00732174"/>
    <w:rsid w:val="0073221B"/>
    <w:rsid w:val="0073226E"/>
    <w:rsid w:val="00732319"/>
    <w:rsid w:val="00732370"/>
    <w:rsid w:val="0073249A"/>
    <w:rsid w:val="007325ED"/>
    <w:rsid w:val="00732641"/>
    <w:rsid w:val="007326B3"/>
    <w:rsid w:val="007326BA"/>
    <w:rsid w:val="00732891"/>
    <w:rsid w:val="0073292F"/>
    <w:rsid w:val="0073296D"/>
    <w:rsid w:val="00732A4A"/>
    <w:rsid w:val="00732C64"/>
    <w:rsid w:val="00732C9A"/>
    <w:rsid w:val="00732E87"/>
    <w:rsid w:val="00732F58"/>
    <w:rsid w:val="0073303F"/>
    <w:rsid w:val="00733229"/>
    <w:rsid w:val="00733276"/>
    <w:rsid w:val="00733371"/>
    <w:rsid w:val="0073338B"/>
    <w:rsid w:val="007333A2"/>
    <w:rsid w:val="00733442"/>
    <w:rsid w:val="007336F2"/>
    <w:rsid w:val="0073371B"/>
    <w:rsid w:val="00733727"/>
    <w:rsid w:val="00733866"/>
    <w:rsid w:val="0073392F"/>
    <w:rsid w:val="00733949"/>
    <w:rsid w:val="00733AE5"/>
    <w:rsid w:val="00733D92"/>
    <w:rsid w:val="00733DCB"/>
    <w:rsid w:val="00733E54"/>
    <w:rsid w:val="00733E9A"/>
    <w:rsid w:val="00734037"/>
    <w:rsid w:val="00734074"/>
    <w:rsid w:val="007341FA"/>
    <w:rsid w:val="0073421A"/>
    <w:rsid w:val="0073424F"/>
    <w:rsid w:val="007343B9"/>
    <w:rsid w:val="00734503"/>
    <w:rsid w:val="007346FC"/>
    <w:rsid w:val="00734767"/>
    <w:rsid w:val="007347DF"/>
    <w:rsid w:val="007348BB"/>
    <w:rsid w:val="00734977"/>
    <w:rsid w:val="007349E9"/>
    <w:rsid w:val="00734B95"/>
    <w:rsid w:val="00734C73"/>
    <w:rsid w:val="00734E59"/>
    <w:rsid w:val="00734E84"/>
    <w:rsid w:val="00734F7D"/>
    <w:rsid w:val="0073510E"/>
    <w:rsid w:val="00735177"/>
    <w:rsid w:val="00735308"/>
    <w:rsid w:val="00735313"/>
    <w:rsid w:val="0073541C"/>
    <w:rsid w:val="0073543E"/>
    <w:rsid w:val="007355FA"/>
    <w:rsid w:val="007356EB"/>
    <w:rsid w:val="00735722"/>
    <w:rsid w:val="00735764"/>
    <w:rsid w:val="0073581A"/>
    <w:rsid w:val="00735865"/>
    <w:rsid w:val="0073593E"/>
    <w:rsid w:val="0073595E"/>
    <w:rsid w:val="00735AD7"/>
    <w:rsid w:val="00735AFE"/>
    <w:rsid w:val="00735B50"/>
    <w:rsid w:val="00735BBE"/>
    <w:rsid w:val="00735C65"/>
    <w:rsid w:val="00735D08"/>
    <w:rsid w:val="00735E9A"/>
    <w:rsid w:val="00735F3A"/>
    <w:rsid w:val="00735F70"/>
    <w:rsid w:val="007360C9"/>
    <w:rsid w:val="00736216"/>
    <w:rsid w:val="007362B9"/>
    <w:rsid w:val="0073632B"/>
    <w:rsid w:val="0073638E"/>
    <w:rsid w:val="007363A4"/>
    <w:rsid w:val="007364ED"/>
    <w:rsid w:val="007364F8"/>
    <w:rsid w:val="007365B6"/>
    <w:rsid w:val="00736725"/>
    <w:rsid w:val="00736726"/>
    <w:rsid w:val="0073682E"/>
    <w:rsid w:val="007368C2"/>
    <w:rsid w:val="007368D6"/>
    <w:rsid w:val="007368E9"/>
    <w:rsid w:val="00736ACA"/>
    <w:rsid w:val="00736ACC"/>
    <w:rsid w:val="00736BD5"/>
    <w:rsid w:val="00736C3D"/>
    <w:rsid w:val="00737267"/>
    <w:rsid w:val="007372AD"/>
    <w:rsid w:val="00737420"/>
    <w:rsid w:val="0073753C"/>
    <w:rsid w:val="00737546"/>
    <w:rsid w:val="0073781F"/>
    <w:rsid w:val="007378DA"/>
    <w:rsid w:val="007379E8"/>
    <w:rsid w:val="00737B0D"/>
    <w:rsid w:val="00737B52"/>
    <w:rsid w:val="00737E14"/>
    <w:rsid w:val="00737E22"/>
    <w:rsid w:val="00737F65"/>
    <w:rsid w:val="0074002F"/>
    <w:rsid w:val="00740073"/>
    <w:rsid w:val="00740121"/>
    <w:rsid w:val="007401FD"/>
    <w:rsid w:val="00740213"/>
    <w:rsid w:val="0074021E"/>
    <w:rsid w:val="00740265"/>
    <w:rsid w:val="007402B6"/>
    <w:rsid w:val="0074035C"/>
    <w:rsid w:val="0074055A"/>
    <w:rsid w:val="0074062E"/>
    <w:rsid w:val="007406AC"/>
    <w:rsid w:val="00740754"/>
    <w:rsid w:val="007408C3"/>
    <w:rsid w:val="007409B6"/>
    <w:rsid w:val="00740A6D"/>
    <w:rsid w:val="00740A7A"/>
    <w:rsid w:val="00740AB1"/>
    <w:rsid w:val="00740ABB"/>
    <w:rsid w:val="00740B2B"/>
    <w:rsid w:val="00740BA3"/>
    <w:rsid w:val="00740BA4"/>
    <w:rsid w:val="00740C7A"/>
    <w:rsid w:val="00740CDB"/>
    <w:rsid w:val="00740DE4"/>
    <w:rsid w:val="00740F62"/>
    <w:rsid w:val="00740FD9"/>
    <w:rsid w:val="00741034"/>
    <w:rsid w:val="00741079"/>
    <w:rsid w:val="007410FE"/>
    <w:rsid w:val="00741232"/>
    <w:rsid w:val="007414B7"/>
    <w:rsid w:val="0074166B"/>
    <w:rsid w:val="007416A7"/>
    <w:rsid w:val="007416DB"/>
    <w:rsid w:val="00741704"/>
    <w:rsid w:val="00741A55"/>
    <w:rsid w:val="00741A94"/>
    <w:rsid w:val="00741B69"/>
    <w:rsid w:val="00741C16"/>
    <w:rsid w:val="00741CCD"/>
    <w:rsid w:val="00741D79"/>
    <w:rsid w:val="00741DB7"/>
    <w:rsid w:val="00741EDB"/>
    <w:rsid w:val="007420BD"/>
    <w:rsid w:val="00742271"/>
    <w:rsid w:val="00742301"/>
    <w:rsid w:val="007424BB"/>
    <w:rsid w:val="007424D2"/>
    <w:rsid w:val="00742573"/>
    <w:rsid w:val="00742605"/>
    <w:rsid w:val="00742649"/>
    <w:rsid w:val="007426F2"/>
    <w:rsid w:val="007427E8"/>
    <w:rsid w:val="007428EB"/>
    <w:rsid w:val="00742929"/>
    <w:rsid w:val="00742A8E"/>
    <w:rsid w:val="00742AAC"/>
    <w:rsid w:val="00742EF5"/>
    <w:rsid w:val="00742F6E"/>
    <w:rsid w:val="00742F80"/>
    <w:rsid w:val="00743025"/>
    <w:rsid w:val="0074304F"/>
    <w:rsid w:val="00743216"/>
    <w:rsid w:val="0074341C"/>
    <w:rsid w:val="0074341D"/>
    <w:rsid w:val="00743520"/>
    <w:rsid w:val="007435E4"/>
    <w:rsid w:val="00743611"/>
    <w:rsid w:val="007437DF"/>
    <w:rsid w:val="0074386D"/>
    <w:rsid w:val="00743884"/>
    <w:rsid w:val="00743A13"/>
    <w:rsid w:val="00743AC1"/>
    <w:rsid w:val="00743BB2"/>
    <w:rsid w:val="00743BDC"/>
    <w:rsid w:val="00743BE3"/>
    <w:rsid w:val="00743E3C"/>
    <w:rsid w:val="00743E56"/>
    <w:rsid w:val="00743E6A"/>
    <w:rsid w:val="00743EA5"/>
    <w:rsid w:val="00744134"/>
    <w:rsid w:val="0074429F"/>
    <w:rsid w:val="007442D7"/>
    <w:rsid w:val="0074443D"/>
    <w:rsid w:val="00744535"/>
    <w:rsid w:val="00744609"/>
    <w:rsid w:val="00744696"/>
    <w:rsid w:val="007446F7"/>
    <w:rsid w:val="007447C2"/>
    <w:rsid w:val="00744968"/>
    <w:rsid w:val="00744B7B"/>
    <w:rsid w:val="00744BC9"/>
    <w:rsid w:val="00744BD2"/>
    <w:rsid w:val="00744D22"/>
    <w:rsid w:val="00744D66"/>
    <w:rsid w:val="00744EAE"/>
    <w:rsid w:val="0074509B"/>
    <w:rsid w:val="007450DE"/>
    <w:rsid w:val="007452BA"/>
    <w:rsid w:val="007452BD"/>
    <w:rsid w:val="00745489"/>
    <w:rsid w:val="00745584"/>
    <w:rsid w:val="00745722"/>
    <w:rsid w:val="007457C3"/>
    <w:rsid w:val="007459AC"/>
    <w:rsid w:val="007459CF"/>
    <w:rsid w:val="00745A51"/>
    <w:rsid w:val="00745AA2"/>
    <w:rsid w:val="00745AC9"/>
    <w:rsid w:val="00745B01"/>
    <w:rsid w:val="00745B4C"/>
    <w:rsid w:val="00745B71"/>
    <w:rsid w:val="00745C1F"/>
    <w:rsid w:val="00745C58"/>
    <w:rsid w:val="00745CBD"/>
    <w:rsid w:val="00745D45"/>
    <w:rsid w:val="00745E36"/>
    <w:rsid w:val="00745EF0"/>
    <w:rsid w:val="00746052"/>
    <w:rsid w:val="007460B3"/>
    <w:rsid w:val="007460BF"/>
    <w:rsid w:val="0074681F"/>
    <w:rsid w:val="0074690B"/>
    <w:rsid w:val="007469BE"/>
    <w:rsid w:val="007469C0"/>
    <w:rsid w:val="007469F4"/>
    <w:rsid w:val="00746A3A"/>
    <w:rsid w:val="00746A72"/>
    <w:rsid w:val="00746B28"/>
    <w:rsid w:val="00746CB9"/>
    <w:rsid w:val="00746E64"/>
    <w:rsid w:val="00746E7E"/>
    <w:rsid w:val="00746E96"/>
    <w:rsid w:val="00746F74"/>
    <w:rsid w:val="00746FB6"/>
    <w:rsid w:val="00747053"/>
    <w:rsid w:val="0074713E"/>
    <w:rsid w:val="00747187"/>
    <w:rsid w:val="007471A2"/>
    <w:rsid w:val="007471D8"/>
    <w:rsid w:val="007471EB"/>
    <w:rsid w:val="00747244"/>
    <w:rsid w:val="00747275"/>
    <w:rsid w:val="0074737D"/>
    <w:rsid w:val="0074741B"/>
    <w:rsid w:val="0074749B"/>
    <w:rsid w:val="00747739"/>
    <w:rsid w:val="007478B1"/>
    <w:rsid w:val="00747902"/>
    <w:rsid w:val="007479EC"/>
    <w:rsid w:val="00747A44"/>
    <w:rsid w:val="00747A54"/>
    <w:rsid w:val="00747A92"/>
    <w:rsid w:val="00747BDE"/>
    <w:rsid w:val="00747CF3"/>
    <w:rsid w:val="00747DA0"/>
    <w:rsid w:val="00747E51"/>
    <w:rsid w:val="00747E64"/>
    <w:rsid w:val="00747E7C"/>
    <w:rsid w:val="00747EB9"/>
    <w:rsid w:val="00747F92"/>
    <w:rsid w:val="00747FD2"/>
    <w:rsid w:val="00750038"/>
    <w:rsid w:val="00750125"/>
    <w:rsid w:val="007501E7"/>
    <w:rsid w:val="0075024D"/>
    <w:rsid w:val="0075029E"/>
    <w:rsid w:val="0075037A"/>
    <w:rsid w:val="0075037F"/>
    <w:rsid w:val="0075040B"/>
    <w:rsid w:val="0075049E"/>
    <w:rsid w:val="00750590"/>
    <w:rsid w:val="007505CB"/>
    <w:rsid w:val="00750687"/>
    <w:rsid w:val="00750755"/>
    <w:rsid w:val="00750830"/>
    <w:rsid w:val="007508CB"/>
    <w:rsid w:val="0075090F"/>
    <w:rsid w:val="007509C3"/>
    <w:rsid w:val="00750A1C"/>
    <w:rsid w:val="00750AA6"/>
    <w:rsid w:val="00750C53"/>
    <w:rsid w:val="00750D41"/>
    <w:rsid w:val="00750DC7"/>
    <w:rsid w:val="00750F27"/>
    <w:rsid w:val="00750FB7"/>
    <w:rsid w:val="00750FE0"/>
    <w:rsid w:val="00750FE6"/>
    <w:rsid w:val="00751036"/>
    <w:rsid w:val="007510C6"/>
    <w:rsid w:val="00751181"/>
    <w:rsid w:val="007512A0"/>
    <w:rsid w:val="007513B1"/>
    <w:rsid w:val="0075141C"/>
    <w:rsid w:val="00751483"/>
    <w:rsid w:val="00751492"/>
    <w:rsid w:val="007514CE"/>
    <w:rsid w:val="007514F8"/>
    <w:rsid w:val="0075151D"/>
    <w:rsid w:val="00751604"/>
    <w:rsid w:val="0075180B"/>
    <w:rsid w:val="007518ED"/>
    <w:rsid w:val="00751933"/>
    <w:rsid w:val="00751986"/>
    <w:rsid w:val="0075198B"/>
    <w:rsid w:val="00751AA1"/>
    <w:rsid w:val="00751B48"/>
    <w:rsid w:val="00751C7B"/>
    <w:rsid w:val="00751D78"/>
    <w:rsid w:val="00751F00"/>
    <w:rsid w:val="00751FFB"/>
    <w:rsid w:val="00752078"/>
    <w:rsid w:val="007520C6"/>
    <w:rsid w:val="00752108"/>
    <w:rsid w:val="0075215C"/>
    <w:rsid w:val="00752171"/>
    <w:rsid w:val="00752182"/>
    <w:rsid w:val="00752197"/>
    <w:rsid w:val="007522BE"/>
    <w:rsid w:val="00752366"/>
    <w:rsid w:val="00752579"/>
    <w:rsid w:val="00752633"/>
    <w:rsid w:val="0075269F"/>
    <w:rsid w:val="00752774"/>
    <w:rsid w:val="00752775"/>
    <w:rsid w:val="0075277B"/>
    <w:rsid w:val="007527A4"/>
    <w:rsid w:val="007528D6"/>
    <w:rsid w:val="0075297D"/>
    <w:rsid w:val="0075299D"/>
    <w:rsid w:val="00752AB6"/>
    <w:rsid w:val="00752B8C"/>
    <w:rsid w:val="00752BF8"/>
    <w:rsid w:val="00752C76"/>
    <w:rsid w:val="00752C91"/>
    <w:rsid w:val="00752E38"/>
    <w:rsid w:val="00752F9C"/>
    <w:rsid w:val="00753015"/>
    <w:rsid w:val="00753052"/>
    <w:rsid w:val="0075308A"/>
    <w:rsid w:val="00753113"/>
    <w:rsid w:val="00753191"/>
    <w:rsid w:val="0075336D"/>
    <w:rsid w:val="00753444"/>
    <w:rsid w:val="00753645"/>
    <w:rsid w:val="00753665"/>
    <w:rsid w:val="007536CD"/>
    <w:rsid w:val="007537AA"/>
    <w:rsid w:val="00753806"/>
    <w:rsid w:val="00753820"/>
    <w:rsid w:val="0075386A"/>
    <w:rsid w:val="0075386B"/>
    <w:rsid w:val="0075387C"/>
    <w:rsid w:val="00753910"/>
    <w:rsid w:val="007539B4"/>
    <w:rsid w:val="00753AC1"/>
    <w:rsid w:val="00753BA1"/>
    <w:rsid w:val="00753DD2"/>
    <w:rsid w:val="00753EA5"/>
    <w:rsid w:val="00753F4C"/>
    <w:rsid w:val="00753F6B"/>
    <w:rsid w:val="00753F89"/>
    <w:rsid w:val="0075401C"/>
    <w:rsid w:val="00754048"/>
    <w:rsid w:val="007541E6"/>
    <w:rsid w:val="007541F6"/>
    <w:rsid w:val="0075446F"/>
    <w:rsid w:val="00754563"/>
    <w:rsid w:val="00754574"/>
    <w:rsid w:val="007545C3"/>
    <w:rsid w:val="007545F4"/>
    <w:rsid w:val="007545F8"/>
    <w:rsid w:val="007546AB"/>
    <w:rsid w:val="007547EC"/>
    <w:rsid w:val="0075481D"/>
    <w:rsid w:val="007548AC"/>
    <w:rsid w:val="0075499A"/>
    <w:rsid w:val="00754B25"/>
    <w:rsid w:val="00754B66"/>
    <w:rsid w:val="00754D0E"/>
    <w:rsid w:val="00754D25"/>
    <w:rsid w:val="00754D98"/>
    <w:rsid w:val="00754E51"/>
    <w:rsid w:val="00754FDB"/>
    <w:rsid w:val="00755055"/>
    <w:rsid w:val="0075510B"/>
    <w:rsid w:val="00755287"/>
    <w:rsid w:val="007555A7"/>
    <w:rsid w:val="00755703"/>
    <w:rsid w:val="0075572E"/>
    <w:rsid w:val="007557DC"/>
    <w:rsid w:val="00755979"/>
    <w:rsid w:val="00755A9F"/>
    <w:rsid w:val="00755AD7"/>
    <w:rsid w:val="00755B76"/>
    <w:rsid w:val="00755BD5"/>
    <w:rsid w:val="00755BFA"/>
    <w:rsid w:val="00755D45"/>
    <w:rsid w:val="00755D4D"/>
    <w:rsid w:val="00755D53"/>
    <w:rsid w:val="00755D7C"/>
    <w:rsid w:val="00755D99"/>
    <w:rsid w:val="00755E4D"/>
    <w:rsid w:val="00755EEE"/>
    <w:rsid w:val="0075603C"/>
    <w:rsid w:val="0075605C"/>
    <w:rsid w:val="007562F4"/>
    <w:rsid w:val="00756468"/>
    <w:rsid w:val="007564AA"/>
    <w:rsid w:val="00756522"/>
    <w:rsid w:val="0075654A"/>
    <w:rsid w:val="00756664"/>
    <w:rsid w:val="007569D4"/>
    <w:rsid w:val="00756B12"/>
    <w:rsid w:val="00756CF5"/>
    <w:rsid w:val="00756D00"/>
    <w:rsid w:val="00756D8C"/>
    <w:rsid w:val="00756DE9"/>
    <w:rsid w:val="00757073"/>
    <w:rsid w:val="0075715C"/>
    <w:rsid w:val="00757284"/>
    <w:rsid w:val="0075729A"/>
    <w:rsid w:val="007572DC"/>
    <w:rsid w:val="0075733D"/>
    <w:rsid w:val="007573C4"/>
    <w:rsid w:val="007573E2"/>
    <w:rsid w:val="00757477"/>
    <w:rsid w:val="007574B3"/>
    <w:rsid w:val="007574CD"/>
    <w:rsid w:val="0075751B"/>
    <w:rsid w:val="0075755E"/>
    <w:rsid w:val="00757583"/>
    <w:rsid w:val="0075768E"/>
    <w:rsid w:val="00757819"/>
    <w:rsid w:val="00757896"/>
    <w:rsid w:val="00757998"/>
    <w:rsid w:val="00757ACF"/>
    <w:rsid w:val="00757C21"/>
    <w:rsid w:val="00757DB6"/>
    <w:rsid w:val="00757E01"/>
    <w:rsid w:val="00757E1B"/>
    <w:rsid w:val="00757E6A"/>
    <w:rsid w:val="00757F82"/>
    <w:rsid w:val="0076028F"/>
    <w:rsid w:val="007602AE"/>
    <w:rsid w:val="00760304"/>
    <w:rsid w:val="00760397"/>
    <w:rsid w:val="007603E5"/>
    <w:rsid w:val="0076043B"/>
    <w:rsid w:val="00760548"/>
    <w:rsid w:val="007605EB"/>
    <w:rsid w:val="007606BE"/>
    <w:rsid w:val="007606CE"/>
    <w:rsid w:val="007607AD"/>
    <w:rsid w:val="00760824"/>
    <w:rsid w:val="0076086B"/>
    <w:rsid w:val="007608A9"/>
    <w:rsid w:val="007608E6"/>
    <w:rsid w:val="00760902"/>
    <w:rsid w:val="007609EA"/>
    <w:rsid w:val="00760ABC"/>
    <w:rsid w:val="00760B1A"/>
    <w:rsid w:val="00760BB1"/>
    <w:rsid w:val="00760BD5"/>
    <w:rsid w:val="00760BFC"/>
    <w:rsid w:val="00760DA2"/>
    <w:rsid w:val="00761060"/>
    <w:rsid w:val="007611C7"/>
    <w:rsid w:val="007611E2"/>
    <w:rsid w:val="007612A0"/>
    <w:rsid w:val="007613C1"/>
    <w:rsid w:val="007614F4"/>
    <w:rsid w:val="0076152B"/>
    <w:rsid w:val="00761556"/>
    <w:rsid w:val="00761561"/>
    <w:rsid w:val="007615AC"/>
    <w:rsid w:val="007616B7"/>
    <w:rsid w:val="0076171E"/>
    <w:rsid w:val="00761A1C"/>
    <w:rsid w:val="00761A47"/>
    <w:rsid w:val="00761AED"/>
    <w:rsid w:val="00761BBC"/>
    <w:rsid w:val="00761BC0"/>
    <w:rsid w:val="00761CA1"/>
    <w:rsid w:val="00761D31"/>
    <w:rsid w:val="0076218C"/>
    <w:rsid w:val="0076220D"/>
    <w:rsid w:val="00762329"/>
    <w:rsid w:val="00762467"/>
    <w:rsid w:val="00762525"/>
    <w:rsid w:val="00762559"/>
    <w:rsid w:val="00762563"/>
    <w:rsid w:val="00762633"/>
    <w:rsid w:val="007626D0"/>
    <w:rsid w:val="0076283A"/>
    <w:rsid w:val="007628F7"/>
    <w:rsid w:val="00762A01"/>
    <w:rsid w:val="00762A51"/>
    <w:rsid w:val="00762B32"/>
    <w:rsid w:val="00762B89"/>
    <w:rsid w:val="00762C0B"/>
    <w:rsid w:val="00762C15"/>
    <w:rsid w:val="00762D10"/>
    <w:rsid w:val="00762D7E"/>
    <w:rsid w:val="00762F98"/>
    <w:rsid w:val="0076300B"/>
    <w:rsid w:val="007632AD"/>
    <w:rsid w:val="00763367"/>
    <w:rsid w:val="007633BD"/>
    <w:rsid w:val="0076348F"/>
    <w:rsid w:val="007635B3"/>
    <w:rsid w:val="0076361D"/>
    <w:rsid w:val="00763688"/>
    <w:rsid w:val="007636BE"/>
    <w:rsid w:val="0076377F"/>
    <w:rsid w:val="0076379D"/>
    <w:rsid w:val="00763917"/>
    <w:rsid w:val="00763CB3"/>
    <w:rsid w:val="00763EE9"/>
    <w:rsid w:val="007641CA"/>
    <w:rsid w:val="007642AE"/>
    <w:rsid w:val="00764377"/>
    <w:rsid w:val="00764561"/>
    <w:rsid w:val="00764594"/>
    <w:rsid w:val="007645BE"/>
    <w:rsid w:val="007645FA"/>
    <w:rsid w:val="00764640"/>
    <w:rsid w:val="007647E3"/>
    <w:rsid w:val="007649F4"/>
    <w:rsid w:val="007649F9"/>
    <w:rsid w:val="00764A27"/>
    <w:rsid w:val="00764ACF"/>
    <w:rsid w:val="00764BB8"/>
    <w:rsid w:val="00764C76"/>
    <w:rsid w:val="00764CF0"/>
    <w:rsid w:val="00764CF6"/>
    <w:rsid w:val="00764D75"/>
    <w:rsid w:val="00764E57"/>
    <w:rsid w:val="00764EBC"/>
    <w:rsid w:val="007650FD"/>
    <w:rsid w:val="00765170"/>
    <w:rsid w:val="0076529B"/>
    <w:rsid w:val="007652B9"/>
    <w:rsid w:val="007652F7"/>
    <w:rsid w:val="007653BC"/>
    <w:rsid w:val="007653E7"/>
    <w:rsid w:val="007654B3"/>
    <w:rsid w:val="007655A7"/>
    <w:rsid w:val="0076568C"/>
    <w:rsid w:val="0076570B"/>
    <w:rsid w:val="007657C9"/>
    <w:rsid w:val="0076585F"/>
    <w:rsid w:val="00765892"/>
    <w:rsid w:val="007658FA"/>
    <w:rsid w:val="007659E2"/>
    <w:rsid w:val="00765A78"/>
    <w:rsid w:val="00765A81"/>
    <w:rsid w:val="00765BB1"/>
    <w:rsid w:val="00765BF2"/>
    <w:rsid w:val="00765C20"/>
    <w:rsid w:val="00765C7C"/>
    <w:rsid w:val="00765CD7"/>
    <w:rsid w:val="00765E1B"/>
    <w:rsid w:val="00765FDF"/>
    <w:rsid w:val="00766028"/>
    <w:rsid w:val="00766055"/>
    <w:rsid w:val="00766154"/>
    <w:rsid w:val="0076615F"/>
    <w:rsid w:val="007661C8"/>
    <w:rsid w:val="0076620C"/>
    <w:rsid w:val="0076636B"/>
    <w:rsid w:val="0076649B"/>
    <w:rsid w:val="00766570"/>
    <w:rsid w:val="00766758"/>
    <w:rsid w:val="007667F5"/>
    <w:rsid w:val="00766955"/>
    <w:rsid w:val="0076698B"/>
    <w:rsid w:val="00766A0D"/>
    <w:rsid w:val="00766AAA"/>
    <w:rsid w:val="00766ABC"/>
    <w:rsid w:val="00766B38"/>
    <w:rsid w:val="00766B87"/>
    <w:rsid w:val="00766BB6"/>
    <w:rsid w:val="00766CB5"/>
    <w:rsid w:val="00766ED7"/>
    <w:rsid w:val="0076709E"/>
    <w:rsid w:val="007670AC"/>
    <w:rsid w:val="007671F9"/>
    <w:rsid w:val="007673EC"/>
    <w:rsid w:val="00767405"/>
    <w:rsid w:val="00767483"/>
    <w:rsid w:val="00767713"/>
    <w:rsid w:val="007677CF"/>
    <w:rsid w:val="0076782C"/>
    <w:rsid w:val="00767863"/>
    <w:rsid w:val="007678B8"/>
    <w:rsid w:val="007679E0"/>
    <w:rsid w:val="00767A0E"/>
    <w:rsid w:val="00767E04"/>
    <w:rsid w:val="00767F05"/>
    <w:rsid w:val="007700D4"/>
    <w:rsid w:val="007700FA"/>
    <w:rsid w:val="00770169"/>
    <w:rsid w:val="0077022B"/>
    <w:rsid w:val="0077047E"/>
    <w:rsid w:val="007704B6"/>
    <w:rsid w:val="007704BD"/>
    <w:rsid w:val="00770536"/>
    <w:rsid w:val="0077058E"/>
    <w:rsid w:val="00770631"/>
    <w:rsid w:val="00770677"/>
    <w:rsid w:val="007706CD"/>
    <w:rsid w:val="00770720"/>
    <w:rsid w:val="00770767"/>
    <w:rsid w:val="007707F2"/>
    <w:rsid w:val="007708D0"/>
    <w:rsid w:val="00770A49"/>
    <w:rsid w:val="00770B47"/>
    <w:rsid w:val="00770B4D"/>
    <w:rsid w:val="00770B7C"/>
    <w:rsid w:val="0077105F"/>
    <w:rsid w:val="007710EC"/>
    <w:rsid w:val="00771167"/>
    <w:rsid w:val="00771302"/>
    <w:rsid w:val="007715D2"/>
    <w:rsid w:val="007715F2"/>
    <w:rsid w:val="0077175D"/>
    <w:rsid w:val="007717C2"/>
    <w:rsid w:val="00771927"/>
    <w:rsid w:val="0077198A"/>
    <w:rsid w:val="00771C38"/>
    <w:rsid w:val="00771C44"/>
    <w:rsid w:val="00771D51"/>
    <w:rsid w:val="00771D98"/>
    <w:rsid w:val="00771FB0"/>
    <w:rsid w:val="0077206F"/>
    <w:rsid w:val="007721E0"/>
    <w:rsid w:val="007722E1"/>
    <w:rsid w:val="00772354"/>
    <w:rsid w:val="007723ED"/>
    <w:rsid w:val="0077245D"/>
    <w:rsid w:val="007724E9"/>
    <w:rsid w:val="00772561"/>
    <w:rsid w:val="007725CC"/>
    <w:rsid w:val="0077272C"/>
    <w:rsid w:val="0077275D"/>
    <w:rsid w:val="00772786"/>
    <w:rsid w:val="00772A1F"/>
    <w:rsid w:val="00772A68"/>
    <w:rsid w:val="00772AB4"/>
    <w:rsid w:val="00772F34"/>
    <w:rsid w:val="00772FAA"/>
    <w:rsid w:val="00772FFF"/>
    <w:rsid w:val="007730EF"/>
    <w:rsid w:val="00773123"/>
    <w:rsid w:val="00773239"/>
    <w:rsid w:val="007733E2"/>
    <w:rsid w:val="0077340A"/>
    <w:rsid w:val="007734BB"/>
    <w:rsid w:val="007735DF"/>
    <w:rsid w:val="0077375E"/>
    <w:rsid w:val="00773985"/>
    <w:rsid w:val="007739D4"/>
    <w:rsid w:val="007739FE"/>
    <w:rsid w:val="00773A47"/>
    <w:rsid w:val="00773A64"/>
    <w:rsid w:val="00773C81"/>
    <w:rsid w:val="00773CB7"/>
    <w:rsid w:val="00774031"/>
    <w:rsid w:val="007740AA"/>
    <w:rsid w:val="007741DC"/>
    <w:rsid w:val="007743E6"/>
    <w:rsid w:val="00774404"/>
    <w:rsid w:val="00774409"/>
    <w:rsid w:val="0077447A"/>
    <w:rsid w:val="0077452D"/>
    <w:rsid w:val="007745F3"/>
    <w:rsid w:val="00774677"/>
    <w:rsid w:val="007746A7"/>
    <w:rsid w:val="007747EB"/>
    <w:rsid w:val="00774869"/>
    <w:rsid w:val="007748EA"/>
    <w:rsid w:val="00774B67"/>
    <w:rsid w:val="00774B6D"/>
    <w:rsid w:val="00774C81"/>
    <w:rsid w:val="00774E5E"/>
    <w:rsid w:val="00774E91"/>
    <w:rsid w:val="00774EAC"/>
    <w:rsid w:val="00774F41"/>
    <w:rsid w:val="00775037"/>
    <w:rsid w:val="0077513D"/>
    <w:rsid w:val="007751AD"/>
    <w:rsid w:val="0077538A"/>
    <w:rsid w:val="00775391"/>
    <w:rsid w:val="007753E4"/>
    <w:rsid w:val="00775461"/>
    <w:rsid w:val="0077549D"/>
    <w:rsid w:val="0077564F"/>
    <w:rsid w:val="007756DD"/>
    <w:rsid w:val="00775799"/>
    <w:rsid w:val="00775973"/>
    <w:rsid w:val="00775A79"/>
    <w:rsid w:val="00775B74"/>
    <w:rsid w:val="00775BAF"/>
    <w:rsid w:val="00775BE1"/>
    <w:rsid w:val="00775C45"/>
    <w:rsid w:val="00775C65"/>
    <w:rsid w:val="00775C8E"/>
    <w:rsid w:val="00775D03"/>
    <w:rsid w:val="00775DFB"/>
    <w:rsid w:val="00775EBE"/>
    <w:rsid w:val="00775F5B"/>
    <w:rsid w:val="00775F90"/>
    <w:rsid w:val="00775FB3"/>
    <w:rsid w:val="0077609F"/>
    <w:rsid w:val="007760AD"/>
    <w:rsid w:val="007761C6"/>
    <w:rsid w:val="0077620C"/>
    <w:rsid w:val="00776337"/>
    <w:rsid w:val="0077644D"/>
    <w:rsid w:val="00776560"/>
    <w:rsid w:val="007765C7"/>
    <w:rsid w:val="007765DA"/>
    <w:rsid w:val="007765EB"/>
    <w:rsid w:val="00776682"/>
    <w:rsid w:val="007767EF"/>
    <w:rsid w:val="00776864"/>
    <w:rsid w:val="00776A49"/>
    <w:rsid w:val="00776A5B"/>
    <w:rsid w:val="00776BEC"/>
    <w:rsid w:val="00776C16"/>
    <w:rsid w:val="00776D90"/>
    <w:rsid w:val="00776F82"/>
    <w:rsid w:val="007770C3"/>
    <w:rsid w:val="00777431"/>
    <w:rsid w:val="0077755E"/>
    <w:rsid w:val="00777679"/>
    <w:rsid w:val="007776DB"/>
    <w:rsid w:val="0077787D"/>
    <w:rsid w:val="0077799E"/>
    <w:rsid w:val="00777A15"/>
    <w:rsid w:val="00777A29"/>
    <w:rsid w:val="00777AEA"/>
    <w:rsid w:val="00777BE9"/>
    <w:rsid w:val="00777C95"/>
    <w:rsid w:val="00777CCD"/>
    <w:rsid w:val="00777D74"/>
    <w:rsid w:val="00777D92"/>
    <w:rsid w:val="00777ED8"/>
    <w:rsid w:val="0077B8DB"/>
    <w:rsid w:val="00780042"/>
    <w:rsid w:val="007800C1"/>
    <w:rsid w:val="007803EE"/>
    <w:rsid w:val="0078073D"/>
    <w:rsid w:val="0078076D"/>
    <w:rsid w:val="007807EF"/>
    <w:rsid w:val="007809D4"/>
    <w:rsid w:val="00780BD3"/>
    <w:rsid w:val="00780C77"/>
    <w:rsid w:val="00780D12"/>
    <w:rsid w:val="00780D4C"/>
    <w:rsid w:val="00780DEF"/>
    <w:rsid w:val="00780E3F"/>
    <w:rsid w:val="00780E77"/>
    <w:rsid w:val="00780E96"/>
    <w:rsid w:val="00780F19"/>
    <w:rsid w:val="00780F6D"/>
    <w:rsid w:val="00780F7A"/>
    <w:rsid w:val="00781085"/>
    <w:rsid w:val="007811C4"/>
    <w:rsid w:val="00781214"/>
    <w:rsid w:val="00781286"/>
    <w:rsid w:val="00781322"/>
    <w:rsid w:val="007815D0"/>
    <w:rsid w:val="007816D5"/>
    <w:rsid w:val="007818D5"/>
    <w:rsid w:val="007819C3"/>
    <w:rsid w:val="00781A16"/>
    <w:rsid w:val="00781A59"/>
    <w:rsid w:val="00781B62"/>
    <w:rsid w:val="00781C0C"/>
    <w:rsid w:val="00781C3F"/>
    <w:rsid w:val="00781D34"/>
    <w:rsid w:val="00781D9C"/>
    <w:rsid w:val="00781F77"/>
    <w:rsid w:val="007820B4"/>
    <w:rsid w:val="007823C6"/>
    <w:rsid w:val="0078245B"/>
    <w:rsid w:val="00782498"/>
    <w:rsid w:val="007825F0"/>
    <w:rsid w:val="007828A2"/>
    <w:rsid w:val="00782967"/>
    <w:rsid w:val="00782A6E"/>
    <w:rsid w:val="00782A76"/>
    <w:rsid w:val="00782B56"/>
    <w:rsid w:val="00782C2B"/>
    <w:rsid w:val="00782C33"/>
    <w:rsid w:val="00782C65"/>
    <w:rsid w:val="00783075"/>
    <w:rsid w:val="007830D6"/>
    <w:rsid w:val="007830F3"/>
    <w:rsid w:val="00783241"/>
    <w:rsid w:val="0078324B"/>
    <w:rsid w:val="0078332A"/>
    <w:rsid w:val="00783354"/>
    <w:rsid w:val="0078346D"/>
    <w:rsid w:val="0078353B"/>
    <w:rsid w:val="00783585"/>
    <w:rsid w:val="007835A7"/>
    <w:rsid w:val="007835AA"/>
    <w:rsid w:val="00783802"/>
    <w:rsid w:val="00783913"/>
    <w:rsid w:val="00783C8F"/>
    <w:rsid w:val="00783C9A"/>
    <w:rsid w:val="00783CF7"/>
    <w:rsid w:val="00783CFF"/>
    <w:rsid w:val="00783DB4"/>
    <w:rsid w:val="00783EDC"/>
    <w:rsid w:val="00783EDE"/>
    <w:rsid w:val="00783F12"/>
    <w:rsid w:val="0078401C"/>
    <w:rsid w:val="00784054"/>
    <w:rsid w:val="00784056"/>
    <w:rsid w:val="00784256"/>
    <w:rsid w:val="00784267"/>
    <w:rsid w:val="00784270"/>
    <w:rsid w:val="0078446D"/>
    <w:rsid w:val="00784473"/>
    <w:rsid w:val="0078449D"/>
    <w:rsid w:val="00784727"/>
    <w:rsid w:val="00784831"/>
    <w:rsid w:val="007849EB"/>
    <w:rsid w:val="00784AA0"/>
    <w:rsid w:val="00784B69"/>
    <w:rsid w:val="00784C9D"/>
    <w:rsid w:val="00784CC1"/>
    <w:rsid w:val="00784CF5"/>
    <w:rsid w:val="00784EDC"/>
    <w:rsid w:val="00784F58"/>
    <w:rsid w:val="0078518A"/>
    <w:rsid w:val="00785486"/>
    <w:rsid w:val="007854A9"/>
    <w:rsid w:val="007854FA"/>
    <w:rsid w:val="00785655"/>
    <w:rsid w:val="007856DE"/>
    <w:rsid w:val="007856E3"/>
    <w:rsid w:val="0078579C"/>
    <w:rsid w:val="007857B7"/>
    <w:rsid w:val="00785916"/>
    <w:rsid w:val="00785BA1"/>
    <w:rsid w:val="00785D2A"/>
    <w:rsid w:val="00785DAD"/>
    <w:rsid w:val="00786091"/>
    <w:rsid w:val="0078631E"/>
    <w:rsid w:val="007863FB"/>
    <w:rsid w:val="007864D4"/>
    <w:rsid w:val="00786517"/>
    <w:rsid w:val="0078670D"/>
    <w:rsid w:val="007867CB"/>
    <w:rsid w:val="00786806"/>
    <w:rsid w:val="0078680D"/>
    <w:rsid w:val="00786829"/>
    <w:rsid w:val="00786855"/>
    <w:rsid w:val="0078690E"/>
    <w:rsid w:val="007869F8"/>
    <w:rsid w:val="00786A75"/>
    <w:rsid w:val="00786C17"/>
    <w:rsid w:val="00786E15"/>
    <w:rsid w:val="00786E83"/>
    <w:rsid w:val="00786E9D"/>
    <w:rsid w:val="00786EB9"/>
    <w:rsid w:val="00786F4C"/>
    <w:rsid w:val="007870A2"/>
    <w:rsid w:val="007871D2"/>
    <w:rsid w:val="0078732E"/>
    <w:rsid w:val="00787337"/>
    <w:rsid w:val="007874A7"/>
    <w:rsid w:val="007876CC"/>
    <w:rsid w:val="0078775E"/>
    <w:rsid w:val="0078799C"/>
    <w:rsid w:val="00787CED"/>
    <w:rsid w:val="00787D09"/>
    <w:rsid w:val="00787DE0"/>
    <w:rsid w:val="00787E2A"/>
    <w:rsid w:val="00790036"/>
    <w:rsid w:val="007901BF"/>
    <w:rsid w:val="0079020F"/>
    <w:rsid w:val="00790327"/>
    <w:rsid w:val="007904D2"/>
    <w:rsid w:val="00790513"/>
    <w:rsid w:val="00790568"/>
    <w:rsid w:val="00790598"/>
    <w:rsid w:val="0079063C"/>
    <w:rsid w:val="00790664"/>
    <w:rsid w:val="0079070A"/>
    <w:rsid w:val="00790915"/>
    <w:rsid w:val="00790A59"/>
    <w:rsid w:val="00790B53"/>
    <w:rsid w:val="00790CA4"/>
    <w:rsid w:val="00790F21"/>
    <w:rsid w:val="00790FF3"/>
    <w:rsid w:val="00791013"/>
    <w:rsid w:val="00791065"/>
    <w:rsid w:val="007910E2"/>
    <w:rsid w:val="0079126D"/>
    <w:rsid w:val="007912B6"/>
    <w:rsid w:val="007912BC"/>
    <w:rsid w:val="00791317"/>
    <w:rsid w:val="007913B7"/>
    <w:rsid w:val="00791511"/>
    <w:rsid w:val="0079165A"/>
    <w:rsid w:val="00791674"/>
    <w:rsid w:val="00791744"/>
    <w:rsid w:val="007918EB"/>
    <w:rsid w:val="00791900"/>
    <w:rsid w:val="00791A15"/>
    <w:rsid w:val="00791B5A"/>
    <w:rsid w:val="00791C26"/>
    <w:rsid w:val="00791DAB"/>
    <w:rsid w:val="00791DD4"/>
    <w:rsid w:val="00791DDC"/>
    <w:rsid w:val="00791E00"/>
    <w:rsid w:val="00791E6F"/>
    <w:rsid w:val="00791E82"/>
    <w:rsid w:val="00791FF3"/>
    <w:rsid w:val="007920AC"/>
    <w:rsid w:val="0079210B"/>
    <w:rsid w:val="007921E8"/>
    <w:rsid w:val="0079225B"/>
    <w:rsid w:val="007922BE"/>
    <w:rsid w:val="007922F6"/>
    <w:rsid w:val="0079241B"/>
    <w:rsid w:val="007924B5"/>
    <w:rsid w:val="00792883"/>
    <w:rsid w:val="007929A7"/>
    <w:rsid w:val="00792A77"/>
    <w:rsid w:val="00792AE8"/>
    <w:rsid w:val="00792B10"/>
    <w:rsid w:val="00792B8D"/>
    <w:rsid w:val="00792EDA"/>
    <w:rsid w:val="00792EE2"/>
    <w:rsid w:val="00793018"/>
    <w:rsid w:val="0079302B"/>
    <w:rsid w:val="00793186"/>
    <w:rsid w:val="007932A9"/>
    <w:rsid w:val="007932AF"/>
    <w:rsid w:val="00793420"/>
    <w:rsid w:val="00793458"/>
    <w:rsid w:val="00793541"/>
    <w:rsid w:val="00793603"/>
    <w:rsid w:val="00793708"/>
    <w:rsid w:val="00793795"/>
    <w:rsid w:val="007937BA"/>
    <w:rsid w:val="007938FD"/>
    <w:rsid w:val="00793E25"/>
    <w:rsid w:val="00793F57"/>
    <w:rsid w:val="00793F92"/>
    <w:rsid w:val="00793FC1"/>
    <w:rsid w:val="00793FD2"/>
    <w:rsid w:val="00794247"/>
    <w:rsid w:val="00794261"/>
    <w:rsid w:val="007942F2"/>
    <w:rsid w:val="00794332"/>
    <w:rsid w:val="007943C5"/>
    <w:rsid w:val="007944A1"/>
    <w:rsid w:val="00794664"/>
    <w:rsid w:val="0079474B"/>
    <w:rsid w:val="0079494F"/>
    <w:rsid w:val="00794B55"/>
    <w:rsid w:val="00794C42"/>
    <w:rsid w:val="00794C5E"/>
    <w:rsid w:val="00794CD6"/>
    <w:rsid w:val="00794D0D"/>
    <w:rsid w:val="00794DC4"/>
    <w:rsid w:val="00794E98"/>
    <w:rsid w:val="00794EB2"/>
    <w:rsid w:val="00794EB3"/>
    <w:rsid w:val="00794F5F"/>
    <w:rsid w:val="0079502E"/>
    <w:rsid w:val="0079504E"/>
    <w:rsid w:val="0079536E"/>
    <w:rsid w:val="00795386"/>
    <w:rsid w:val="007954F7"/>
    <w:rsid w:val="00795640"/>
    <w:rsid w:val="007956BB"/>
    <w:rsid w:val="007957BF"/>
    <w:rsid w:val="007957C8"/>
    <w:rsid w:val="007957EF"/>
    <w:rsid w:val="0079590A"/>
    <w:rsid w:val="00795A0F"/>
    <w:rsid w:val="00795B56"/>
    <w:rsid w:val="00795B71"/>
    <w:rsid w:val="00795CD8"/>
    <w:rsid w:val="00795D42"/>
    <w:rsid w:val="00795EBA"/>
    <w:rsid w:val="00795F0F"/>
    <w:rsid w:val="0079602A"/>
    <w:rsid w:val="007960F3"/>
    <w:rsid w:val="007961BA"/>
    <w:rsid w:val="007962A0"/>
    <w:rsid w:val="007962A1"/>
    <w:rsid w:val="00796306"/>
    <w:rsid w:val="007963BD"/>
    <w:rsid w:val="007964D5"/>
    <w:rsid w:val="007967C0"/>
    <w:rsid w:val="00796816"/>
    <w:rsid w:val="00796957"/>
    <w:rsid w:val="00796A8A"/>
    <w:rsid w:val="00796DA0"/>
    <w:rsid w:val="00796DC5"/>
    <w:rsid w:val="00796E82"/>
    <w:rsid w:val="007970DE"/>
    <w:rsid w:val="00797147"/>
    <w:rsid w:val="00797158"/>
    <w:rsid w:val="00797226"/>
    <w:rsid w:val="007972F2"/>
    <w:rsid w:val="00797301"/>
    <w:rsid w:val="00797336"/>
    <w:rsid w:val="007975DA"/>
    <w:rsid w:val="00797631"/>
    <w:rsid w:val="00797683"/>
    <w:rsid w:val="0079790C"/>
    <w:rsid w:val="00797960"/>
    <w:rsid w:val="007979A2"/>
    <w:rsid w:val="007979F2"/>
    <w:rsid w:val="00797C02"/>
    <w:rsid w:val="00797CA0"/>
    <w:rsid w:val="00797EEE"/>
    <w:rsid w:val="007A0091"/>
    <w:rsid w:val="007A02A6"/>
    <w:rsid w:val="007A02DA"/>
    <w:rsid w:val="007A0321"/>
    <w:rsid w:val="007A045D"/>
    <w:rsid w:val="007A0716"/>
    <w:rsid w:val="007A071B"/>
    <w:rsid w:val="007A0780"/>
    <w:rsid w:val="007A080C"/>
    <w:rsid w:val="007A0910"/>
    <w:rsid w:val="007A0949"/>
    <w:rsid w:val="007A0987"/>
    <w:rsid w:val="007A09F0"/>
    <w:rsid w:val="007A0A0B"/>
    <w:rsid w:val="007A0A56"/>
    <w:rsid w:val="007A0B68"/>
    <w:rsid w:val="007A0E7E"/>
    <w:rsid w:val="007A0E81"/>
    <w:rsid w:val="007A0F04"/>
    <w:rsid w:val="007A0F25"/>
    <w:rsid w:val="007A10D6"/>
    <w:rsid w:val="007A128B"/>
    <w:rsid w:val="007A13A4"/>
    <w:rsid w:val="007A13AD"/>
    <w:rsid w:val="007A151F"/>
    <w:rsid w:val="007A1568"/>
    <w:rsid w:val="007A16D2"/>
    <w:rsid w:val="007A17F0"/>
    <w:rsid w:val="007A1835"/>
    <w:rsid w:val="007A1982"/>
    <w:rsid w:val="007A1B06"/>
    <w:rsid w:val="007A1C2B"/>
    <w:rsid w:val="007A1CB7"/>
    <w:rsid w:val="007A1CF3"/>
    <w:rsid w:val="007A1EFA"/>
    <w:rsid w:val="007A1F0F"/>
    <w:rsid w:val="007A1F3D"/>
    <w:rsid w:val="007A217A"/>
    <w:rsid w:val="007A221D"/>
    <w:rsid w:val="007A22FC"/>
    <w:rsid w:val="007A23CA"/>
    <w:rsid w:val="007A246C"/>
    <w:rsid w:val="007A2488"/>
    <w:rsid w:val="007A262C"/>
    <w:rsid w:val="007A2922"/>
    <w:rsid w:val="007A2A78"/>
    <w:rsid w:val="007A2B3B"/>
    <w:rsid w:val="007A2C0A"/>
    <w:rsid w:val="007A2DAE"/>
    <w:rsid w:val="007A2ECE"/>
    <w:rsid w:val="007A2F71"/>
    <w:rsid w:val="007A2FDE"/>
    <w:rsid w:val="007A305A"/>
    <w:rsid w:val="007A31F9"/>
    <w:rsid w:val="007A32D5"/>
    <w:rsid w:val="007A32D7"/>
    <w:rsid w:val="007A3364"/>
    <w:rsid w:val="007A3499"/>
    <w:rsid w:val="007A3698"/>
    <w:rsid w:val="007A3792"/>
    <w:rsid w:val="007A37AC"/>
    <w:rsid w:val="007A3990"/>
    <w:rsid w:val="007A3C0A"/>
    <w:rsid w:val="007A3C9E"/>
    <w:rsid w:val="007A3CD3"/>
    <w:rsid w:val="007A3D3E"/>
    <w:rsid w:val="007A4022"/>
    <w:rsid w:val="007A41F5"/>
    <w:rsid w:val="007A420E"/>
    <w:rsid w:val="007A4438"/>
    <w:rsid w:val="007A446C"/>
    <w:rsid w:val="007A4481"/>
    <w:rsid w:val="007A4502"/>
    <w:rsid w:val="007A45AE"/>
    <w:rsid w:val="007A4688"/>
    <w:rsid w:val="007A46AA"/>
    <w:rsid w:val="007A471E"/>
    <w:rsid w:val="007A4757"/>
    <w:rsid w:val="007A4799"/>
    <w:rsid w:val="007A4898"/>
    <w:rsid w:val="007A48AE"/>
    <w:rsid w:val="007A4963"/>
    <w:rsid w:val="007A4A16"/>
    <w:rsid w:val="007A4A52"/>
    <w:rsid w:val="007A4A83"/>
    <w:rsid w:val="007A4AE0"/>
    <w:rsid w:val="007A4C81"/>
    <w:rsid w:val="007A4DA1"/>
    <w:rsid w:val="007A4E7F"/>
    <w:rsid w:val="007A5124"/>
    <w:rsid w:val="007A51C1"/>
    <w:rsid w:val="007A5261"/>
    <w:rsid w:val="007A5383"/>
    <w:rsid w:val="007A53E5"/>
    <w:rsid w:val="007A53E9"/>
    <w:rsid w:val="007A5498"/>
    <w:rsid w:val="007A5625"/>
    <w:rsid w:val="007A569F"/>
    <w:rsid w:val="007A5806"/>
    <w:rsid w:val="007A58B9"/>
    <w:rsid w:val="007A5903"/>
    <w:rsid w:val="007A595F"/>
    <w:rsid w:val="007A5A0E"/>
    <w:rsid w:val="007A5A73"/>
    <w:rsid w:val="007A5DAB"/>
    <w:rsid w:val="007A6130"/>
    <w:rsid w:val="007A6163"/>
    <w:rsid w:val="007A634D"/>
    <w:rsid w:val="007A6538"/>
    <w:rsid w:val="007A654B"/>
    <w:rsid w:val="007A6695"/>
    <w:rsid w:val="007A6795"/>
    <w:rsid w:val="007A6875"/>
    <w:rsid w:val="007A6A1D"/>
    <w:rsid w:val="007A6A32"/>
    <w:rsid w:val="007A6A6A"/>
    <w:rsid w:val="007A6A82"/>
    <w:rsid w:val="007A6A9B"/>
    <w:rsid w:val="007A6C30"/>
    <w:rsid w:val="007A6E4D"/>
    <w:rsid w:val="007A6F65"/>
    <w:rsid w:val="007A6FBA"/>
    <w:rsid w:val="007A6FFC"/>
    <w:rsid w:val="007A7056"/>
    <w:rsid w:val="007A708B"/>
    <w:rsid w:val="007A712B"/>
    <w:rsid w:val="007A7201"/>
    <w:rsid w:val="007A7245"/>
    <w:rsid w:val="007A72F8"/>
    <w:rsid w:val="007A7362"/>
    <w:rsid w:val="007A7377"/>
    <w:rsid w:val="007A7386"/>
    <w:rsid w:val="007A7495"/>
    <w:rsid w:val="007A752C"/>
    <w:rsid w:val="007A753E"/>
    <w:rsid w:val="007A756A"/>
    <w:rsid w:val="007A7604"/>
    <w:rsid w:val="007A776D"/>
    <w:rsid w:val="007A7782"/>
    <w:rsid w:val="007A7838"/>
    <w:rsid w:val="007A78C1"/>
    <w:rsid w:val="007A78DE"/>
    <w:rsid w:val="007A78E8"/>
    <w:rsid w:val="007A7987"/>
    <w:rsid w:val="007A7A05"/>
    <w:rsid w:val="007A7D7C"/>
    <w:rsid w:val="007A7E0F"/>
    <w:rsid w:val="007A7E73"/>
    <w:rsid w:val="007A7F68"/>
    <w:rsid w:val="007A7FDF"/>
    <w:rsid w:val="007B005A"/>
    <w:rsid w:val="007B032A"/>
    <w:rsid w:val="007B03A2"/>
    <w:rsid w:val="007B0598"/>
    <w:rsid w:val="007B0661"/>
    <w:rsid w:val="007B06D3"/>
    <w:rsid w:val="007B08D7"/>
    <w:rsid w:val="007B08FB"/>
    <w:rsid w:val="007B0BAA"/>
    <w:rsid w:val="007B0C79"/>
    <w:rsid w:val="007B0CCB"/>
    <w:rsid w:val="007B0CFA"/>
    <w:rsid w:val="007B0D8D"/>
    <w:rsid w:val="007B0D8E"/>
    <w:rsid w:val="007B0DB6"/>
    <w:rsid w:val="007B0ED0"/>
    <w:rsid w:val="007B0FD5"/>
    <w:rsid w:val="007B10F8"/>
    <w:rsid w:val="007B117F"/>
    <w:rsid w:val="007B1219"/>
    <w:rsid w:val="007B1365"/>
    <w:rsid w:val="007B1382"/>
    <w:rsid w:val="007B144F"/>
    <w:rsid w:val="007B14AB"/>
    <w:rsid w:val="007B16BB"/>
    <w:rsid w:val="007B1736"/>
    <w:rsid w:val="007B17F7"/>
    <w:rsid w:val="007B188F"/>
    <w:rsid w:val="007B19A1"/>
    <w:rsid w:val="007B19C8"/>
    <w:rsid w:val="007B1A07"/>
    <w:rsid w:val="007B1B94"/>
    <w:rsid w:val="007B1E91"/>
    <w:rsid w:val="007B1EA5"/>
    <w:rsid w:val="007B1EB7"/>
    <w:rsid w:val="007B1EC8"/>
    <w:rsid w:val="007B2043"/>
    <w:rsid w:val="007B2063"/>
    <w:rsid w:val="007B227F"/>
    <w:rsid w:val="007B234E"/>
    <w:rsid w:val="007B23BE"/>
    <w:rsid w:val="007B25BD"/>
    <w:rsid w:val="007B269A"/>
    <w:rsid w:val="007B2895"/>
    <w:rsid w:val="007B28EB"/>
    <w:rsid w:val="007B2AF8"/>
    <w:rsid w:val="007B2B74"/>
    <w:rsid w:val="007B2C81"/>
    <w:rsid w:val="007B2F21"/>
    <w:rsid w:val="007B33ED"/>
    <w:rsid w:val="007B340F"/>
    <w:rsid w:val="007B359B"/>
    <w:rsid w:val="007B35A1"/>
    <w:rsid w:val="007B35FF"/>
    <w:rsid w:val="007B361A"/>
    <w:rsid w:val="007B395A"/>
    <w:rsid w:val="007B4280"/>
    <w:rsid w:val="007B4338"/>
    <w:rsid w:val="007B43DA"/>
    <w:rsid w:val="007B46C0"/>
    <w:rsid w:val="007B476E"/>
    <w:rsid w:val="007B4858"/>
    <w:rsid w:val="007B4892"/>
    <w:rsid w:val="007B4B61"/>
    <w:rsid w:val="007B4C93"/>
    <w:rsid w:val="007B4D46"/>
    <w:rsid w:val="007B5060"/>
    <w:rsid w:val="007B50FB"/>
    <w:rsid w:val="007B50FF"/>
    <w:rsid w:val="007B51BA"/>
    <w:rsid w:val="007B52BF"/>
    <w:rsid w:val="007B5310"/>
    <w:rsid w:val="007B550A"/>
    <w:rsid w:val="007B550C"/>
    <w:rsid w:val="007B57C2"/>
    <w:rsid w:val="007B5886"/>
    <w:rsid w:val="007B5BD9"/>
    <w:rsid w:val="007B5C05"/>
    <w:rsid w:val="007B5CA7"/>
    <w:rsid w:val="007B5CE3"/>
    <w:rsid w:val="007B5E09"/>
    <w:rsid w:val="007B5E7E"/>
    <w:rsid w:val="007B5FD1"/>
    <w:rsid w:val="007B60C9"/>
    <w:rsid w:val="007B60CC"/>
    <w:rsid w:val="007B6190"/>
    <w:rsid w:val="007B6484"/>
    <w:rsid w:val="007B651D"/>
    <w:rsid w:val="007B6592"/>
    <w:rsid w:val="007B6756"/>
    <w:rsid w:val="007B67E9"/>
    <w:rsid w:val="007B6824"/>
    <w:rsid w:val="007B6914"/>
    <w:rsid w:val="007B6A15"/>
    <w:rsid w:val="007B6A4D"/>
    <w:rsid w:val="007B6AB8"/>
    <w:rsid w:val="007B6B0F"/>
    <w:rsid w:val="007B6BE8"/>
    <w:rsid w:val="007B6C62"/>
    <w:rsid w:val="007B6CF9"/>
    <w:rsid w:val="007B6D19"/>
    <w:rsid w:val="007B6D6A"/>
    <w:rsid w:val="007B6EB1"/>
    <w:rsid w:val="007B6F6A"/>
    <w:rsid w:val="007B7267"/>
    <w:rsid w:val="007B72AC"/>
    <w:rsid w:val="007B73EF"/>
    <w:rsid w:val="007B7424"/>
    <w:rsid w:val="007B7466"/>
    <w:rsid w:val="007B7523"/>
    <w:rsid w:val="007B758B"/>
    <w:rsid w:val="007B75B9"/>
    <w:rsid w:val="007B75F2"/>
    <w:rsid w:val="007B7675"/>
    <w:rsid w:val="007B76D0"/>
    <w:rsid w:val="007B7710"/>
    <w:rsid w:val="007B7807"/>
    <w:rsid w:val="007B79EB"/>
    <w:rsid w:val="007B7A02"/>
    <w:rsid w:val="007B7BA1"/>
    <w:rsid w:val="007C007A"/>
    <w:rsid w:val="007C0350"/>
    <w:rsid w:val="007C0450"/>
    <w:rsid w:val="007C056A"/>
    <w:rsid w:val="007C05A2"/>
    <w:rsid w:val="007C05B3"/>
    <w:rsid w:val="007C060F"/>
    <w:rsid w:val="007C0628"/>
    <w:rsid w:val="007C06D5"/>
    <w:rsid w:val="007C0745"/>
    <w:rsid w:val="007C0786"/>
    <w:rsid w:val="007C0791"/>
    <w:rsid w:val="007C07B5"/>
    <w:rsid w:val="007C07F3"/>
    <w:rsid w:val="007C0A32"/>
    <w:rsid w:val="007C0B53"/>
    <w:rsid w:val="007C0B76"/>
    <w:rsid w:val="007C0C0F"/>
    <w:rsid w:val="007C0C50"/>
    <w:rsid w:val="007C0D32"/>
    <w:rsid w:val="007C0EDB"/>
    <w:rsid w:val="007C0F10"/>
    <w:rsid w:val="007C0F85"/>
    <w:rsid w:val="007C0F9A"/>
    <w:rsid w:val="007C10C1"/>
    <w:rsid w:val="007C1100"/>
    <w:rsid w:val="007C11C6"/>
    <w:rsid w:val="007C12F6"/>
    <w:rsid w:val="007C138B"/>
    <w:rsid w:val="007C1426"/>
    <w:rsid w:val="007C1492"/>
    <w:rsid w:val="007C14D3"/>
    <w:rsid w:val="007C15D7"/>
    <w:rsid w:val="007C1642"/>
    <w:rsid w:val="007C1788"/>
    <w:rsid w:val="007C178C"/>
    <w:rsid w:val="007C179A"/>
    <w:rsid w:val="007C17B2"/>
    <w:rsid w:val="007C1905"/>
    <w:rsid w:val="007C196D"/>
    <w:rsid w:val="007C198D"/>
    <w:rsid w:val="007C1ADF"/>
    <w:rsid w:val="007C1B9A"/>
    <w:rsid w:val="007C1BA9"/>
    <w:rsid w:val="007C1CEF"/>
    <w:rsid w:val="007C1E06"/>
    <w:rsid w:val="007C1EA3"/>
    <w:rsid w:val="007C1F2E"/>
    <w:rsid w:val="007C1F8B"/>
    <w:rsid w:val="007C1FBD"/>
    <w:rsid w:val="007C2122"/>
    <w:rsid w:val="007C2339"/>
    <w:rsid w:val="007C23C0"/>
    <w:rsid w:val="007C2416"/>
    <w:rsid w:val="007C257D"/>
    <w:rsid w:val="007C25A2"/>
    <w:rsid w:val="007C262F"/>
    <w:rsid w:val="007C27B4"/>
    <w:rsid w:val="007C282B"/>
    <w:rsid w:val="007C298F"/>
    <w:rsid w:val="007C2B3E"/>
    <w:rsid w:val="007C2C60"/>
    <w:rsid w:val="007C2C87"/>
    <w:rsid w:val="007C2FD8"/>
    <w:rsid w:val="007C3006"/>
    <w:rsid w:val="007C30E2"/>
    <w:rsid w:val="007C3166"/>
    <w:rsid w:val="007C31D4"/>
    <w:rsid w:val="007C326F"/>
    <w:rsid w:val="007C32D9"/>
    <w:rsid w:val="007C35DC"/>
    <w:rsid w:val="007C35DD"/>
    <w:rsid w:val="007C35F6"/>
    <w:rsid w:val="007C36CD"/>
    <w:rsid w:val="007C3A01"/>
    <w:rsid w:val="007C3AC4"/>
    <w:rsid w:val="007C3AEE"/>
    <w:rsid w:val="007C3C45"/>
    <w:rsid w:val="007C3CB0"/>
    <w:rsid w:val="007C3CDA"/>
    <w:rsid w:val="007C3D29"/>
    <w:rsid w:val="007C3D41"/>
    <w:rsid w:val="007C3D43"/>
    <w:rsid w:val="007C3DB0"/>
    <w:rsid w:val="007C3F19"/>
    <w:rsid w:val="007C3F59"/>
    <w:rsid w:val="007C3FB6"/>
    <w:rsid w:val="007C4053"/>
    <w:rsid w:val="007C405F"/>
    <w:rsid w:val="007C4060"/>
    <w:rsid w:val="007C4112"/>
    <w:rsid w:val="007C4354"/>
    <w:rsid w:val="007C4434"/>
    <w:rsid w:val="007C44A5"/>
    <w:rsid w:val="007C44AA"/>
    <w:rsid w:val="007C44BF"/>
    <w:rsid w:val="007C44D5"/>
    <w:rsid w:val="007C4508"/>
    <w:rsid w:val="007C452D"/>
    <w:rsid w:val="007C4585"/>
    <w:rsid w:val="007C4AB5"/>
    <w:rsid w:val="007C4ADE"/>
    <w:rsid w:val="007C4B8B"/>
    <w:rsid w:val="007C4BAD"/>
    <w:rsid w:val="007C4C08"/>
    <w:rsid w:val="007C4E23"/>
    <w:rsid w:val="007C4F71"/>
    <w:rsid w:val="007C4FCD"/>
    <w:rsid w:val="007C5149"/>
    <w:rsid w:val="007C518F"/>
    <w:rsid w:val="007C529D"/>
    <w:rsid w:val="007C52A8"/>
    <w:rsid w:val="007C52CB"/>
    <w:rsid w:val="007C5325"/>
    <w:rsid w:val="007C54B0"/>
    <w:rsid w:val="007C5582"/>
    <w:rsid w:val="007C560E"/>
    <w:rsid w:val="007C568A"/>
    <w:rsid w:val="007C575B"/>
    <w:rsid w:val="007C57D2"/>
    <w:rsid w:val="007C5923"/>
    <w:rsid w:val="007C59BF"/>
    <w:rsid w:val="007C5AA2"/>
    <w:rsid w:val="007C5AEB"/>
    <w:rsid w:val="007C5DE3"/>
    <w:rsid w:val="007C5F98"/>
    <w:rsid w:val="007C5FBD"/>
    <w:rsid w:val="007C6009"/>
    <w:rsid w:val="007C609D"/>
    <w:rsid w:val="007C61C3"/>
    <w:rsid w:val="007C6253"/>
    <w:rsid w:val="007C62C1"/>
    <w:rsid w:val="007C6357"/>
    <w:rsid w:val="007C6436"/>
    <w:rsid w:val="007C6466"/>
    <w:rsid w:val="007C6669"/>
    <w:rsid w:val="007C6751"/>
    <w:rsid w:val="007C6862"/>
    <w:rsid w:val="007C68BD"/>
    <w:rsid w:val="007C693D"/>
    <w:rsid w:val="007C6ABC"/>
    <w:rsid w:val="007C6AFB"/>
    <w:rsid w:val="007C6BB1"/>
    <w:rsid w:val="007C6BBF"/>
    <w:rsid w:val="007C6C31"/>
    <w:rsid w:val="007C6C47"/>
    <w:rsid w:val="007C6C8F"/>
    <w:rsid w:val="007C6CF9"/>
    <w:rsid w:val="007C7081"/>
    <w:rsid w:val="007C717D"/>
    <w:rsid w:val="007C72EA"/>
    <w:rsid w:val="007C7352"/>
    <w:rsid w:val="007C7424"/>
    <w:rsid w:val="007C7560"/>
    <w:rsid w:val="007C7726"/>
    <w:rsid w:val="007C78AF"/>
    <w:rsid w:val="007C7996"/>
    <w:rsid w:val="007C79C1"/>
    <w:rsid w:val="007C7B70"/>
    <w:rsid w:val="007C7C8B"/>
    <w:rsid w:val="007C7D19"/>
    <w:rsid w:val="007D001B"/>
    <w:rsid w:val="007D01E9"/>
    <w:rsid w:val="007D01EF"/>
    <w:rsid w:val="007D030F"/>
    <w:rsid w:val="007D035A"/>
    <w:rsid w:val="007D03A1"/>
    <w:rsid w:val="007D0600"/>
    <w:rsid w:val="007D0647"/>
    <w:rsid w:val="007D066D"/>
    <w:rsid w:val="007D08C8"/>
    <w:rsid w:val="007D08EC"/>
    <w:rsid w:val="007D0954"/>
    <w:rsid w:val="007D0A4F"/>
    <w:rsid w:val="007D0AAF"/>
    <w:rsid w:val="007D0B06"/>
    <w:rsid w:val="007D0B7A"/>
    <w:rsid w:val="007D0C51"/>
    <w:rsid w:val="007D0C5E"/>
    <w:rsid w:val="007D0CA5"/>
    <w:rsid w:val="007D0E8C"/>
    <w:rsid w:val="007D0FCF"/>
    <w:rsid w:val="007D111E"/>
    <w:rsid w:val="007D1280"/>
    <w:rsid w:val="007D133A"/>
    <w:rsid w:val="007D133C"/>
    <w:rsid w:val="007D13B8"/>
    <w:rsid w:val="007D13DB"/>
    <w:rsid w:val="007D13F3"/>
    <w:rsid w:val="007D14DE"/>
    <w:rsid w:val="007D15C0"/>
    <w:rsid w:val="007D18AB"/>
    <w:rsid w:val="007D1A55"/>
    <w:rsid w:val="007D1AE2"/>
    <w:rsid w:val="007D1B0D"/>
    <w:rsid w:val="007D1B3B"/>
    <w:rsid w:val="007D1B41"/>
    <w:rsid w:val="007D1B4F"/>
    <w:rsid w:val="007D1C0F"/>
    <w:rsid w:val="007D1ECF"/>
    <w:rsid w:val="007D214C"/>
    <w:rsid w:val="007D23E6"/>
    <w:rsid w:val="007D24EA"/>
    <w:rsid w:val="007D26C7"/>
    <w:rsid w:val="007D279C"/>
    <w:rsid w:val="007D280E"/>
    <w:rsid w:val="007D2939"/>
    <w:rsid w:val="007D29DD"/>
    <w:rsid w:val="007D2AA4"/>
    <w:rsid w:val="007D2C93"/>
    <w:rsid w:val="007D2DCA"/>
    <w:rsid w:val="007D2EFB"/>
    <w:rsid w:val="007D2F84"/>
    <w:rsid w:val="007D30D7"/>
    <w:rsid w:val="007D3111"/>
    <w:rsid w:val="007D327B"/>
    <w:rsid w:val="007D34F1"/>
    <w:rsid w:val="007D362B"/>
    <w:rsid w:val="007D3712"/>
    <w:rsid w:val="007D3783"/>
    <w:rsid w:val="007D39F5"/>
    <w:rsid w:val="007D3B0D"/>
    <w:rsid w:val="007D3B57"/>
    <w:rsid w:val="007D3B9A"/>
    <w:rsid w:val="007D3DEF"/>
    <w:rsid w:val="007D3E10"/>
    <w:rsid w:val="007D3E2D"/>
    <w:rsid w:val="007D3E89"/>
    <w:rsid w:val="007D3E9E"/>
    <w:rsid w:val="007D3F5F"/>
    <w:rsid w:val="007D4196"/>
    <w:rsid w:val="007D45E2"/>
    <w:rsid w:val="007D4614"/>
    <w:rsid w:val="007D4693"/>
    <w:rsid w:val="007D4728"/>
    <w:rsid w:val="007D47F3"/>
    <w:rsid w:val="007D48DE"/>
    <w:rsid w:val="007D497A"/>
    <w:rsid w:val="007D4A5C"/>
    <w:rsid w:val="007D4AA8"/>
    <w:rsid w:val="007D4BEA"/>
    <w:rsid w:val="007D4C6E"/>
    <w:rsid w:val="007D4C80"/>
    <w:rsid w:val="007D4EE4"/>
    <w:rsid w:val="007D4EEB"/>
    <w:rsid w:val="007D5014"/>
    <w:rsid w:val="007D509D"/>
    <w:rsid w:val="007D51FE"/>
    <w:rsid w:val="007D522E"/>
    <w:rsid w:val="007D524B"/>
    <w:rsid w:val="007D528D"/>
    <w:rsid w:val="007D53B6"/>
    <w:rsid w:val="007D53DB"/>
    <w:rsid w:val="007D5458"/>
    <w:rsid w:val="007D5491"/>
    <w:rsid w:val="007D5525"/>
    <w:rsid w:val="007D55C6"/>
    <w:rsid w:val="007D5709"/>
    <w:rsid w:val="007D57C6"/>
    <w:rsid w:val="007D58D6"/>
    <w:rsid w:val="007D5A72"/>
    <w:rsid w:val="007D5C0B"/>
    <w:rsid w:val="007D5CE6"/>
    <w:rsid w:val="007D5D23"/>
    <w:rsid w:val="007D5EB1"/>
    <w:rsid w:val="007D6133"/>
    <w:rsid w:val="007D6168"/>
    <w:rsid w:val="007D61F2"/>
    <w:rsid w:val="007D62F6"/>
    <w:rsid w:val="007D633D"/>
    <w:rsid w:val="007D64F3"/>
    <w:rsid w:val="007D6511"/>
    <w:rsid w:val="007D65D9"/>
    <w:rsid w:val="007D67A9"/>
    <w:rsid w:val="007D681F"/>
    <w:rsid w:val="007D6B9A"/>
    <w:rsid w:val="007D6BAF"/>
    <w:rsid w:val="007D6CA3"/>
    <w:rsid w:val="007D6D98"/>
    <w:rsid w:val="007D6DDF"/>
    <w:rsid w:val="007D6DF2"/>
    <w:rsid w:val="007D70D3"/>
    <w:rsid w:val="007D719A"/>
    <w:rsid w:val="007D71E3"/>
    <w:rsid w:val="007D7249"/>
    <w:rsid w:val="007D72C2"/>
    <w:rsid w:val="007D735B"/>
    <w:rsid w:val="007D7385"/>
    <w:rsid w:val="007D73C7"/>
    <w:rsid w:val="007D73FA"/>
    <w:rsid w:val="007D7450"/>
    <w:rsid w:val="007D74B0"/>
    <w:rsid w:val="007D7622"/>
    <w:rsid w:val="007D76C8"/>
    <w:rsid w:val="007D76F7"/>
    <w:rsid w:val="007D7772"/>
    <w:rsid w:val="007D7783"/>
    <w:rsid w:val="007D78E7"/>
    <w:rsid w:val="007D7CFC"/>
    <w:rsid w:val="007D7DD2"/>
    <w:rsid w:val="007D7E66"/>
    <w:rsid w:val="007D7FBC"/>
    <w:rsid w:val="007E0226"/>
    <w:rsid w:val="007E0628"/>
    <w:rsid w:val="007E06F9"/>
    <w:rsid w:val="007E0783"/>
    <w:rsid w:val="007E09C6"/>
    <w:rsid w:val="007E0A02"/>
    <w:rsid w:val="007E0A03"/>
    <w:rsid w:val="007E0AE2"/>
    <w:rsid w:val="007E0AED"/>
    <w:rsid w:val="007E0B35"/>
    <w:rsid w:val="007E0B5C"/>
    <w:rsid w:val="007E0C12"/>
    <w:rsid w:val="007E0C1B"/>
    <w:rsid w:val="007E0C31"/>
    <w:rsid w:val="007E0CF5"/>
    <w:rsid w:val="007E0D57"/>
    <w:rsid w:val="007E0E23"/>
    <w:rsid w:val="007E0E41"/>
    <w:rsid w:val="007E0EE8"/>
    <w:rsid w:val="007E0F85"/>
    <w:rsid w:val="007E102B"/>
    <w:rsid w:val="007E120B"/>
    <w:rsid w:val="007E1384"/>
    <w:rsid w:val="007E1439"/>
    <w:rsid w:val="007E1524"/>
    <w:rsid w:val="007E15AD"/>
    <w:rsid w:val="007E16BF"/>
    <w:rsid w:val="007E18A2"/>
    <w:rsid w:val="007E18C6"/>
    <w:rsid w:val="007E1984"/>
    <w:rsid w:val="007E19AC"/>
    <w:rsid w:val="007E1A9D"/>
    <w:rsid w:val="007E1ADD"/>
    <w:rsid w:val="007E1B2B"/>
    <w:rsid w:val="007E1B34"/>
    <w:rsid w:val="007E1BE7"/>
    <w:rsid w:val="007E1C05"/>
    <w:rsid w:val="007E1F55"/>
    <w:rsid w:val="007E2003"/>
    <w:rsid w:val="007E2231"/>
    <w:rsid w:val="007E22A6"/>
    <w:rsid w:val="007E2467"/>
    <w:rsid w:val="007E2550"/>
    <w:rsid w:val="007E2560"/>
    <w:rsid w:val="007E267B"/>
    <w:rsid w:val="007E2757"/>
    <w:rsid w:val="007E27BF"/>
    <w:rsid w:val="007E27F0"/>
    <w:rsid w:val="007E2845"/>
    <w:rsid w:val="007E29D7"/>
    <w:rsid w:val="007E2B75"/>
    <w:rsid w:val="007E2BD1"/>
    <w:rsid w:val="007E2D24"/>
    <w:rsid w:val="007E2EF0"/>
    <w:rsid w:val="007E2F66"/>
    <w:rsid w:val="007E308F"/>
    <w:rsid w:val="007E3090"/>
    <w:rsid w:val="007E317A"/>
    <w:rsid w:val="007E3245"/>
    <w:rsid w:val="007E3380"/>
    <w:rsid w:val="007E34B5"/>
    <w:rsid w:val="007E355E"/>
    <w:rsid w:val="007E35D3"/>
    <w:rsid w:val="007E37A2"/>
    <w:rsid w:val="007E38C2"/>
    <w:rsid w:val="007E38D2"/>
    <w:rsid w:val="007E3A37"/>
    <w:rsid w:val="007E3A67"/>
    <w:rsid w:val="007E3AD9"/>
    <w:rsid w:val="007E3AE0"/>
    <w:rsid w:val="007E3B40"/>
    <w:rsid w:val="007E3B8E"/>
    <w:rsid w:val="007E3C13"/>
    <w:rsid w:val="007E3C26"/>
    <w:rsid w:val="007E3C69"/>
    <w:rsid w:val="007E3D0B"/>
    <w:rsid w:val="007E3D1C"/>
    <w:rsid w:val="007E3D48"/>
    <w:rsid w:val="007E3E0C"/>
    <w:rsid w:val="007E4000"/>
    <w:rsid w:val="007E40AB"/>
    <w:rsid w:val="007E40C5"/>
    <w:rsid w:val="007E41C2"/>
    <w:rsid w:val="007E4206"/>
    <w:rsid w:val="007E421F"/>
    <w:rsid w:val="007E4223"/>
    <w:rsid w:val="007E44F6"/>
    <w:rsid w:val="007E4536"/>
    <w:rsid w:val="007E459E"/>
    <w:rsid w:val="007E45F4"/>
    <w:rsid w:val="007E4716"/>
    <w:rsid w:val="007E4808"/>
    <w:rsid w:val="007E4A1B"/>
    <w:rsid w:val="007E4AC6"/>
    <w:rsid w:val="007E4B68"/>
    <w:rsid w:val="007E4C59"/>
    <w:rsid w:val="007E4CCF"/>
    <w:rsid w:val="007E4E44"/>
    <w:rsid w:val="007E4E81"/>
    <w:rsid w:val="007E4EFF"/>
    <w:rsid w:val="007E4F7F"/>
    <w:rsid w:val="007E5337"/>
    <w:rsid w:val="007E5824"/>
    <w:rsid w:val="007E58C8"/>
    <w:rsid w:val="007E595D"/>
    <w:rsid w:val="007E5A70"/>
    <w:rsid w:val="007E5AE6"/>
    <w:rsid w:val="007E5CCB"/>
    <w:rsid w:val="007E5D87"/>
    <w:rsid w:val="007E5DF0"/>
    <w:rsid w:val="007E5E8C"/>
    <w:rsid w:val="007E5E9E"/>
    <w:rsid w:val="007E644E"/>
    <w:rsid w:val="007E6470"/>
    <w:rsid w:val="007E64DB"/>
    <w:rsid w:val="007E663C"/>
    <w:rsid w:val="007E676F"/>
    <w:rsid w:val="007E677E"/>
    <w:rsid w:val="007E678A"/>
    <w:rsid w:val="007E6876"/>
    <w:rsid w:val="007E68CF"/>
    <w:rsid w:val="007E6944"/>
    <w:rsid w:val="007E69E3"/>
    <w:rsid w:val="007E6A17"/>
    <w:rsid w:val="007E6A72"/>
    <w:rsid w:val="007E6AAA"/>
    <w:rsid w:val="007E6B5D"/>
    <w:rsid w:val="007E6BA4"/>
    <w:rsid w:val="007E6D79"/>
    <w:rsid w:val="007E6D99"/>
    <w:rsid w:val="007E6F24"/>
    <w:rsid w:val="007E6F32"/>
    <w:rsid w:val="007E6FB0"/>
    <w:rsid w:val="007E6FCF"/>
    <w:rsid w:val="007E70F3"/>
    <w:rsid w:val="007E7202"/>
    <w:rsid w:val="007E7229"/>
    <w:rsid w:val="007E7566"/>
    <w:rsid w:val="007E75CE"/>
    <w:rsid w:val="007E780F"/>
    <w:rsid w:val="007E786C"/>
    <w:rsid w:val="007E7A3A"/>
    <w:rsid w:val="007E7A68"/>
    <w:rsid w:val="007E7C7F"/>
    <w:rsid w:val="007E7C81"/>
    <w:rsid w:val="007E7D90"/>
    <w:rsid w:val="007E7DA1"/>
    <w:rsid w:val="007E7E63"/>
    <w:rsid w:val="007F002D"/>
    <w:rsid w:val="007F0049"/>
    <w:rsid w:val="007F006B"/>
    <w:rsid w:val="007F00EB"/>
    <w:rsid w:val="007F029E"/>
    <w:rsid w:val="007F02D6"/>
    <w:rsid w:val="007F03F6"/>
    <w:rsid w:val="007F04E1"/>
    <w:rsid w:val="007F05A4"/>
    <w:rsid w:val="007F05A8"/>
    <w:rsid w:val="007F080B"/>
    <w:rsid w:val="007F0933"/>
    <w:rsid w:val="007F095D"/>
    <w:rsid w:val="007F0B32"/>
    <w:rsid w:val="007F0B41"/>
    <w:rsid w:val="007F0C66"/>
    <w:rsid w:val="007F0CC5"/>
    <w:rsid w:val="007F0DF5"/>
    <w:rsid w:val="007F0FBA"/>
    <w:rsid w:val="007F11AC"/>
    <w:rsid w:val="007F122B"/>
    <w:rsid w:val="007F1249"/>
    <w:rsid w:val="007F13EC"/>
    <w:rsid w:val="007F15B1"/>
    <w:rsid w:val="007F15D6"/>
    <w:rsid w:val="007F163D"/>
    <w:rsid w:val="007F1715"/>
    <w:rsid w:val="007F1820"/>
    <w:rsid w:val="007F187C"/>
    <w:rsid w:val="007F1969"/>
    <w:rsid w:val="007F1995"/>
    <w:rsid w:val="007F19EC"/>
    <w:rsid w:val="007F1A80"/>
    <w:rsid w:val="007F1AC9"/>
    <w:rsid w:val="007F1B25"/>
    <w:rsid w:val="007F1E90"/>
    <w:rsid w:val="007F1EBD"/>
    <w:rsid w:val="007F2038"/>
    <w:rsid w:val="007F2064"/>
    <w:rsid w:val="007F20DC"/>
    <w:rsid w:val="007F2239"/>
    <w:rsid w:val="007F2308"/>
    <w:rsid w:val="007F2344"/>
    <w:rsid w:val="007F239B"/>
    <w:rsid w:val="007F2451"/>
    <w:rsid w:val="007F2493"/>
    <w:rsid w:val="007F24F2"/>
    <w:rsid w:val="007F2569"/>
    <w:rsid w:val="007F26E1"/>
    <w:rsid w:val="007F27E0"/>
    <w:rsid w:val="007F2A3A"/>
    <w:rsid w:val="007F2A3B"/>
    <w:rsid w:val="007F2AD5"/>
    <w:rsid w:val="007F2AE8"/>
    <w:rsid w:val="007F2BB4"/>
    <w:rsid w:val="007F2CE1"/>
    <w:rsid w:val="007F2E1F"/>
    <w:rsid w:val="007F309E"/>
    <w:rsid w:val="007F328A"/>
    <w:rsid w:val="007F33AD"/>
    <w:rsid w:val="007F34AA"/>
    <w:rsid w:val="007F34E7"/>
    <w:rsid w:val="007F3534"/>
    <w:rsid w:val="007F3628"/>
    <w:rsid w:val="007F368E"/>
    <w:rsid w:val="007F3773"/>
    <w:rsid w:val="007F37FB"/>
    <w:rsid w:val="007F3836"/>
    <w:rsid w:val="007F38D6"/>
    <w:rsid w:val="007F3C3D"/>
    <w:rsid w:val="007F3C48"/>
    <w:rsid w:val="007F3D66"/>
    <w:rsid w:val="007F3E38"/>
    <w:rsid w:val="007F3E60"/>
    <w:rsid w:val="007F3E70"/>
    <w:rsid w:val="007F3E99"/>
    <w:rsid w:val="007F409A"/>
    <w:rsid w:val="007F40E5"/>
    <w:rsid w:val="007F42C7"/>
    <w:rsid w:val="007F42FE"/>
    <w:rsid w:val="007F435F"/>
    <w:rsid w:val="007F43B2"/>
    <w:rsid w:val="007F44E1"/>
    <w:rsid w:val="007F4501"/>
    <w:rsid w:val="007F45C3"/>
    <w:rsid w:val="007F46DC"/>
    <w:rsid w:val="007F4762"/>
    <w:rsid w:val="007F4A09"/>
    <w:rsid w:val="007F4B49"/>
    <w:rsid w:val="007F4B86"/>
    <w:rsid w:val="007F4B99"/>
    <w:rsid w:val="007F4C2A"/>
    <w:rsid w:val="007F4C6E"/>
    <w:rsid w:val="007F4C7F"/>
    <w:rsid w:val="007F4CF1"/>
    <w:rsid w:val="007F4E29"/>
    <w:rsid w:val="007F4EC7"/>
    <w:rsid w:val="007F4F60"/>
    <w:rsid w:val="007F4F87"/>
    <w:rsid w:val="007F4F9E"/>
    <w:rsid w:val="007F508E"/>
    <w:rsid w:val="007F50AA"/>
    <w:rsid w:val="007F50CC"/>
    <w:rsid w:val="007F5134"/>
    <w:rsid w:val="007F521C"/>
    <w:rsid w:val="007F530B"/>
    <w:rsid w:val="007F5406"/>
    <w:rsid w:val="007F5625"/>
    <w:rsid w:val="007F57E9"/>
    <w:rsid w:val="007F584B"/>
    <w:rsid w:val="007F5A64"/>
    <w:rsid w:val="007F5B48"/>
    <w:rsid w:val="007F5C30"/>
    <w:rsid w:val="007F61C8"/>
    <w:rsid w:val="007F61FE"/>
    <w:rsid w:val="007F624B"/>
    <w:rsid w:val="007F63EA"/>
    <w:rsid w:val="007F641D"/>
    <w:rsid w:val="007F6542"/>
    <w:rsid w:val="007F65A0"/>
    <w:rsid w:val="007F65F1"/>
    <w:rsid w:val="007F6761"/>
    <w:rsid w:val="007F6893"/>
    <w:rsid w:val="007F690E"/>
    <w:rsid w:val="007F6A94"/>
    <w:rsid w:val="007F6CC6"/>
    <w:rsid w:val="007F6CC7"/>
    <w:rsid w:val="007F6E20"/>
    <w:rsid w:val="007F6E54"/>
    <w:rsid w:val="007F6EDE"/>
    <w:rsid w:val="007F6F36"/>
    <w:rsid w:val="007F7021"/>
    <w:rsid w:val="007F74B0"/>
    <w:rsid w:val="007F74FB"/>
    <w:rsid w:val="007F758D"/>
    <w:rsid w:val="007F75BF"/>
    <w:rsid w:val="007F78FE"/>
    <w:rsid w:val="007F7AE2"/>
    <w:rsid w:val="007F7D30"/>
    <w:rsid w:val="007F7E57"/>
    <w:rsid w:val="007F7E91"/>
    <w:rsid w:val="007F7FC1"/>
    <w:rsid w:val="0080004A"/>
    <w:rsid w:val="008002E7"/>
    <w:rsid w:val="0080042B"/>
    <w:rsid w:val="00800567"/>
    <w:rsid w:val="0080059C"/>
    <w:rsid w:val="00800613"/>
    <w:rsid w:val="00800659"/>
    <w:rsid w:val="0080081C"/>
    <w:rsid w:val="008009CD"/>
    <w:rsid w:val="00800B83"/>
    <w:rsid w:val="00800CC7"/>
    <w:rsid w:val="00800F45"/>
    <w:rsid w:val="00800F55"/>
    <w:rsid w:val="00800FE2"/>
    <w:rsid w:val="0080104C"/>
    <w:rsid w:val="00801081"/>
    <w:rsid w:val="00801103"/>
    <w:rsid w:val="00801153"/>
    <w:rsid w:val="00801161"/>
    <w:rsid w:val="008011C8"/>
    <w:rsid w:val="008011CF"/>
    <w:rsid w:val="008012CC"/>
    <w:rsid w:val="008012F3"/>
    <w:rsid w:val="00801386"/>
    <w:rsid w:val="00801471"/>
    <w:rsid w:val="008014D4"/>
    <w:rsid w:val="008014F8"/>
    <w:rsid w:val="00801523"/>
    <w:rsid w:val="008016D2"/>
    <w:rsid w:val="008016DC"/>
    <w:rsid w:val="00801930"/>
    <w:rsid w:val="00801A55"/>
    <w:rsid w:val="00801A71"/>
    <w:rsid w:val="00801B46"/>
    <w:rsid w:val="00801DC6"/>
    <w:rsid w:val="00801EDC"/>
    <w:rsid w:val="00801F76"/>
    <w:rsid w:val="00801FC0"/>
    <w:rsid w:val="008020A8"/>
    <w:rsid w:val="00802147"/>
    <w:rsid w:val="008021BA"/>
    <w:rsid w:val="00802596"/>
    <w:rsid w:val="00802913"/>
    <w:rsid w:val="008029DC"/>
    <w:rsid w:val="00802A04"/>
    <w:rsid w:val="00802ADD"/>
    <w:rsid w:val="00802B58"/>
    <w:rsid w:val="00802C8E"/>
    <w:rsid w:val="00802CDA"/>
    <w:rsid w:val="00802DB3"/>
    <w:rsid w:val="00802DFE"/>
    <w:rsid w:val="00802F06"/>
    <w:rsid w:val="00802FB9"/>
    <w:rsid w:val="00802FC8"/>
    <w:rsid w:val="00802FDE"/>
    <w:rsid w:val="00803006"/>
    <w:rsid w:val="00803055"/>
    <w:rsid w:val="00803177"/>
    <w:rsid w:val="00803222"/>
    <w:rsid w:val="0080322D"/>
    <w:rsid w:val="00803604"/>
    <w:rsid w:val="00803617"/>
    <w:rsid w:val="008037F6"/>
    <w:rsid w:val="0080387F"/>
    <w:rsid w:val="008038C2"/>
    <w:rsid w:val="00803905"/>
    <w:rsid w:val="00803AF0"/>
    <w:rsid w:val="00803AF1"/>
    <w:rsid w:val="00803BF1"/>
    <w:rsid w:val="00803C15"/>
    <w:rsid w:val="00803C1A"/>
    <w:rsid w:val="00803D1B"/>
    <w:rsid w:val="00803DD4"/>
    <w:rsid w:val="00803E04"/>
    <w:rsid w:val="00803E15"/>
    <w:rsid w:val="00803E21"/>
    <w:rsid w:val="00803E52"/>
    <w:rsid w:val="00803F21"/>
    <w:rsid w:val="00803FCD"/>
    <w:rsid w:val="00803FE5"/>
    <w:rsid w:val="0080415B"/>
    <w:rsid w:val="00804163"/>
    <w:rsid w:val="00804259"/>
    <w:rsid w:val="008042AC"/>
    <w:rsid w:val="008042E7"/>
    <w:rsid w:val="008043AC"/>
    <w:rsid w:val="008043EB"/>
    <w:rsid w:val="0080443A"/>
    <w:rsid w:val="00804797"/>
    <w:rsid w:val="00804816"/>
    <w:rsid w:val="0080481F"/>
    <w:rsid w:val="00804884"/>
    <w:rsid w:val="00804A7A"/>
    <w:rsid w:val="00804C7E"/>
    <w:rsid w:val="00804CD5"/>
    <w:rsid w:val="00804DFB"/>
    <w:rsid w:val="00804FA7"/>
    <w:rsid w:val="008051DE"/>
    <w:rsid w:val="00805349"/>
    <w:rsid w:val="00805393"/>
    <w:rsid w:val="00805426"/>
    <w:rsid w:val="00805512"/>
    <w:rsid w:val="00805544"/>
    <w:rsid w:val="008055F9"/>
    <w:rsid w:val="008056E7"/>
    <w:rsid w:val="0080570D"/>
    <w:rsid w:val="00805747"/>
    <w:rsid w:val="008057A2"/>
    <w:rsid w:val="00805802"/>
    <w:rsid w:val="008059A4"/>
    <w:rsid w:val="008059E9"/>
    <w:rsid w:val="00805A17"/>
    <w:rsid w:val="00805A31"/>
    <w:rsid w:val="00805ACD"/>
    <w:rsid w:val="00805B44"/>
    <w:rsid w:val="00805B71"/>
    <w:rsid w:val="00805C54"/>
    <w:rsid w:val="00805D05"/>
    <w:rsid w:val="00805EDF"/>
    <w:rsid w:val="00805FD1"/>
    <w:rsid w:val="0080602D"/>
    <w:rsid w:val="00806135"/>
    <w:rsid w:val="0080622B"/>
    <w:rsid w:val="0080622F"/>
    <w:rsid w:val="008062F8"/>
    <w:rsid w:val="00806301"/>
    <w:rsid w:val="00806378"/>
    <w:rsid w:val="008063EB"/>
    <w:rsid w:val="00806469"/>
    <w:rsid w:val="008064B9"/>
    <w:rsid w:val="008064CE"/>
    <w:rsid w:val="0080684F"/>
    <w:rsid w:val="008068B0"/>
    <w:rsid w:val="008068ED"/>
    <w:rsid w:val="00806949"/>
    <w:rsid w:val="00806A84"/>
    <w:rsid w:val="00806D02"/>
    <w:rsid w:val="00806DFD"/>
    <w:rsid w:val="00806FDD"/>
    <w:rsid w:val="00806FF0"/>
    <w:rsid w:val="008070C8"/>
    <w:rsid w:val="008070EB"/>
    <w:rsid w:val="0080713E"/>
    <w:rsid w:val="00807322"/>
    <w:rsid w:val="00807344"/>
    <w:rsid w:val="00807394"/>
    <w:rsid w:val="008073E1"/>
    <w:rsid w:val="008073F6"/>
    <w:rsid w:val="0080743A"/>
    <w:rsid w:val="008074E5"/>
    <w:rsid w:val="00807635"/>
    <w:rsid w:val="00807668"/>
    <w:rsid w:val="0080798C"/>
    <w:rsid w:val="008079C5"/>
    <w:rsid w:val="00807A47"/>
    <w:rsid w:val="00807B3B"/>
    <w:rsid w:val="00807B6E"/>
    <w:rsid w:val="00807C05"/>
    <w:rsid w:val="00807C5B"/>
    <w:rsid w:val="00807CA4"/>
    <w:rsid w:val="00807E77"/>
    <w:rsid w:val="00807F5B"/>
    <w:rsid w:val="00807F73"/>
    <w:rsid w:val="00807F8F"/>
    <w:rsid w:val="0081005B"/>
    <w:rsid w:val="0081009A"/>
    <w:rsid w:val="00810360"/>
    <w:rsid w:val="0081036D"/>
    <w:rsid w:val="008103FE"/>
    <w:rsid w:val="00810530"/>
    <w:rsid w:val="00810532"/>
    <w:rsid w:val="0081056B"/>
    <w:rsid w:val="008105B6"/>
    <w:rsid w:val="008108F0"/>
    <w:rsid w:val="0081093F"/>
    <w:rsid w:val="00810A9E"/>
    <w:rsid w:val="00810ABF"/>
    <w:rsid w:val="00810BD1"/>
    <w:rsid w:val="00810C6D"/>
    <w:rsid w:val="00810D90"/>
    <w:rsid w:val="00810D92"/>
    <w:rsid w:val="00810E3D"/>
    <w:rsid w:val="00810E85"/>
    <w:rsid w:val="00810F9F"/>
    <w:rsid w:val="0081100D"/>
    <w:rsid w:val="0081106E"/>
    <w:rsid w:val="008111FF"/>
    <w:rsid w:val="0081154B"/>
    <w:rsid w:val="008115E3"/>
    <w:rsid w:val="0081160E"/>
    <w:rsid w:val="00811772"/>
    <w:rsid w:val="008118EA"/>
    <w:rsid w:val="00811A07"/>
    <w:rsid w:val="00811A99"/>
    <w:rsid w:val="00811B42"/>
    <w:rsid w:val="00811DF6"/>
    <w:rsid w:val="00811E6D"/>
    <w:rsid w:val="008120F5"/>
    <w:rsid w:val="008121BE"/>
    <w:rsid w:val="008121FD"/>
    <w:rsid w:val="008122E7"/>
    <w:rsid w:val="0081237B"/>
    <w:rsid w:val="0081257F"/>
    <w:rsid w:val="008127DB"/>
    <w:rsid w:val="00812818"/>
    <w:rsid w:val="008128A2"/>
    <w:rsid w:val="0081290D"/>
    <w:rsid w:val="00812B09"/>
    <w:rsid w:val="00812C07"/>
    <w:rsid w:val="00812CD7"/>
    <w:rsid w:val="00812EB9"/>
    <w:rsid w:val="00812F25"/>
    <w:rsid w:val="00812FE4"/>
    <w:rsid w:val="00813115"/>
    <w:rsid w:val="00813207"/>
    <w:rsid w:val="00813225"/>
    <w:rsid w:val="008133B2"/>
    <w:rsid w:val="0081345E"/>
    <w:rsid w:val="008134CB"/>
    <w:rsid w:val="008136A7"/>
    <w:rsid w:val="008136C9"/>
    <w:rsid w:val="00813940"/>
    <w:rsid w:val="00813A00"/>
    <w:rsid w:val="00813B0D"/>
    <w:rsid w:val="00813CAA"/>
    <w:rsid w:val="00813D3C"/>
    <w:rsid w:val="00813DE8"/>
    <w:rsid w:val="00813E32"/>
    <w:rsid w:val="00813ECB"/>
    <w:rsid w:val="00813F51"/>
    <w:rsid w:val="00813F67"/>
    <w:rsid w:val="00813F6A"/>
    <w:rsid w:val="0081401F"/>
    <w:rsid w:val="008141DC"/>
    <w:rsid w:val="00814607"/>
    <w:rsid w:val="00814768"/>
    <w:rsid w:val="008149FA"/>
    <w:rsid w:val="008149FE"/>
    <w:rsid w:val="00814F79"/>
    <w:rsid w:val="00815175"/>
    <w:rsid w:val="0081530A"/>
    <w:rsid w:val="00815334"/>
    <w:rsid w:val="0081546E"/>
    <w:rsid w:val="0081549D"/>
    <w:rsid w:val="00815517"/>
    <w:rsid w:val="008156E9"/>
    <w:rsid w:val="0081574E"/>
    <w:rsid w:val="0081576F"/>
    <w:rsid w:val="008157E6"/>
    <w:rsid w:val="00815B80"/>
    <w:rsid w:val="00815CC5"/>
    <w:rsid w:val="00815DAE"/>
    <w:rsid w:val="00815DE2"/>
    <w:rsid w:val="00815DF7"/>
    <w:rsid w:val="00815EE2"/>
    <w:rsid w:val="0081653B"/>
    <w:rsid w:val="0081663E"/>
    <w:rsid w:val="008166FB"/>
    <w:rsid w:val="00816746"/>
    <w:rsid w:val="00816751"/>
    <w:rsid w:val="00816754"/>
    <w:rsid w:val="00816778"/>
    <w:rsid w:val="00816889"/>
    <w:rsid w:val="008168B6"/>
    <w:rsid w:val="00816928"/>
    <w:rsid w:val="0081694B"/>
    <w:rsid w:val="008169C8"/>
    <w:rsid w:val="008169CA"/>
    <w:rsid w:val="00816A2B"/>
    <w:rsid w:val="00816A6A"/>
    <w:rsid w:val="00816A81"/>
    <w:rsid w:val="00816B8C"/>
    <w:rsid w:val="00816D6B"/>
    <w:rsid w:val="00816E84"/>
    <w:rsid w:val="00816FAD"/>
    <w:rsid w:val="008170C8"/>
    <w:rsid w:val="008170CC"/>
    <w:rsid w:val="00817160"/>
    <w:rsid w:val="008172BC"/>
    <w:rsid w:val="008172FE"/>
    <w:rsid w:val="008174CE"/>
    <w:rsid w:val="0081750E"/>
    <w:rsid w:val="00817524"/>
    <w:rsid w:val="00817621"/>
    <w:rsid w:val="00817637"/>
    <w:rsid w:val="008176C0"/>
    <w:rsid w:val="0081772B"/>
    <w:rsid w:val="0081776E"/>
    <w:rsid w:val="00817975"/>
    <w:rsid w:val="00817ADA"/>
    <w:rsid w:val="00817C43"/>
    <w:rsid w:val="00817C92"/>
    <w:rsid w:val="00817EA9"/>
    <w:rsid w:val="00817F41"/>
    <w:rsid w:val="00817F6D"/>
    <w:rsid w:val="00817FFC"/>
    <w:rsid w:val="0082032C"/>
    <w:rsid w:val="00820338"/>
    <w:rsid w:val="00820345"/>
    <w:rsid w:val="00820413"/>
    <w:rsid w:val="008205F9"/>
    <w:rsid w:val="00820661"/>
    <w:rsid w:val="00820679"/>
    <w:rsid w:val="0082068D"/>
    <w:rsid w:val="00820715"/>
    <w:rsid w:val="008208D1"/>
    <w:rsid w:val="008208E6"/>
    <w:rsid w:val="00820932"/>
    <w:rsid w:val="00820962"/>
    <w:rsid w:val="00820AAD"/>
    <w:rsid w:val="00820BF4"/>
    <w:rsid w:val="00820D1F"/>
    <w:rsid w:val="00820DA5"/>
    <w:rsid w:val="00820E9A"/>
    <w:rsid w:val="00820F00"/>
    <w:rsid w:val="00820F2D"/>
    <w:rsid w:val="008210B5"/>
    <w:rsid w:val="008210F3"/>
    <w:rsid w:val="00821102"/>
    <w:rsid w:val="008211A1"/>
    <w:rsid w:val="00821221"/>
    <w:rsid w:val="0082125A"/>
    <w:rsid w:val="0082134E"/>
    <w:rsid w:val="00821428"/>
    <w:rsid w:val="0082182C"/>
    <w:rsid w:val="0082185E"/>
    <w:rsid w:val="008219A4"/>
    <w:rsid w:val="008219FA"/>
    <w:rsid w:val="00821BFF"/>
    <w:rsid w:val="00821C6E"/>
    <w:rsid w:val="00821D2E"/>
    <w:rsid w:val="00821D86"/>
    <w:rsid w:val="00821DED"/>
    <w:rsid w:val="00821F4A"/>
    <w:rsid w:val="00821F5D"/>
    <w:rsid w:val="00821F7B"/>
    <w:rsid w:val="008221DA"/>
    <w:rsid w:val="008223F9"/>
    <w:rsid w:val="008224E9"/>
    <w:rsid w:val="0082252E"/>
    <w:rsid w:val="0082261E"/>
    <w:rsid w:val="008227A8"/>
    <w:rsid w:val="008227B0"/>
    <w:rsid w:val="00822AD2"/>
    <w:rsid w:val="00822BEB"/>
    <w:rsid w:val="00822CC0"/>
    <w:rsid w:val="00822CC8"/>
    <w:rsid w:val="00823126"/>
    <w:rsid w:val="00823203"/>
    <w:rsid w:val="00823246"/>
    <w:rsid w:val="008232E0"/>
    <w:rsid w:val="008232F4"/>
    <w:rsid w:val="0082337C"/>
    <w:rsid w:val="008233D3"/>
    <w:rsid w:val="008233FF"/>
    <w:rsid w:val="008234D8"/>
    <w:rsid w:val="00823580"/>
    <w:rsid w:val="008235A3"/>
    <w:rsid w:val="00823650"/>
    <w:rsid w:val="008236A6"/>
    <w:rsid w:val="008238C0"/>
    <w:rsid w:val="008239CC"/>
    <w:rsid w:val="00823A13"/>
    <w:rsid w:val="00823AC5"/>
    <w:rsid w:val="00823BCC"/>
    <w:rsid w:val="00823BE6"/>
    <w:rsid w:val="00823BF5"/>
    <w:rsid w:val="00823C0B"/>
    <w:rsid w:val="00823C2F"/>
    <w:rsid w:val="00823CEC"/>
    <w:rsid w:val="00823DB3"/>
    <w:rsid w:val="00823DB4"/>
    <w:rsid w:val="00823DC3"/>
    <w:rsid w:val="00823ED5"/>
    <w:rsid w:val="008241BA"/>
    <w:rsid w:val="0082433A"/>
    <w:rsid w:val="0082434C"/>
    <w:rsid w:val="008243AA"/>
    <w:rsid w:val="008243C4"/>
    <w:rsid w:val="00824473"/>
    <w:rsid w:val="00824485"/>
    <w:rsid w:val="008247D3"/>
    <w:rsid w:val="0082490B"/>
    <w:rsid w:val="00824958"/>
    <w:rsid w:val="00824B4D"/>
    <w:rsid w:val="00824DD9"/>
    <w:rsid w:val="00824FFE"/>
    <w:rsid w:val="008251CB"/>
    <w:rsid w:val="008252C9"/>
    <w:rsid w:val="008253BA"/>
    <w:rsid w:val="00825428"/>
    <w:rsid w:val="00825477"/>
    <w:rsid w:val="00825497"/>
    <w:rsid w:val="0082549D"/>
    <w:rsid w:val="0082551D"/>
    <w:rsid w:val="00825841"/>
    <w:rsid w:val="00825940"/>
    <w:rsid w:val="00825B0C"/>
    <w:rsid w:val="00825B91"/>
    <w:rsid w:val="00825CE2"/>
    <w:rsid w:val="00825D84"/>
    <w:rsid w:val="00825EE9"/>
    <w:rsid w:val="00825F23"/>
    <w:rsid w:val="008260C8"/>
    <w:rsid w:val="00826130"/>
    <w:rsid w:val="00826179"/>
    <w:rsid w:val="008262AA"/>
    <w:rsid w:val="00826318"/>
    <w:rsid w:val="00826372"/>
    <w:rsid w:val="008263D5"/>
    <w:rsid w:val="00826533"/>
    <w:rsid w:val="008265A5"/>
    <w:rsid w:val="008265AE"/>
    <w:rsid w:val="00826610"/>
    <w:rsid w:val="0082663C"/>
    <w:rsid w:val="0082671D"/>
    <w:rsid w:val="00826849"/>
    <w:rsid w:val="0082686C"/>
    <w:rsid w:val="00826993"/>
    <w:rsid w:val="008269DF"/>
    <w:rsid w:val="00826A43"/>
    <w:rsid w:val="00826B46"/>
    <w:rsid w:val="00826B8B"/>
    <w:rsid w:val="00826CC7"/>
    <w:rsid w:val="00826D04"/>
    <w:rsid w:val="00826E8E"/>
    <w:rsid w:val="00826F5C"/>
    <w:rsid w:val="008270B9"/>
    <w:rsid w:val="008271FE"/>
    <w:rsid w:val="0082722B"/>
    <w:rsid w:val="00827270"/>
    <w:rsid w:val="008272FA"/>
    <w:rsid w:val="00827347"/>
    <w:rsid w:val="00827551"/>
    <w:rsid w:val="0082759D"/>
    <w:rsid w:val="0082768D"/>
    <w:rsid w:val="0082770C"/>
    <w:rsid w:val="008277C4"/>
    <w:rsid w:val="00827805"/>
    <w:rsid w:val="00827952"/>
    <w:rsid w:val="00827B8F"/>
    <w:rsid w:val="00827C4F"/>
    <w:rsid w:val="00827C9D"/>
    <w:rsid w:val="00827D39"/>
    <w:rsid w:val="00827D7A"/>
    <w:rsid w:val="00827D93"/>
    <w:rsid w:val="00827EB4"/>
    <w:rsid w:val="00827F91"/>
    <w:rsid w:val="0083003B"/>
    <w:rsid w:val="008300B2"/>
    <w:rsid w:val="008301A6"/>
    <w:rsid w:val="0083026A"/>
    <w:rsid w:val="0083027A"/>
    <w:rsid w:val="00830326"/>
    <w:rsid w:val="008303B5"/>
    <w:rsid w:val="008303F5"/>
    <w:rsid w:val="00830449"/>
    <w:rsid w:val="008304B6"/>
    <w:rsid w:val="008304FD"/>
    <w:rsid w:val="00830737"/>
    <w:rsid w:val="008307CB"/>
    <w:rsid w:val="0083081A"/>
    <w:rsid w:val="00830841"/>
    <w:rsid w:val="00830895"/>
    <w:rsid w:val="00830A50"/>
    <w:rsid w:val="00830AE6"/>
    <w:rsid w:val="00830C7B"/>
    <w:rsid w:val="00830E7C"/>
    <w:rsid w:val="00830FD4"/>
    <w:rsid w:val="0083104A"/>
    <w:rsid w:val="0083106C"/>
    <w:rsid w:val="008311BD"/>
    <w:rsid w:val="00831327"/>
    <w:rsid w:val="00831456"/>
    <w:rsid w:val="0083166E"/>
    <w:rsid w:val="008316B9"/>
    <w:rsid w:val="008316BA"/>
    <w:rsid w:val="008316D8"/>
    <w:rsid w:val="0083176D"/>
    <w:rsid w:val="008318FC"/>
    <w:rsid w:val="00831A13"/>
    <w:rsid w:val="00831AC4"/>
    <w:rsid w:val="00831B8D"/>
    <w:rsid w:val="00831BFB"/>
    <w:rsid w:val="00831C67"/>
    <w:rsid w:val="00831D44"/>
    <w:rsid w:val="00831FDB"/>
    <w:rsid w:val="008320E9"/>
    <w:rsid w:val="00832127"/>
    <w:rsid w:val="0083212F"/>
    <w:rsid w:val="008321B9"/>
    <w:rsid w:val="008321DB"/>
    <w:rsid w:val="008322BF"/>
    <w:rsid w:val="008323FC"/>
    <w:rsid w:val="00832481"/>
    <w:rsid w:val="00832667"/>
    <w:rsid w:val="00832684"/>
    <w:rsid w:val="0083273A"/>
    <w:rsid w:val="008327CB"/>
    <w:rsid w:val="00832851"/>
    <w:rsid w:val="00832BB1"/>
    <w:rsid w:val="00832C9F"/>
    <w:rsid w:val="00832E17"/>
    <w:rsid w:val="00832F87"/>
    <w:rsid w:val="008331F8"/>
    <w:rsid w:val="008332E6"/>
    <w:rsid w:val="008333AC"/>
    <w:rsid w:val="0083347D"/>
    <w:rsid w:val="0083371B"/>
    <w:rsid w:val="00833995"/>
    <w:rsid w:val="00833BB2"/>
    <w:rsid w:val="00833BD1"/>
    <w:rsid w:val="00833EC0"/>
    <w:rsid w:val="00834213"/>
    <w:rsid w:val="0083422D"/>
    <w:rsid w:val="00834244"/>
    <w:rsid w:val="008342D9"/>
    <w:rsid w:val="00834352"/>
    <w:rsid w:val="0083444D"/>
    <w:rsid w:val="008344DA"/>
    <w:rsid w:val="00834882"/>
    <w:rsid w:val="00834945"/>
    <w:rsid w:val="0083495F"/>
    <w:rsid w:val="008349A4"/>
    <w:rsid w:val="00834A22"/>
    <w:rsid w:val="00834C0E"/>
    <w:rsid w:val="00834D2D"/>
    <w:rsid w:val="00834D76"/>
    <w:rsid w:val="00834E15"/>
    <w:rsid w:val="0083512E"/>
    <w:rsid w:val="0083515F"/>
    <w:rsid w:val="008351D3"/>
    <w:rsid w:val="0083532D"/>
    <w:rsid w:val="0083547E"/>
    <w:rsid w:val="008354BF"/>
    <w:rsid w:val="008355AB"/>
    <w:rsid w:val="00835689"/>
    <w:rsid w:val="00835751"/>
    <w:rsid w:val="008357EC"/>
    <w:rsid w:val="00835831"/>
    <w:rsid w:val="008358C9"/>
    <w:rsid w:val="00835A33"/>
    <w:rsid w:val="00835B2B"/>
    <w:rsid w:val="00835B69"/>
    <w:rsid w:val="00835B8B"/>
    <w:rsid w:val="00835BC5"/>
    <w:rsid w:val="00835C3B"/>
    <w:rsid w:val="00835CCB"/>
    <w:rsid w:val="00835E48"/>
    <w:rsid w:val="00836017"/>
    <w:rsid w:val="00836262"/>
    <w:rsid w:val="008363AF"/>
    <w:rsid w:val="008365B5"/>
    <w:rsid w:val="008366C9"/>
    <w:rsid w:val="0083686A"/>
    <w:rsid w:val="008369D1"/>
    <w:rsid w:val="008369D8"/>
    <w:rsid w:val="00836A7F"/>
    <w:rsid w:val="00836A8E"/>
    <w:rsid w:val="00836ACE"/>
    <w:rsid w:val="00836C73"/>
    <w:rsid w:val="00837065"/>
    <w:rsid w:val="008371B8"/>
    <w:rsid w:val="008371CE"/>
    <w:rsid w:val="008371EA"/>
    <w:rsid w:val="008372A4"/>
    <w:rsid w:val="008372AA"/>
    <w:rsid w:val="008372AE"/>
    <w:rsid w:val="00837395"/>
    <w:rsid w:val="008373F5"/>
    <w:rsid w:val="008374CA"/>
    <w:rsid w:val="0083753D"/>
    <w:rsid w:val="0083794C"/>
    <w:rsid w:val="0083799E"/>
    <w:rsid w:val="00837A86"/>
    <w:rsid w:val="00837AB7"/>
    <w:rsid w:val="00837BB1"/>
    <w:rsid w:val="00837BFD"/>
    <w:rsid w:val="00837D48"/>
    <w:rsid w:val="00837E7A"/>
    <w:rsid w:val="00837EC3"/>
    <w:rsid w:val="00837F2B"/>
    <w:rsid w:val="00840153"/>
    <w:rsid w:val="00840412"/>
    <w:rsid w:val="008405C8"/>
    <w:rsid w:val="00840663"/>
    <w:rsid w:val="0084072D"/>
    <w:rsid w:val="00840946"/>
    <w:rsid w:val="008409AF"/>
    <w:rsid w:val="00840AFB"/>
    <w:rsid w:val="00840BCE"/>
    <w:rsid w:val="00840D35"/>
    <w:rsid w:val="00840DC1"/>
    <w:rsid w:val="00840E50"/>
    <w:rsid w:val="00841221"/>
    <w:rsid w:val="008413AF"/>
    <w:rsid w:val="008413C4"/>
    <w:rsid w:val="008413D1"/>
    <w:rsid w:val="008414E6"/>
    <w:rsid w:val="008414FA"/>
    <w:rsid w:val="00841526"/>
    <w:rsid w:val="00841570"/>
    <w:rsid w:val="0084163A"/>
    <w:rsid w:val="008416C3"/>
    <w:rsid w:val="008416E0"/>
    <w:rsid w:val="0084175D"/>
    <w:rsid w:val="008417F1"/>
    <w:rsid w:val="0084183E"/>
    <w:rsid w:val="0084189B"/>
    <w:rsid w:val="0084192E"/>
    <w:rsid w:val="00841992"/>
    <w:rsid w:val="00841A19"/>
    <w:rsid w:val="00841BE4"/>
    <w:rsid w:val="00841BF9"/>
    <w:rsid w:val="00841C51"/>
    <w:rsid w:val="00841CAE"/>
    <w:rsid w:val="00841CF2"/>
    <w:rsid w:val="00841D4B"/>
    <w:rsid w:val="00841E9F"/>
    <w:rsid w:val="0084204A"/>
    <w:rsid w:val="00842104"/>
    <w:rsid w:val="00842190"/>
    <w:rsid w:val="008421C0"/>
    <w:rsid w:val="00842246"/>
    <w:rsid w:val="00842265"/>
    <w:rsid w:val="008422C5"/>
    <w:rsid w:val="008422FE"/>
    <w:rsid w:val="00842366"/>
    <w:rsid w:val="00842400"/>
    <w:rsid w:val="0084249E"/>
    <w:rsid w:val="008424B0"/>
    <w:rsid w:val="008424C5"/>
    <w:rsid w:val="008424E0"/>
    <w:rsid w:val="00842554"/>
    <w:rsid w:val="0084261F"/>
    <w:rsid w:val="00842665"/>
    <w:rsid w:val="008426DA"/>
    <w:rsid w:val="0084272B"/>
    <w:rsid w:val="0084272F"/>
    <w:rsid w:val="00842771"/>
    <w:rsid w:val="00842780"/>
    <w:rsid w:val="00842793"/>
    <w:rsid w:val="00842799"/>
    <w:rsid w:val="008428C7"/>
    <w:rsid w:val="00842A0D"/>
    <w:rsid w:val="00842AA0"/>
    <w:rsid w:val="00842B8A"/>
    <w:rsid w:val="00842BD1"/>
    <w:rsid w:val="00842DE2"/>
    <w:rsid w:val="00842E4E"/>
    <w:rsid w:val="00842F09"/>
    <w:rsid w:val="00842F3B"/>
    <w:rsid w:val="00842F67"/>
    <w:rsid w:val="00843030"/>
    <w:rsid w:val="00843043"/>
    <w:rsid w:val="008430DD"/>
    <w:rsid w:val="00843160"/>
    <w:rsid w:val="0084324B"/>
    <w:rsid w:val="008432F9"/>
    <w:rsid w:val="00843428"/>
    <w:rsid w:val="008434A7"/>
    <w:rsid w:val="0084365F"/>
    <w:rsid w:val="00843764"/>
    <w:rsid w:val="00843836"/>
    <w:rsid w:val="00843865"/>
    <w:rsid w:val="00843926"/>
    <w:rsid w:val="0084394F"/>
    <w:rsid w:val="008439A0"/>
    <w:rsid w:val="00843ACE"/>
    <w:rsid w:val="00843B5E"/>
    <w:rsid w:val="00843C42"/>
    <w:rsid w:val="00843C5B"/>
    <w:rsid w:val="00843D1A"/>
    <w:rsid w:val="00843DEC"/>
    <w:rsid w:val="00843E48"/>
    <w:rsid w:val="00843E6F"/>
    <w:rsid w:val="00843FA6"/>
    <w:rsid w:val="00844039"/>
    <w:rsid w:val="00844188"/>
    <w:rsid w:val="008441FC"/>
    <w:rsid w:val="008444A2"/>
    <w:rsid w:val="00844565"/>
    <w:rsid w:val="00844579"/>
    <w:rsid w:val="0084463E"/>
    <w:rsid w:val="008446A5"/>
    <w:rsid w:val="008446BD"/>
    <w:rsid w:val="00844895"/>
    <w:rsid w:val="00844917"/>
    <w:rsid w:val="00844A1C"/>
    <w:rsid w:val="00844AFE"/>
    <w:rsid w:val="00844B23"/>
    <w:rsid w:val="00844CA6"/>
    <w:rsid w:val="00844D5D"/>
    <w:rsid w:val="00844D86"/>
    <w:rsid w:val="00844DC1"/>
    <w:rsid w:val="00844E98"/>
    <w:rsid w:val="00844EDD"/>
    <w:rsid w:val="00844F84"/>
    <w:rsid w:val="008450BF"/>
    <w:rsid w:val="0084510C"/>
    <w:rsid w:val="00845126"/>
    <w:rsid w:val="008451EE"/>
    <w:rsid w:val="008453CB"/>
    <w:rsid w:val="008455EB"/>
    <w:rsid w:val="00845789"/>
    <w:rsid w:val="008457AC"/>
    <w:rsid w:val="00845816"/>
    <w:rsid w:val="0084589F"/>
    <w:rsid w:val="008459BD"/>
    <w:rsid w:val="00845A3E"/>
    <w:rsid w:val="00845A4C"/>
    <w:rsid w:val="00845A78"/>
    <w:rsid w:val="00845BBE"/>
    <w:rsid w:val="00845D08"/>
    <w:rsid w:val="00845D18"/>
    <w:rsid w:val="00845E3F"/>
    <w:rsid w:val="00845E8B"/>
    <w:rsid w:val="00845FD4"/>
    <w:rsid w:val="00846158"/>
    <w:rsid w:val="008461D8"/>
    <w:rsid w:val="008461EB"/>
    <w:rsid w:val="00846252"/>
    <w:rsid w:val="008463B6"/>
    <w:rsid w:val="00846415"/>
    <w:rsid w:val="00846550"/>
    <w:rsid w:val="00846649"/>
    <w:rsid w:val="008466EC"/>
    <w:rsid w:val="0084687B"/>
    <w:rsid w:val="00846BFF"/>
    <w:rsid w:val="00846DE7"/>
    <w:rsid w:val="00846E95"/>
    <w:rsid w:val="00846F31"/>
    <w:rsid w:val="00846F5F"/>
    <w:rsid w:val="0084705F"/>
    <w:rsid w:val="0084717B"/>
    <w:rsid w:val="00847183"/>
    <w:rsid w:val="008471E6"/>
    <w:rsid w:val="008474D9"/>
    <w:rsid w:val="008475E9"/>
    <w:rsid w:val="008476D4"/>
    <w:rsid w:val="00847973"/>
    <w:rsid w:val="00847975"/>
    <w:rsid w:val="008479D4"/>
    <w:rsid w:val="00847AB0"/>
    <w:rsid w:val="00847B27"/>
    <w:rsid w:val="00847C79"/>
    <w:rsid w:val="00847CC0"/>
    <w:rsid w:val="00847CE1"/>
    <w:rsid w:val="00847D69"/>
    <w:rsid w:val="00847DCF"/>
    <w:rsid w:val="00847DE0"/>
    <w:rsid w:val="00847F10"/>
    <w:rsid w:val="00847F45"/>
    <w:rsid w:val="00847FF8"/>
    <w:rsid w:val="00850230"/>
    <w:rsid w:val="00850242"/>
    <w:rsid w:val="0085039B"/>
    <w:rsid w:val="008503FA"/>
    <w:rsid w:val="008507AB"/>
    <w:rsid w:val="00850827"/>
    <w:rsid w:val="008508C1"/>
    <w:rsid w:val="0085093E"/>
    <w:rsid w:val="00850A46"/>
    <w:rsid w:val="00850B62"/>
    <w:rsid w:val="00850C07"/>
    <w:rsid w:val="00850C3F"/>
    <w:rsid w:val="00850C9B"/>
    <w:rsid w:val="00850CFB"/>
    <w:rsid w:val="00850EA7"/>
    <w:rsid w:val="00851237"/>
    <w:rsid w:val="00851303"/>
    <w:rsid w:val="00851699"/>
    <w:rsid w:val="0085174E"/>
    <w:rsid w:val="00851780"/>
    <w:rsid w:val="008517C8"/>
    <w:rsid w:val="00851896"/>
    <w:rsid w:val="0085195B"/>
    <w:rsid w:val="00851B18"/>
    <w:rsid w:val="00851B32"/>
    <w:rsid w:val="00851B3A"/>
    <w:rsid w:val="00851C8B"/>
    <w:rsid w:val="00851D4A"/>
    <w:rsid w:val="00851DC7"/>
    <w:rsid w:val="00852061"/>
    <w:rsid w:val="008520B1"/>
    <w:rsid w:val="008520EE"/>
    <w:rsid w:val="00852385"/>
    <w:rsid w:val="00852443"/>
    <w:rsid w:val="00852485"/>
    <w:rsid w:val="00852497"/>
    <w:rsid w:val="008524E7"/>
    <w:rsid w:val="00852546"/>
    <w:rsid w:val="0085257B"/>
    <w:rsid w:val="00852851"/>
    <w:rsid w:val="008528AF"/>
    <w:rsid w:val="00852909"/>
    <w:rsid w:val="008529B1"/>
    <w:rsid w:val="008529FF"/>
    <w:rsid w:val="00852AC4"/>
    <w:rsid w:val="00852BE7"/>
    <w:rsid w:val="00852C1F"/>
    <w:rsid w:val="00852D0C"/>
    <w:rsid w:val="00852E64"/>
    <w:rsid w:val="00852F1B"/>
    <w:rsid w:val="00853429"/>
    <w:rsid w:val="00853441"/>
    <w:rsid w:val="008534F8"/>
    <w:rsid w:val="008536F5"/>
    <w:rsid w:val="0085380C"/>
    <w:rsid w:val="008538C8"/>
    <w:rsid w:val="008539BA"/>
    <w:rsid w:val="008539C0"/>
    <w:rsid w:val="00853A2E"/>
    <w:rsid w:val="00853EE7"/>
    <w:rsid w:val="0085407F"/>
    <w:rsid w:val="008540F2"/>
    <w:rsid w:val="00854133"/>
    <w:rsid w:val="0085416A"/>
    <w:rsid w:val="008541F2"/>
    <w:rsid w:val="00854381"/>
    <w:rsid w:val="0085438E"/>
    <w:rsid w:val="008543F9"/>
    <w:rsid w:val="00854433"/>
    <w:rsid w:val="00854543"/>
    <w:rsid w:val="00854632"/>
    <w:rsid w:val="0085465A"/>
    <w:rsid w:val="00854671"/>
    <w:rsid w:val="00854721"/>
    <w:rsid w:val="00854725"/>
    <w:rsid w:val="00854888"/>
    <w:rsid w:val="008548EA"/>
    <w:rsid w:val="008548F6"/>
    <w:rsid w:val="00854988"/>
    <w:rsid w:val="00854A20"/>
    <w:rsid w:val="00854A9B"/>
    <w:rsid w:val="00854ADA"/>
    <w:rsid w:val="00854CDC"/>
    <w:rsid w:val="00854D6C"/>
    <w:rsid w:val="00854DEB"/>
    <w:rsid w:val="00854E89"/>
    <w:rsid w:val="00855006"/>
    <w:rsid w:val="00855051"/>
    <w:rsid w:val="00855063"/>
    <w:rsid w:val="00855188"/>
    <w:rsid w:val="00855212"/>
    <w:rsid w:val="00855304"/>
    <w:rsid w:val="0085539E"/>
    <w:rsid w:val="00855405"/>
    <w:rsid w:val="0085543F"/>
    <w:rsid w:val="00855451"/>
    <w:rsid w:val="0085550A"/>
    <w:rsid w:val="00855691"/>
    <w:rsid w:val="00855700"/>
    <w:rsid w:val="00855822"/>
    <w:rsid w:val="0085583E"/>
    <w:rsid w:val="00855899"/>
    <w:rsid w:val="008559E4"/>
    <w:rsid w:val="00855B1F"/>
    <w:rsid w:val="00855BF3"/>
    <w:rsid w:val="00855C9D"/>
    <w:rsid w:val="00855DB9"/>
    <w:rsid w:val="00856009"/>
    <w:rsid w:val="008562B6"/>
    <w:rsid w:val="0085632A"/>
    <w:rsid w:val="00856335"/>
    <w:rsid w:val="0085636E"/>
    <w:rsid w:val="00856471"/>
    <w:rsid w:val="008566BA"/>
    <w:rsid w:val="00856730"/>
    <w:rsid w:val="00856849"/>
    <w:rsid w:val="00856BAE"/>
    <w:rsid w:val="00856D68"/>
    <w:rsid w:val="00856DE4"/>
    <w:rsid w:val="00856E62"/>
    <w:rsid w:val="00856E8B"/>
    <w:rsid w:val="00856FAA"/>
    <w:rsid w:val="00856FC1"/>
    <w:rsid w:val="008570E7"/>
    <w:rsid w:val="008571B8"/>
    <w:rsid w:val="008572FB"/>
    <w:rsid w:val="0085737E"/>
    <w:rsid w:val="00857615"/>
    <w:rsid w:val="00857653"/>
    <w:rsid w:val="008576A2"/>
    <w:rsid w:val="00857744"/>
    <w:rsid w:val="008578ED"/>
    <w:rsid w:val="00857914"/>
    <w:rsid w:val="008579A6"/>
    <w:rsid w:val="008579B0"/>
    <w:rsid w:val="008579FE"/>
    <w:rsid w:val="00857AE0"/>
    <w:rsid w:val="00857C0B"/>
    <w:rsid w:val="00857C3E"/>
    <w:rsid w:val="00857CF3"/>
    <w:rsid w:val="00857CFA"/>
    <w:rsid w:val="00857D05"/>
    <w:rsid w:val="00857DF4"/>
    <w:rsid w:val="0086008B"/>
    <w:rsid w:val="008600A6"/>
    <w:rsid w:val="0086021D"/>
    <w:rsid w:val="00860538"/>
    <w:rsid w:val="0086061F"/>
    <w:rsid w:val="00860663"/>
    <w:rsid w:val="008608D4"/>
    <w:rsid w:val="00860927"/>
    <w:rsid w:val="00860C8E"/>
    <w:rsid w:val="00860CB5"/>
    <w:rsid w:val="00860CCA"/>
    <w:rsid w:val="00860D31"/>
    <w:rsid w:val="00860F1E"/>
    <w:rsid w:val="00860F27"/>
    <w:rsid w:val="00860FE5"/>
    <w:rsid w:val="00860FEB"/>
    <w:rsid w:val="00861166"/>
    <w:rsid w:val="008612DF"/>
    <w:rsid w:val="008614D9"/>
    <w:rsid w:val="00861595"/>
    <w:rsid w:val="0086171A"/>
    <w:rsid w:val="00861838"/>
    <w:rsid w:val="008618EA"/>
    <w:rsid w:val="00861909"/>
    <w:rsid w:val="00861BD5"/>
    <w:rsid w:val="00861C83"/>
    <w:rsid w:val="00861D42"/>
    <w:rsid w:val="00861D78"/>
    <w:rsid w:val="00861E53"/>
    <w:rsid w:val="00861E63"/>
    <w:rsid w:val="00861F1B"/>
    <w:rsid w:val="00862105"/>
    <w:rsid w:val="008621BD"/>
    <w:rsid w:val="0086221D"/>
    <w:rsid w:val="0086228A"/>
    <w:rsid w:val="008622A2"/>
    <w:rsid w:val="008622D9"/>
    <w:rsid w:val="008623DD"/>
    <w:rsid w:val="0086245E"/>
    <w:rsid w:val="008624C1"/>
    <w:rsid w:val="008624F1"/>
    <w:rsid w:val="0086263C"/>
    <w:rsid w:val="0086267A"/>
    <w:rsid w:val="00862947"/>
    <w:rsid w:val="00862A04"/>
    <w:rsid w:val="00862A07"/>
    <w:rsid w:val="00862A64"/>
    <w:rsid w:val="00862AEC"/>
    <w:rsid w:val="00862B19"/>
    <w:rsid w:val="00862C75"/>
    <w:rsid w:val="00862CE7"/>
    <w:rsid w:val="00862E2E"/>
    <w:rsid w:val="0086306B"/>
    <w:rsid w:val="008630CA"/>
    <w:rsid w:val="008630DB"/>
    <w:rsid w:val="00863335"/>
    <w:rsid w:val="008633A7"/>
    <w:rsid w:val="008633CE"/>
    <w:rsid w:val="00863426"/>
    <w:rsid w:val="00863468"/>
    <w:rsid w:val="0086346C"/>
    <w:rsid w:val="008634E4"/>
    <w:rsid w:val="0086367F"/>
    <w:rsid w:val="008638B7"/>
    <w:rsid w:val="008638E0"/>
    <w:rsid w:val="00863B0C"/>
    <w:rsid w:val="00863B18"/>
    <w:rsid w:val="00863CCF"/>
    <w:rsid w:val="00863D8B"/>
    <w:rsid w:val="00863E0C"/>
    <w:rsid w:val="00863E22"/>
    <w:rsid w:val="00863E8C"/>
    <w:rsid w:val="00863E94"/>
    <w:rsid w:val="00863F32"/>
    <w:rsid w:val="00863FAF"/>
    <w:rsid w:val="0086403E"/>
    <w:rsid w:val="0086409E"/>
    <w:rsid w:val="0086416C"/>
    <w:rsid w:val="0086420D"/>
    <w:rsid w:val="0086443B"/>
    <w:rsid w:val="00864739"/>
    <w:rsid w:val="008647A3"/>
    <w:rsid w:val="0086485C"/>
    <w:rsid w:val="0086488C"/>
    <w:rsid w:val="0086493E"/>
    <w:rsid w:val="00864A5C"/>
    <w:rsid w:val="00864AB2"/>
    <w:rsid w:val="00864AED"/>
    <w:rsid w:val="00864B16"/>
    <w:rsid w:val="00864BE5"/>
    <w:rsid w:val="00864C7D"/>
    <w:rsid w:val="00864DA5"/>
    <w:rsid w:val="00864E46"/>
    <w:rsid w:val="00864E4E"/>
    <w:rsid w:val="00864E74"/>
    <w:rsid w:val="00864F9E"/>
    <w:rsid w:val="00864FC0"/>
    <w:rsid w:val="008651E3"/>
    <w:rsid w:val="00865662"/>
    <w:rsid w:val="008657FF"/>
    <w:rsid w:val="00865882"/>
    <w:rsid w:val="0086591D"/>
    <w:rsid w:val="0086597B"/>
    <w:rsid w:val="008659D0"/>
    <w:rsid w:val="00865B76"/>
    <w:rsid w:val="00865E23"/>
    <w:rsid w:val="00865F27"/>
    <w:rsid w:val="00865F46"/>
    <w:rsid w:val="008661D9"/>
    <w:rsid w:val="00866279"/>
    <w:rsid w:val="00866572"/>
    <w:rsid w:val="00866585"/>
    <w:rsid w:val="0086664D"/>
    <w:rsid w:val="0086673F"/>
    <w:rsid w:val="0086674A"/>
    <w:rsid w:val="008667D7"/>
    <w:rsid w:val="00866897"/>
    <w:rsid w:val="008669C3"/>
    <w:rsid w:val="00866A1A"/>
    <w:rsid w:val="00866CA2"/>
    <w:rsid w:val="00866D62"/>
    <w:rsid w:val="00866D83"/>
    <w:rsid w:val="00866DB7"/>
    <w:rsid w:val="00866DDE"/>
    <w:rsid w:val="00866DF8"/>
    <w:rsid w:val="00866E6E"/>
    <w:rsid w:val="0086712A"/>
    <w:rsid w:val="0086713A"/>
    <w:rsid w:val="008671AC"/>
    <w:rsid w:val="008671C2"/>
    <w:rsid w:val="0086726C"/>
    <w:rsid w:val="008673EA"/>
    <w:rsid w:val="0086740D"/>
    <w:rsid w:val="0086743A"/>
    <w:rsid w:val="00867443"/>
    <w:rsid w:val="008674D6"/>
    <w:rsid w:val="008674E5"/>
    <w:rsid w:val="008674E8"/>
    <w:rsid w:val="00867561"/>
    <w:rsid w:val="008675F0"/>
    <w:rsid w:val="008678DC"/>
    <w:rsid w:val="00867A5A"/>
    <w:rsid w:val="00867A7B"/>
    <w:rsid w:val="00867C29"/>
    <w:rsid w:val="00867CA2"/>
    <w:rsid w:val="00867D3C"/>
    <w:rsid w:val="00867EA2"/>
    <w:rsid w:val="00867EAA"/>
    <w:rsid w:val="00867F27"/>
    <w:rsid w:val="00867F77"/>
    <w:rsid w:val="00867FCF"/>
    <w:rsid w:val="0086B87A"/>
    <w:rsid w:val="0087000A"/>
    <w:rsid w:val="008700EF"/>
    <w:rsid w:val="00870159"/>
    <w:rsid w:val="008701D1"/>
    <w:rsid w:val="00870336"/>
    <w:rsid w:val="008703FC"/>
    <w:rsid w:val="008705B7"/>
    <w:rsid w:val="00870735"/>
    <w:rsid w:val="008707FE"/>
    <w:rsid w:val="0087091C"/>
    <w:rsid w:val="0087097C"/>
    <w:rsid w:val="00870A0E"/>
    <w:rsid w:val="00870B64"/>
    <w:rsid w:val="00870F27"/>
    <w:rsid w:val="00870F36"/>
    <w:rsid w:val="00870F96"/>
    <w:rsid w:val="00870FFB"/>
    <w:rsid w:val="00871047"/>
    <w:rsid w:val="0087112F"/>
    <w:rsid w:val="00871149"/>
    <w:rsid w:val="00871184"/>
    <w:rsid w:val="008711C9"/>
    <w:rsid w:val="0087127C"/>
    <w:rsid w:val="0087133D"/>
    <w:rsid w:val="008714D6"/>
    <w:rsid w:val="008714EE"/>
    <w:rsid w:val="00871804"/>
    <w:rsid w:val="008719F8"/>
    <w:rsid w:val="00871A27"/>
    <w:rsid w:val="00871ABE"/>
    <w:rsid w:val="00871BEA"/>
    <w:rsid w:val="00871C1F"/>
    <w:rsid w:val="00871C67"/>
    <w:rsid w:val="00871D56"/>
    <w:rsid w:val="00871E10"/>
    <w:rsid w:val="00871E7C"/>
    <w:rsid w:val="00871E8F"/>
    <w:rsid w:val="00871EB7"/>
    <w:rsid w:val="008722B7"/>
    <w:rsid w:val="0087232A"/>
    <w:rsid w:val="00872444"/>
    <w:rsid w:val="00872531"/>
    <w:rsid w:val="0087254D"/>
    <w:rsid w:val="0087273C"/>
    <w:rsid w:val="008727ED"/>
    <w:rsid w:val="0087285E"/>
    <w:rsid w:val="008729AC"/>
    <w:rsid w:val="00872A05"/>
    <w:rsid w:val="00872A7F"/>
    <w:rsid w:val="00872C38"/>
    <w:rsid w:val="00872C3B"/>
    <w:rsid w:val="00872DB3"/>
    <w:rsid w:val="00872E1C"/>
    <w:rsid w:val="00872ECC"/>
    <w:rsid w:val="00872F28"/>
    <w:rsid w:val="00872F34"/>
    <w:rsid w:val="00873163"/>
    <w:rsid w:val="00873182"/>
    <w:rsid w:val="0087319A"/>
    <w:rsid w:val="00873235"/>
    <w:rsid w:val="00873256"/>
    <w:rsid w:val="00873287"/>
    <w:rsid w:val="008732CA"/>
    <w:rsid w:val="00873357"/>
    <w:rsid w:val="008733B5"/>
    <w:rsid w:val="008734C8"/>
    <w:rsid w:val="00873649"/>
    <w:rsid w:val="00873749"/>
    <w:rsid w:val="00873801"/>
    <w:rsid w:val="00873943"/>
    <w:rsid w:val="008739C3"/>
    <w:rsid w:val="00873A94"/>
    <w:rsid w:val="00873C1E"/>
    <w:rsid w:val="00873C80"/>
    <w:rsid w:val="00873CD7"/>
    <w:rsid w:val="00873CF3"/>
    <w:rsid w:val="00873D16"/>
    <w:rsid w:val="00873DB5"/>
    <w:rsid w:val="00873DBF"/>
    <w:rsid w:val="00873E14"/>
    <w:rsid w:val="00873EF5"/>
    <w:rsid w:val="00873F41"/>
    <w:rsid w:val="00873F7D"/>
    <w:rsid w:val="0087411F"/>
    <w:rsid w:val="00874154"/>
    <w:rsid w:val="00874260"/>
    <w:rsid w:val="0087435C"/>
    <w:rsid w:val="008743B8"/>
    <w:rsid w:val="008743F8"/>
    <w:rsid w:val="0087452A"/>
    <w:rsid w:val="00874719"/>
    <w:rsid w:val="0087473D"/>
    <w:rsid w:val="00874748"/>
    <w:rsid w:val="00874840"/>
    <w:rsid w:val="00874875"/>
    <w:rsid w:val="00874919"/>
    <w:rsid w:val="008749E2"/>
    <w:rsid w:val="00874A1A"/>
    <w:rsid w:val="00874A49"/>
    <w:rsid w:val="00874A60"/>
    <w:rsid w:val="00874AB7"/>
    <w:rsid w:val="00874D1D"/>
    <w:rsid w:val="00874DB4"/>
    <w:rsid w:val="00874EDE"/>
    <w:rsid w:val="00874F0B"/>
    <w:rsid w:val="00875077"/>
    <w:rsid w:val="008750E4"/>
    <w:rsid w:val="008750F2"/>
    <w:rsid w:val="00875101"/>
    <w:rsid w:val="008751F4"/>
    <w:rsid w:val="0087527B"/>
    <w:rsid w:val="0087539D"/>
    <w:rsid w:val="0087548C"/>
    <w:rsid w:val="008755D5"/>
    <w:rsid w:val="00875651"/>
    <w:rsid w:val="00875796"/>
    <w:rsid w:val="008757EE"/>
    <w:rsid w:val="008758BE"/>
    <w:rsid w:val="0087594A"/>
    <w:rsid w:val="00875A11"/>
    <w:rsid w:val="00875A1E"/>
    <w:rsid w:val="00875CFC"/>
    <w:rsid w:val="00875F6A"/>
    <w:rsid w:val="0087613E"/>
    <w:rsid w:val="008762C6"/>
    <w:rsid w:val="00876316"/>
    <w:rsid w:val="00876405"/>
    <w:rsid w:val="008764C2"/>
    <w:rsid w:val="00876685"/>
    <w:rsid w:val="0087671B"/>
    <w:rsid w:val="00876767"/>
    <w:rsid w:val="008767B2"/>
    <w:rsid w:val="00876886"/>
    <w:rsid w:val="008768B3"/>
    <w:rsid w:val="008769F9"/>
    <w:rsid w:val="00876A27"/>
    <w:rsid w:val="00876B18"/>
    <w:rsid w:val="00876CD8"/>
    <w:rsid w:val="00876D23"/>
    <w:rsid w:val="00876DF8"/>
    <w:rsid w:val="00876E2E"/>
    <w:rsid w:val="00876E9A"/>
    <w:rsid w:val="00876EC3"/>
    <w:rsid w:val="00876F30"/>
    <w:rsid w:val="00877105"/>
    <w:rsid w:val="00877199"/>
    <w:rsid w:val="00877224"/>
    <w:rsid w:val="00877254"/>
    <w:rsid w:val="00877372"/>
    <w:rsid w:val="00877376"/>
    <w:rsid w:val="00877438"/>
    <w:rsid w:val="0087761E"/>
    <w:rsid w:val="008777FF"/>
    <w:rsid w:val="0087780B"/>
    <w:rsid w:val="00877937"/>
    <w:rsid w:val="00877944"/>
    <w:rsid w:val="00877A03"/>
    <w:rsid w:val="00877B7E"/>
    <w:rsid w:val="00877CDF"/>
    <w:rsid w:val="00877DE9"/>
    <w:rsid w:val="00877ED7"/>
    <w:rsid w:val="00877F11"/>
    <w:rsid w:val="0088052D"/>
    <w:rsid w:val="00880671"/>
    <w:rsid w:val="00880682"/>
    <w:rsid w:val="008806C5"/>
    <w:rsid w:val="0088070E"/>
    <w:rsid w:val="008809B4"/>
    <w:rsid w:val="00880A55"/>
    <w:rsid w:val="00880C6C"/>
    <w:rsid w:val="00880D5E"/>
    <w:rsid w:val="00881004"/>
    <w:rsid w:val="00881022"/>
    <w:rsid w:val="00881120"/>
    <w:rsid w:val="00881174"/>
    <w:rsid w:val="0088123E"/>
    <w:rsid w:val="00881494"/>
    <w:rsid w:val="0088149E"/>
    <w:rsid w:val="008815CC"/>
    <w:rsid w:val="0088186D"/>
    <w:rsid w:val="0088192F"/>
    <w:rsid w:val="00881B38"/>
    <w:rsid w:val="00881BCA"/>
    <w:rsid w:val="00881BD5"/>
    <w:rsid w:val="00881EFD"/>
    <w:rsid w:val="00881F10"/>
    <w:rsid w:val="00881F23"/>
    <w:rsid w:val="00881F5C"/>
    <w:rsid w:val="00882042"/>
    <w:rsid w:val="0088234E"/>
    <w:rsid w:val="008824B3"/>
    <w:rsid w:val="00882574"/>
    <w:rsid w:val="0088267D"/>
    <w:rsid w:val="00882683"/>
    <w:rsid w:val="00882710"/>
    <w:rsid w:val="00882763"/>
    <w:rsid w:val="00882777"/>
    <w:rsid w:val="008827D7"/>
    <w:rsid w:val="0088286A"/>
    <w:rsid w:val="008828A8"/>
    <w:rsid w:val="008828CB"/>
    <w:rsid w:val="008828F3"/>
    <w:rsid w:val="008828F9"/>
    <w:rsid w:val="00882951"/>
    <w:rsid w:val="008829F2"/>
    <w:rsid w:val="00882ABA"/>
    <w:rsid w:val="00882AC2"/>
    <w:rsid w:val="00882ADF"/>
    <w:rsid w:val="00882BF1"/>
    <w:rsid w:val="00882C34"/>
    <w:rsid w:val="00882DDA"/>
    <w:rsid w:val="00882EF8"/>
    <w:rsid w:val="00883033"/>
    <w:rsid w:val="00883074"/>
    <w:rsid w:val="0088320F"/>
    <w:rsid w:val="00883350"/>
    <w:rsid w:val="008833CD"/>
    <w:rsid w:val="0088345C"/>
    <w:rsid w:val="0088353E"/>
    <w:rsid w:val="0088358F"/>
    <w:rsid w:val="0088362E"/>
    <w:rsid w:val="00883656"/>
    <w:rsid w:val="00883858"/>
    <w:rsid w:val="008839A6"/>
    <w:rsid w:val="008839EE"/>
    <w:rsid w:val="00883A92"/>
    <w:rsid w:val="00883C11"/>
    <w:rsid w:val="00883C5B"/>
    <w:rsid w:val="00883CA1"/>
    <w:rsid w:val="00883D15"/>
    <w:rsid w:val="00883D94"/>
    <w:rsid w:val="00883DA1"/>
    <w:rsid w:val="00883DB5"/>
    <w:rsid w:val="00883EC6"/>
    <w:rsid w:val="008846B0"/>
    <w:rsid w:val="008847CD"/>
    <w:rsid w:val="00884A6C"/>
    <w:rsid w:val="00884A6F"/>
    <w:rsid w:val="00884BCE"/>
    <w:rsid w:val="00884C08"/>
    <w:rsid w:val="00884D33"/>
    <w:rsid w:val="00885057"/>
    <w:rsid w:val="008850F4"/>
    <w:rsid w:val="0088510E"/>
    <w:rsid w:val="0088521D"/>
    <w:rsid w:val="0088527A"/>
    <w:rsid w:val="00885286"/>
    <w:rsid w:val="00885326"/>
    <w:rsid w:val="00885332"/>
    <w:rsid w:val="0088537D"/>
    <w:rsid w:val="0088539A"/>
    <w:rsid w:val="008854C2"/>
    <w:rsid w:val="00885537"/>
    <w:rsid w:val="008856CB"/>
    <w:rsid w:val="0088590A"/>
    <w:rsid w:val="008859D5"/>
    <w:rsid w:val="00885A54"/>
    <w:rsid w:val="00885A8B"/>
    <w:rsid w:val="00885A99"/>
    <w:rsid w:val="00885C36"/>
    <w:rsid w:val="00885FA3"/>
    <w:rsid w:val="00886196"/>
    <w:rsid w:val="008861C4"/>
    <w:rsid w:val="008861EF"/>
    <w:rsid w:val="00886328"/>
    <w:rsid w:val="0088646E"/>
    <w:rsid w:val="00886509"/>
    <w:rsid w:val="0088659E"/>
    <w:rsid w:val="008867A7"/>
    <w:rsid w:val="00886870"/>
    <w:rsid w:val="008868AC"/>
    <w:rsid w:val="008868F8"/>
    <w:rsid w:val="00886AEF"/>
    <w:rsid w:val="00886BBE"/>
    <w:rsid w:val="00886BCB"/>
    <w:rsid w:val="00886C37"/>
    <w:rsid w:val="00886D6D"/>
    <w:rsid w:val="00886FA2"/>
    <w:rsid w:val="00887093"/>
    <w:rsid w:val="008870C5"/>
    <w:rsid w:val="00887141"/>
    <w:rsid w:val="00887179"/>
    <w:rsid w:val="00887219"/>
    <w:rsid w:val="0088725A"/>
    <w:rsid w:val="008872BB"/>
    <w:rsid w:val="00887499"/>
    <w:rsid w:val="008875A0"/>
    <w:rsid w:val="00887684"/>
    <w:rsid w:val="008876B2"/>
    <w:rsid w:val="008878D1"/>
    <w:rsid w:val="008879CC"/>
    <w:rsid w:val="008879DC"/>
    <w:rsid w:val="008879FA"/>
    <w:rsid w:val="00887E63"/>
    <w:rsid w:val="00887E8D"/>
    <w:rsid w:val="0089030C"/>
    <w:rsid w:val="008903F9"/>
    <w:rsid w:val="00890417"/>
    <w:rsid w:val="0089045B"/>
    <w:rsid w:val="00890480"/>
    <w:rsid w:val="0089049F"/>
    <w:rsid w:val="0089050A"/>
    <w:rsid w:val="008906A6"/>
    <w:rsid w:val="00890794"/>
    <w:rsid w:val="00890894"/>
    <w:rsid w:val="00890A13"/>
    <w:rsid w:val="00890EF3"/>
    <w:rsid w:val="00890F24"/>
    <w:rsid w:val="0089109C"/>
    <w:rsid w:val="008910B0"/>
    <w:rsid w:val="008910F9"/>
    <w:rsid w:val="0089118F"/>
    <w:rsid w:val="008911A6"/>
    <w:rsid w:val="00891359"/>
    <w:rsid w:val="00891375"/>
    <w:rsid w:val="00891410"/>
    <w:rsid w:val="008914E0"/>
    <w:rsid w:val="008914F3"/>
    <w:rsid w:val="0089162C"/>
    <w:rsid w:val="0089162F"/>
    <w:rsid w:val="008916C9"/>
    <w:rsid w:val="0089172F"/>
    <w:rsid w:val="00891820"/>
    <w:rsid w:val="00891A1D"/>
    <w:rsid w:val="00891A46"/>
    <w:rsid w:val="00891B1E"/>
    <w:rsid w:val="00891BF6"/>
    <w:rsid w:val="00891D94"/>
    <w:rsid w:val="00891DC2"/>
    <w:rsid w:val="00891E94"/>
    <w:rsid w:val="00891F67"/>
    <w:rsid w:val="008921AD"/>
    <w:rsid w:val="0089222E"/>
    <w:rsid w:val="008922AC"/>
    <w:rsid w:val="00892342"/>
    <w:rsid w:val="008923D9"/>
    <w:rsid w:val="0089243F"/>
    <w:rsid w:val="008924AF"/>
    <w:rsid w:val="0089250C"/>
    <w:rsid w:val="0089251A"/>
    <w:rsid w:val="00892563"/>
    <w:rsid w:val="00892589"/>
    <w:rsid w:val="008926C6"/>
    <w:rsid w:val="00892700"/>
    <w:rsid w:val="00892704"/>
    <w:rsid w:val="0089273B"/>
    <w:rsid w:val="00892846"/>
    <w:rsid w:val="0089290F"/>
    <w:rsid w:val="00892A57"/>
    <w:rsid w:val="00892AED"/>
    <w:rsid w:val="00892B2D"/>
    <w:rsid w:val="00892BC3"/>
    <w:rsid w:val="00892BD4"/>
    <w:rsid w:val="00892C2B"/>
    <w:rsid w:val="00892C79"/>
    <w:rsid w:val="00892DBC"/>
    <w:rsid w:val="00892E17"/>
    <w:rsid w:val="00892E48"/>
    <w:rsid w:val="00893127"/>
    <w:rsid w:val="0089317E"/>
    <w:rsid w:val="008931A9"/>
    <w:rsid w:val="00893201"/>
    <w:rsid w:val="00893324"/>
    <w:rsid w:val="00893434"/>
    <w:rsid w:val="00893620"/>
    <w:rsid w:val="00893675"/>
    <w:rsid w:val="008936A1"/>
    <w:rsid w:val="008936B2"/>
    <w:rsid w:val="00893746"/>
    <w:rsid w:val="00893847"/>
    <w:rsid w:val="0089392E"/>
    <w:rsid w:val="008939AB"/>
    <w:rsid w:val="008939B6"/>
    <w:rsid w:val="00893A3E"/>
    <w:rsid w:val="00893B45"/>
    <w:rsid w:val="00893D3B"/>
    <w:rsid w:val="00893E46"/>
    <w:rsid w:val="00894185"/>
    <w:rsid w:val="0089421A"/>
    <w:rsid w:val="00894365"/>
    <w:rsid w:val="00894688"/>
    <w:rsid w:val="00894695"/>
    <w:rsid w:val="008946E3"/>
    <w:rsid w:val="0089472C"/>
    <w:rsid w:val="0089473B"/>
    <w:rsid w:val="00894762"/>
    <w:rsid w:val="0089488A"/>
    <w:rsid w:val="008948A1"/>
    <w:rsid w:val="008948EA"/>
    <w:rsid w:val="00894940"/>
    <w:rsid w:val="00894AC4"/>
    <w:rsid w:val="00894BEA"/>
    <w:rsid w:val="00894C2E"/>
    <w:rsid w:val="00894C48"/>
    <w:rsid w:val="00894CD2"/>
    <w:rsid w:val="00894D36"/>
    <w:rsid w:val="00894EDB"/>
    <w:rsid w:val="00894F31"/>
    <w:rsid w:val="00894F52"/>
    <w:rsid w:val="00895106"/>
    <w:rsid w:val="0089516E"/>
    <w:rsid w:val="00895170"/>
    <w:rsid w:val="00895247"/>
    <w:rsid w:val="0089550F"/>
    <w:rsid w:val="0089552F"/>
    <w:rsid w:val="0089554C"/>
    <w:rsid w:val="00895AB2"/>
    <w:rsid w:val="00895ADD"/>
    <w:rsid w:val="00895BEB"/>
    <w:rsid w:val="00895C0F"/>
    <w:rsid w:val="00895C5C"/>
    <w:rsid w:val="00895C82"/>
    <w:rsid w:val="00895C9F"/>
    <w:rsid w:val="00895CD0"/>
    <w:rsid w:val="00895CF1"/>
    <w:rsid w:val="00895F85"/>
    <w:rsid w:val="00895FB8"/>
    <w:rsid w:val="00896071"/>
    <w:rsid w:val="008960C9"/>
    <w:rsid w:val="00896164"/>
    <w:rsid w:val="00896258"/>
    <w:rsid w:val="00896265"/>
    <w:rsid w:val="00896314"/>
    <w:rsid w:val="0089637D"/>
    <w:rsid w:val="00896424"/>
    <w:rsid w:val="00896543"/>
    <w:rsid w:val="008965CD"/>
    <w:rsid w:val="00896661"/>
    <w:rsid w:val="00896A50"/>
    <w:rsid w:val="00896ADB"/>
    <w:rsid w:val="00896B03"/>
    <w:rsid w:val="00896C58"/>
    <w:rsid w:val="00896E00"/>
    <w:rsid w:val="00896F5A"/>
    <w:rsid w:val="00896FA9"/>
    <w:rsid w:val="00896FC5"/>
    <w:rsid w:val="0089714B"/>
    <w:rsid w:val="00897323"/>
    <w:rsid w:val="00897334"/>
    <w:rsid w:val="00897870"/>
    <w:rsid w:val="008979A1"/>
    <w:rsid w:val="00897A96"/>
    <w:rsid w:val="00897AB1"/>
    <w:rsid w:val="00897C05"/>
    <w:rsid w:val="00897C51"/>
    <w:rsid w:val="00897DA9"/>
    <w:rsid w:val="00897E60"/>
    <w:rsid w:val="00897ECD"/>
    <w:rsid w:val="00897F59"/>
    <w:rsid w:val="008A013C"/>
    <w:rsid w:val="008A02F3"/>
    <w:rsid w:val="008A0362"/>
    <w:rsid w:val="008A0380"/>
    <w:rsid w:val="008A0731"/>
    <w:rsid w:val="008A0742"/>
    <w:rsid w:val="008A07B1"/>
    <w:rsid w:val="008A07E0"/>
    <w:rsid w:val="008A0839"/>
    <w:rsid w:val="008A0926"/>
    <w:rsid w:val="008A0A2A"/>
    <w:rsid w:val="008A0BB7"/>
    <w:rsid w:val="008A0BBF"/>
    <w:rsid w:val="008A0C04"/>
    <w:rsid w:val="008A0D0B"/>
    <w:rsid w:val="008A0D1A"/>
    <w:rsid w:val="008A0DEF"/>
    <w:rsid w:val="008A0E99"/>
    <w:rsid w:val="008A0FD4"/>
    <w:rsid w:val="008A1018"/>
    <w:rsid w:val="008A1142"/>
    <w:rsid w:val="008A1444"/>
    <w:rsid w:val="008A146E"/>
    <w:rsid w:val="008A1473"/>
    <w:rsid w:val="008A18BA"/>
    <w:rsid w:val="008A190E"/>
    <w:rsid w:val="008A19BF"/>
    <w:rsid w:val="008A1A0F"/>
    <w:rsid w:val="008A1A12"/>
    <w:rsid w:val="008A1A7E"/>
    <w:rsid w:val="008A1C60"/>
    <w:rsid w:val="008A1CAD"/>
    <w:rsid w:val="008A1D6E"/>
    <w:rsid w:val="008A1D6F"/>
    <w:rsid w:val="008A1E71"/>
    <w:rsid w:val="008A1ECC"/>
    <w:rsid w:val="008A1F12"/>
    <w:rsid w:val="008A203A"/>
    <w:rsid w:val="008A2229"/>
    <w:rsid w:val="008A2263"/>
    <w:rsid w:val="008A249D"/>
    <w:rsid w:val="008A24B1"/>
    <w:rsid w:val="008A2518"/>
    <w:rsid w:val="008A2561"/>
    <w:rsid w:val="008A2578"/>
    <w:rsid w:val="008A25E8"/>
    <w:rsid w:val="008A26A0"/>
    <w:rsid w:val="008A27B7"/>
    <w:rsid w:val="008A27F9"/>
    <w:rsid w:val="008A284C"/>
    <w:rsid w:val="008A2B7A"/>
    <w:rsid w:val="008A2B89"/>
    <w:rsid w:val="008A2BE5"/>
    <w:rsid w:val="008A2D9D"/>
    <w:rsid w:val="008A2FCC"/>
    <w:rsid w:val="008A2FDC"/>
    <w:rsid w:val="008A307D"/>
    <w:rsid w:val="008A312E"/>
    <w:rsid w:val="008A322A"/>
    <w:rsid w:val="008A3285"/>
    <w:rsid w:val="008A32A7"/>
    <w:rsid w:val="008A3433"/>
    <w:rsid w:val="008A346F"/>
    <w:rsid w:val="008A34EA"/>
    <w:rsid w:val="008A36A5"/>
    <w:rsid w:val="008A3A11"/>
    <w:rsid w:val="008A3A3D"/>
    <w:rsid w:val="008A3B17"/>
    <w:rsid w:val="008A3B96"/>
    <w:rsid w:val="008A3BEB"/>
    <w:rsid w:val="008A3C6A"/>
    <w:rsid w:val="008A3CE5"/>
    <w:rsid w:val="008A3D82"/>
    <w:rsid w:val="008A3E99"/>
    <w:rsid w:val="008A3F8C"/>
    <w:rsid w:val="008A3FBA"/>
    <w:rsid w:val="008A40A3"/>
    <w:rsid w:val="008A419E"/>
    <w:rsid w:val="008A41B7"/>
    <w:rsid w:val="008A4228"/>
    <w:rsid w:val="008A42D9"/>
    <w:rsid w:val="008A43DF"/>
    <w:rsid w:val="008A446D"/>
    <w:rsid w:val="008A45B0"/>
    <w:rsid w:val="008A45BC"/>
    <w:rsid w:val="008A4799"/>
    <w:rsid w:val="008A4871"/>
    <w:rsid w:val="008A489A"/>
    <w:rsid w:val="008A48DA"/>
    <w:rsid w:val="008A4981"/>
    <w:rsid w:val="008A4A36"/>
    <w:rsid w:val="008A4A8B"/>
    <w:rsid w:val="008A4B55"/>
    <w:rsid w:val="008A4B59"/>
    <w:rsid w:val="008A4B8D"/>
    <w:rsid w:val="008A4C1E"/>
    <w:rsid w:val="008A4D9C"/>
    <w:rsid w:val="008A506A"/>
    <w:rsid w:val="008A5085"/>
    <w:rsid w:val="008A50C6"/>
    <w:rsid w:val="008A51B6"/>
    <w:rsid w:val="008A51F3"/>
    <w:rsid w:val="008A53F5"/>
    <w:rsid w:val="008A540D"/>
    <w:rsid w:val="008A5492"/>
    <w:rsid w:val="008A5513"/>
    <w:rsid w:val="008A5532"/>
    <w:rsid w:val="008A5559"/>
    <w:rsid w:val="008A55D2"/>
    <w:rsid w:val="008A566B"/>
    <w:rsid w:val="008A567A"/>
    <w:rsid w:val="008A5732"/>
    <w:rsid w:val="008A5980"/>
    <w:rsid w:val="008A5AB2"/>
    <w:rsid w:val="008A5C45"/>
    <w:rsid w:val="008A5C96"/>
    <w:rsid w:val="008A5E0D"/>
    <w:rsid w:val="008A5EF0"/>
    <w:rsid w:val="008A604A"/>
    <w:rsid w:val="008A619E"/>
    <w:rsid w:val="008A629D"/>
    <w:rsid w:val="008A62F0"/>
    <w:rsid w:val="008A6393"/>
    <w:rsid w:val="008A63CF"/>
    <w:rsid w:val="008A656B"/>
    <w:rsid w:val="008A6631"/>
    <w:rsid w:val="008A6734"/>
    <w:rsid w:val="008A67C8"/>
    <w:rsid w:val="008A689A"/>
    <w:rsid w:val="008A68B7"/>
    <w:rsid w:val="008A6DAD"/>
    <w:rsid w:val="008A6F06"/>
    <w:rsid w:val="008A6F7A"/>
    <w:rsid w:val="008A6F96"/>
    <w:rsid w:val="008A70B4"/>
    <w:rsid w:val="008A723D"/>
    <w:rsid w:val="008A72FB"/>
    <w:rsid w:val="008A769E"/>
    <w:rsid w:val="008A76BD"/>
    <w:rsid w:val="008A774F"/>
    <w:rsid w:val="008A77D8"/>
    <w:rsid w:val="008A78C0"/>
    <w:rsid w:val="008A798B"/>
    <w:rsid w:val="008A79EC"/>
    <w:rsid w:val="008A7A6A"/>
    <w:rsid w:val="008A7B60"/>
    <w:rsid w:val="008A7CA2"/>
    <w:rsid w:val="008A7EA3"/>
    <w:rsid w:val="008A7EF3"/>
    <w:rsid w:val="008A7F28"/>
    <w:rsid w:val="008A7F5D"/>
    <w:rsid w:val="008A7FF2"/>
    <w:rsid w:val="008B0084"/>
    <w:rsid w:val="008B00FA"/>
    <w:rsid w:val="008B02EA"/>
    <w:rsid w:val="008B03D8"/>
    <w:rsid w:val="008B0493"/>
    <w:rsid w:val="008B066D"/>
    <w:rsid w:val="008B070B"/>
    <w:rsid w:val="008B0879"/>
    <w:rsid w:val="008B0923"/>
    <w:rsid w:val="008B095E"/>
    <w:rsid w:val="008B0CD6"/>
    <w:rsid w:val="008B0D00"/>
    <w:rsid w:val="008B0F07"/>
    <w:rsid w:val="008B0F66"/>
    <w:rsid w:val="008B0F6A"/>
    <w:rsid w:val="008B1046"/>
    <w:rsid w:val="008B10AD"/>
    <w:rsid w:val="008B1228"/>
    <w:rsid w:val="008B123F"/>
    <w:rsid w:val="008B1477"/>
    <w:rsid w:val="008B164F"/>
    <w:rsid w:val="008B16DE"/>
    <w:rsid w:val="008B18FC"/>
    <w:rsid w:val="008B1A38"/>
    <w:rsid w:val="008B1C5D"/>
    <w:rsid w:val="008B1D13"/>
    <w:rsid w:val="008B1FC4"/>
    <w:rsid w:val="008B1FE1"/>
    <w:rsid w:val="008B2102"/>
    <w:rsid w:val="008B2114"/>
    <w:rsid w:val="008B214C"/>
    <w:rsid w:val="008B21A9"/>
    <w:rsid w:val="008B21DC"/>
    <w:rsid w:val="008B229E"/>
    <w:rsid w:val="008B2458"/>
    <w:rsid w:val="008B24AC"/>
    <w:rsid w:val="008B24BD"/>
    <w:rsid w:val="008B2665"/>
    <w:rsid w:val="008B27D8"/>
    <w:rsid w:val="008B287F"/>
    <w:rsid w:val="008B2941"/>
    <w:rsid w:val="008B2B48"/>
    <w:rsid w:val="008B2C49"/>
    <w:rsid w:val="008B2C71"/>
    <w:rsid w:val="008B2DB1"/>
    <w:rsid w:val="008B2DF1"/>
    <w:rsid w:val="008B2EC0"/>
    <w:rsid w:val="008B2FE5"/>
    <w:rsid w:val="008B30B9"/>
    <w:rsid w:val="008B30C6"/>
    <w:rsid w:val="008B3157"/>
    <w:rsid w:val="008B318F"/>
    <w:rsid w:val="008B324D"/>
    <w:rsid w:val="008B32F8"/>
    <w:rsid w:val="008B354A"/>
    <w:rsid w:val="008B3571"/>
    <w:rsid w:val="008B363F"/>
    <w:rsid w:val="008B3755"/>
    <w:rsid w:val="008B39AC"/>
    <w:rsid w:val="008B3A25"/>
    <w:rsid w:val="008B3BAD"/>
    <w:rsid w:val="008B3C13"/>
    <w:rsid w:val="008B3C4A"/>
    <w:rsid w:val="008B3C5B"/>
    <w:rsid w:val="008B3CE4"/>
    <w:rsid w:val="008B3CE7"/>
    <w:rsid w:val="008B3D1C"/>
    <w:rsid w:val="008B3E0B"/>
    <w:rsid w:val="008B3E16"/>
    <w:rsid w:val="008B3EEE"/>
    <w:rsid w:val="008B3FA9"/>
    <w:rsid w:val="008B41D9"/>
    <w:rsid w:val="008B43B4"/>
    <w:rsid w:val="008B4407"/>
    <w:rsid w:val="008B4452"/>
    <w:rsid w:val="008B449D"/>
    <w:rsid w:val="008B44A3"/>
    <w:rsid w:val="008B44B8"/>
    <w:rsid w:val="008B44DD"/>
    <w:rsid w:val="008B45FC"/>
    <w:rsid w:val="008B460B"/>
    <w:rsid w:val="008B47D4"/>
    <w:rsid w:val="008B4977"/>
    <w:rsid w:val="008B4B0D"/>
    <w:rsid w:val="008B4DC3"/>
    <w:rsid w:val="008B4EDF"/>
    <w:rsid w:val="008B4EF2"/>
    <w:rsid w:val="008B4F3A"/>
    <w:rsid w:val="008B4F86"/>
    <w:rsid w:val="008B4F95"/>
    <w:rsid w:val="008B506E"/>
    <w:rsid w:val="008B50C6"/>
    <w:rsid w:val="008B51AD"/>
    <w:rsid w:val="008B51C2"/>
    <w:rsid w:val="008B5237"/>
    <w:rsid w:val="008B5302"/>
    <w:rsid w:val="008B53E9"/>
    <w:rsid w:val="008B5479"/>
    <w:rsid w:val="008B55C4"/>
    <w:rsid w:val="008B56C8"/>
    <w:rsid w:val="008B57F4"/>
    <w:rsid w:val="008B5811"/>
    <w:rsid w:val="008B5814"/>
    <w:rsid w:val="008B5A1F"/>
    <w:rsid w:val="008B5A9D"/>
    <w:rsid w:val="008B5ACA"/>
    <w:rsid w:val="008B5B82"/>
    <w:rsid w:val="008B5BC9"/>
    <w:rsid w:val="008B5C18"/>
    <w:rsid w:val="008B5C93"/>
    <w:rsid w:val="008B5D44"/>
    <w:rsid w:val="008B5D60"/>
    <w:rsid w:val="008B5DFE"/>
    <w:rsid w:val="008B5EA0"/>
    <w:rsid w:val="008B5EB0"/>
    <w:rsid w:val="008B6028"/>
    <w:rsid w:val="008B60CD"/>
    <w:rsid w:val="008B6150"/>
    <w:rsid w:val="008B62A3"/>
    <w:rsid w:val="008B6300"/>
    <w:rsid w:val="008B6367"/>
    <w:rsid w:val="008B64E2"/>
    <w:rsid w:val="008B64E5"/>
    <w:rsid w:val="008B65BB"/>
    <w:rsid w:val="008B66B8"/>
    <w:rsid w:val="008B677D"/>
    <w:rsid w:val="008B6798"/>
    <w:rsid w:val="008B69DC"/>
    <w:rsid w:val="008B6AA5"/>
    <w:rsid w:val="008B6B24"/>
    <w:rsid w:val="008B6C2E"/>
    <w:rsid w:val="008B6D2F"/>
    <w:rsid w:val="008B6EC4"/>
    <w:rsid w:val="008B6EDE"/>
    <w:rsid w:val="008B7046"/>
    <w:rsid w:val="008B70F0"/>
    <w:rsid w:val="008B711C"/>
    <w:rsid w:val="008B7201"/>
    <w:rsid w:val="008B7222"/>
    <w:rsid w:val="008B72A7"/>
    <w:rsid w:val="008B72D6"/>
    <w:rsid w:val="008B72F7"/>
    <w:rsid w:val="008B74D1"/>
    <w:rsid w:val="008B7597"/>
    <w:rsid w:val="008B75D3"/>
    <w:rsid w:val="008B75FA"/>
    <w:rsid w:val="008B7779"/>
    <w:rsid w:val="008B784C"/>
    <w:rsid w:val="008B7869"/>
    <w:rsid w:val="008B7A85"/>
    <w:rsid w:val="008B7BA9"/>
    <w:rsid w:val="008B7C04"/>
    <w:rsid w:val="008B7C1C"/>
    <w:rsid w:val="008B7C30"/>
    <w:rsid w:val="008B7C59"/>
    <w:rsid w:val="008B7E3C"/>
    <w:rsid w:val="008B7E71"/>
    <w:rsid w:val="008B7EFA"/>
    <w:rsid w:val="008B7F1F"/>
    <w:rsid w:val="008B7F9C"/>
    <w:rsid w:val="008B7FA9"/>
    <w:rsid w:val="008B7FDA"/>
    <w:rsid w:val="008B7FE1"/>
    <w:rsid w:val="008B7FE3"/>
    <w:rsid w:val="008C00BC"/>
    <w:rsid w:val="008C021E"/>
    <w:rsid w:val="008C0385"/>
    <w:rsid w:val="008C03E4"/>
    <w:rsid w:val="008C03EA"/>
    <w:rsid w:val="008C05C4"/>
    <w:rsid w:val="008C060B"/>
    <w:rsid w:val="008C08A1"/>
    <w:rsid w:val="008C0A5E"/>
    <w:rsid w:val="008C0B6F"/>
    <w:rsid w:val="008C0B76"/>
    <w:rsid w:val="008C0BDF"/>
    <w:rsid w:val="008C0BEE"/>
    <w:rsid w:val="008C0CA8"/>
    <w:rsid w:val="008C0CFC"/>
    <w:rsid w:val="008C0FD5"/>
    <w:rsid w:val="008C107A"/>
    <w:rsid w:val="008C10BC"/>
    <w:rsid w:val="008C11B6"/>
    <w:rsid w:val="008C13DE"/>
    <w:rsid w:val="008C14BD"/>
    <w:rsid w:val="008C1530"/>
    <w:rsid w:val="008C1678"/>
    <w:rsid w:val="008C17C7"/>
    <w:rsid w:val="008C187D"/>
    <w:rsid w:val="008C1B55"/>
    <w:rsid w:val="008C1C98"/>
    <w:rsid w:val="008C1DBA"/>
    <w:rsid w:val="008C1DED"/>
    <w:rsid w:val="008C204A"/>
    <w:rsid w:val="008C20C3"/>
    <w:rsid w:val="008C20E8"/>
    <w:rsid w:val="008C23D5"/>
    <w:rsid w:val="008C2576"/>
    <w:rsid w:val="008C2583"/>
    <w:rsid w:val="008C260F"/>
    <w:rsid w:val="008C2626"/>
    <w:rsid w:val="008C2634"/>
    <w:rsid w:val="008C266C"/>
    <w:rsid w:val="008C26EF"/>
    <w:rsid w:val="008C28B0"/>
    <w:rsid w:val="008C2934"/>
    <w:rsid w:val="008C295E"/>
    <w:rsid w:val="008C29E6"/>
    <w:rsid w:val="008C29FE"/>
    <w:rsid w:val="008C2A9A"/>
    <w:rsid w:val="008C2C20"/>
    <w:rsid w:val="008C30DE"/>
    <w:rsid w:val="008C3180"/>
    <w:rsid w:val="008C3258"/>
    <w:rsid w:val="008C3353"/>
    <w:rsid w:val="008C33B8"/>
    <w:rsid w:val="008C33D2"/>
    <w:rsid w:val="008C342D"/>
    <w:rsid w:val="008C368E"/>
    <w:rsid w:val="008C3707"/>
    <w:rsid w:val="008C376E"/>
    <w:rsid w:val="008C3794"/>
    <w:rsid w:val="008C37E4"/>
    <w:rsid w:val="008C385E"/>
    <w:rsid w:val="008C3987"/>
    <w:rsid w:val="008C39FC"/>
    <w:rsid w:val="008C3CF9"/>
    <w:rsid w:val="008C3DBD"/>
    <w:rsid w:val="008C3F2E"/>
    <w:rsid w:val="008C3F80"/>
    <w:rsid w:val="008C40F2"/>
    <w:rsid w:val="008C4122"/>
    <w:rsid w:val="008C4199"/>
    <w:rsid w:val="008C4373"/>
    <w:rsid w:val="008C442B"/>
    <w:rsid w:val="008C4440"/>
    <w:rsid w:val="008C4461"/>
    <w:rsid w:val="008C45BD"/>
    <w:rsid w:val="008C45C2"/>
    <w:rsid w:val="008C476F"/>
    <w:rsid w:val="008C4786"/>
    <w:rsid w:val="008C47E2"/>
    <w:rsid w:val="008C4960"/>
    <w:rsid w:val="008C4979"/>
    <w:rsid w:val="008C49A5"/>
    <w:rsid w:val="008C49AD"/>
    <w:rsid w:val="008C4F0D"/>
    <w:rsid w:val="008C51D5"/>
    <w:rsid w:val="008C53D9"/>
    <w:rsid w:val="008C5439"/>
    <w:rsid w:val="008C5496"/>
    <w:rsid w:val="008C568C"/>
    <w:rsid w:val="008C57CB"/>
    <w:rsid w:val="008C580E"/>
    <w:rsid w:val="008C5873"/>
    <w:rsid w:val="008C5924"/>
    <w:rsid w:val="008C5AD6"/>
    <w:rsid w:val="008C5B5D"/>
    <w:rsid w:val="008C5C39"/>
    <w:rsid w:val="008C5C4D"/>
    <w:rsid w:val="008C5CB3"/>
    <w:rsid w:val="008C5D0E"/>
    <w:rsid w:val="008C5D99"/>
    <w:rsid w:val="008C5EC4"/>
    <w:rsid w:val="008C5F57"/>
    <w:rsid w:val="008C617C"/>
    <w:rsid w:val="008C619C"/>
    <w:rsid w:val="008C6282"/>
    <w:rsid w:val="008C636B"/>
    <w:rsid w:val="008C6859"/>
    <w:rsid w:val="008C68DA"/>
    <w:rsid w:val="008C6B71"/>
    <w:rsid w:val="008C6BC9"/>
    <w:rsid w:val="008C6CC0"/>
    <w:rsid w:val="008C6CE0"/>
    <w:rsid w:val="008C6D12"/>
    <w:rsid w:val="008C6D22"/>
    <w:rsid w:val="008C6D6D"/>
    <w:rsid w:val="008C6F04"/>
    <w:rsid w:val="008C6F15"/>
    <w:rsid w:val="008C70CB"/>
    <w:rsid w:val="008C7214"/>
    <w:rsid w:val="008C727E"/>
    <w:rsid w:val="008C734F"/>
    <w:rsid w:val="008C73C4"/>
    <w:rsid w:val="008C7416"/>
    <w:rsid w:val="008C7516"/>
    <w:rsid w:val="008C7521"/>
    <w:rsid w:val="008C7541"/>
    <w:rsid w:val="008C777E"/>
    <w:rsid w:val="008C7A9A"/>
    <w:rsid w:val="008C7AEF"/>
    <w:rsid w:val="008C7AFB"/>
    <w:rsid w:val="008C7D14"/>
    <w:rsid w:val="008C7D2B"/>
    <w:rsid w:val="008C7D41"/>
    <w:rsid w:val="008C7E06"/>
    <w:rsid w:val="008CEA46"/>
    <w:rsid w:val="008D000D"/>
    <w:rsid w:val="008D0126"/>
    <w:rsid w:val="008D014C"/>
    <w:rsid w:val="008D026F"/>
    <w:rsid w:val="008D0280"/>
    <w:rsid w:val="008D0297"/>
    <w:rsid w:val="008D0358"/>
    <w:rsid w:val="008D0378"/>
    <w:rsid w:val="008D04D3"/>
    <w:rsid w:val="008D0542"/>
    <w:rsid w:val="008D086D"/>
    <w:rsid w:val="008D0A0D"/>
    <w:rsid w:val="008D0A92"/>
    <w:rsid w:val="008D0AF8"/>
    <w:rsid w:val="008D0B55"/>
    <w:rsid w:val="008D0BBD"/>
    <w:rsid w:val="008D0BE1"/>
    <w:rsid w:val="008D0CC2"/>
    <w:rsid w:val="008D0CD2"/>
    <w:rsid w:val="008D0D73"/>
    <w:rsid w:val="008D0EC1"/>
    <w:rsid w:val="008D0F76"/>
    <w:rsid w:val="008D0F95"/>
    <w:rsid w:val="008D0FAD"/>
    <w:rsid w:val="008D0FFF"/>
    <w:rsid w:val="008D1066"/>
    <w:rsid w:val="008D10D5"/>
    <w:rsid w:val="008D12CF"/>
    <w:rsid w:val="008D13A7"/>
    <w:rsid w:val="008D1488"/>
    <w:rsid w:val="008D149A"/>
    <w:rsid w:val="008D1539"/>
    <w:rsid w:val="008D1555"/>
    <w:rsid w:val="008D1559"/>
    <w:rsid w:val="008D157B"/>
    <w:rsid w:val="008D175F"/>
    <w:rsid w:val="008D18DF"/>
    <w:rsid w:val="008D18E8"/>
    <w:rsid w:val="008D195A"/>
    <w:rsid w:val="008D19BC"/>
    <w:rsid w:val="008D1AF8"/>
    <w:rsid w:val="008D1C3B"/>
    <w:rsid w:val="008D1FDF"/>
    <w:rsid w:val="008D202E"/>
    <w:rsid w:val="008D211A"/>
    <w:rsid w:val="008D2351"/>
    <w:rsid w:val="008D23C3"/>
    <w:rsid w:val="008D252F"/>
    <w:rsid w:val="008D25B5"/>
    <w:rsid w:val="008D2756"/>
    <w:rsid w:val="008D2790"/>
    <w:rsid w:val="008D285A"/>
    <w:rsid w:val="008D2920"/>
    <w:rsid w:val="008D2996"/>
    <w:rsid w:val="008D29B8"/>
    <w:rsid w:val="008D2AD6"/>
    <w:rsid w:val="008D2AF9"/>
    <w:rsid w:val="008D2B48"/>
    <w:rsid w:val="008D2DAC"/>
    <w:rsid w:val="008D2E24"/>
    <w:rsid w:val="008D2ECD"/>
    <w:rsid w:val="008D2F58"/>
    <w:rsid w:val="008D306B"/>
    <w:rsid w:val="008D314E"/>
    <w:rsid w:val="008D327E"/>
    <w:rsid w:val="008D32A7"/>
    <w:rsid w:val="008D360C"/>
    <w:rsid w:val="008D3782"/>
    <w:rsid w:val="008D389A"/>
    <w:rsid w:val="008D39A0"/>
    <w:rsid w:val="008D3AF4"/>
    <w:rsid w:val="008D3AFF"/>
    <w:rsid w:val="008D3F04"/>
    <w:rsid w:val="008D3F1B"/>
    <w:rsid w:val="008D4022"/>
    <w:rsid w:val="008D4051"/>
    <w:rsid w:val="008D4186"/>
    <w:rsid w:val="008D42D2"/>
    <w:rsid w:val="008D42ED"/>
    <w:rsid w:val="008D44D9"/>
    <w:rsid w:val="008D45A5"/>
    <w:rsid w:val="008D45A9"/>
    <w:rsid w:val="008D47EF"/>
    <w:rsid w:val="008D491F"/>
    <w:rsid w:val="008D492B"/>
    <w:rsid w:val="008D495C"/>
    <w:rsid w:val="008D497B"/>
    <w:rsid w:val="008D49DE"/>
    <w:rsid w:val="008D4B04"/>
    <w:rsid w:val="008D4B98"/>
    <w:rsid w:val="008D4BCD"/>
    <w:rsid w:val="008D4C13"/>
    <w:rsid w:val="008D4CB9"/>
    <w:rsid w:val="008D4CBC"/>
    <w:rsid w:val="008D4D64"/>
    <w:rsid w:val="008D4D6D"/>
    <w:rsid w:val="008D4DE5"/>
    <w:rsid w:val="008D4E1E"/>
    <w:rsid w:val="008D5060"/>
    <w:rsid w:val="008D5180"/>
    <w:rsid w:val="008D523E"/>
    <w:rsid w:val="008D5316"/>
    <w:rsid w:val="008D5379"/>
    <w:rsid w:val="008D53AB"/>
    <w:rsid w:val="008D53CD"/>
    <w:rsid w:val="008D53E3"/>
    <w:rsid w:val="008D5548"/>
    <w:rsid w:val="008D5783"/>
    <w:rsid w:val="008D578A"/>
    <w:rsid w:val="008D57AC"/>
    <w:rsid w:val="008D57DC"/>
    <w:rsid w:val="008D5800"/>
    <w:rsid w:val="008D587B"/>
    <w:rsid w:val="008D589D"/>
    <w:rsid w:val="008D5916"/>
    <w:rsid w:val="008D595C"/>
    <w:rsid w:val="008D5A22"/>
    <w:rsid w:val="008D5AA3"/>
    <w:rsid w:val="008D5B23"/>
    <w:rsid w:val="008D5C89"/>
    <w:rsid w:val="008D5CA5"/>
    <w:rsid w:val="008D5D88"/>
    <w:rsid w:val="008D6281"/>
    <w:rsid w:val="008D641F"/>
    <w:rsid w:val="008D64FC"/>
    <w:rsid w:val="008D660C"/>
    <w:rsid w:val="008D6760"/>
    <w:rsid w:val="008D68FE"/>
    <w:rsid w:val="008D6919"/>
    <w:rsid w:val="008D69FB"/>
    <w:rsid w:val="008D6AB2"/>
    <w:rsid w:val="008D6D2C"/>
    <w:rsid w:val="008D6D7A"/>
    <w:rsid w:val="008D6D7D"/>
    <w:rsid w:val="008D6DA6"/>
    <w:rsid w:val="008D6F63"/>
    <w:rsid w:val="008D70ED"/>
    <w:rsid w:val="008D7109"/>
    <w:rsid w:val="008D7329"/>
    <w:rsid w:val="008D7357"/>
    <w:rsid w:val="008D7387"/>
    <w:rsid w:val="008D73CA"/>
    <w:rsid w:val="008D73E4"/>
    <w:rsid w:val="008D749C"/>
    <w:rsid w:val="008D74E4"/>
    <w:rsid w:val="008D760C"/>
    <w:rsid w:val="008D7612"/>
    <w:rsid w:val="008D7613"/>
    <w:rsid w:val="008D7656"/>
    <w:rsid w:val="008D7667"/>
    <w:rsid w:val="008D771F"/>
    <w:rsid w:val="008D7778"/>
    <w:rsid w:val="008D7816"/>
    <w:rsid w:val="008D7856"/>
    <w:rsid w:val="008D79AE"/>
    <w:rsid w:val="008D79BA"/>
    <w:rsid w:val="008D7BA6"/>
    <w:rsid w:val="008D7C77"/>
    <w:rsid w:val="008D7C81"/>
    <w:rsid w:val="008D7CED"/>
    <w:rsid w:val="008D7DA3"/>
    <w:rsid w:val="008D7EF9"/>
    <w:rsid w:val="008D7F26"/>
    <w:rsid w:val="008E020B"/>
    <w:rsid w:val="008E02C2"/>
    <w:rsid w:val="008E031E"/>
    <w:rsid w:val="008E039A"/>
    <w:rsid w:val="008E03C8"/>
    <w:rsid w:val="008E03D2"/>
    <w:rsid w:val="008E04E7"/>
    <w:rsid w:val="008E058F"/>
    <w:rsid w:val="008E06BC"/>
    <w:rsid w:val="008E070A"/>
    <w:rsid w:val="008E070F"/>
    <w:rsid w:val="008E07BF"/>
    <w:rsid w:val="008E081E"/>
    <w:rsid w:val="008E092A"/>
    <w:rsid w:val="008E0B58"/>
    <w:rsid w:val="008E0B95"/>
    <w:rsid w:val="008E0BDE"/>
    <w:rsid w:val="008E0C0A"/>
    <w:rsid w:val="008E0CBA"/>
    <w:rsid w:val="008E0D54"/>
    <w:rsid w:val="008E0EAF"/>
    <w:rsid w:val="008E115F"/>
    <w:rsid w:val="008E124E"/>
    <w:rsid w:val="008E1376"/>
    <w:rsid w:val="008E1420"/>
    <w:rsid w:val="008E1815"/>
    <w:rsid w:val="008E186A"/>
    <w:rsid w:val="008E18E3"/>
    <w:rsid w:val="008E1A2B"/>
    <w:rsid w:val="008E1B74"/>
    <w:rsid w:val="008E1C66"/>
    <w:rsid w:val="008E1CA2"/>
    <w:rsid w:val="008E1CDC"/>
    <w:rsid w:val="008E1F73"/>
    <w:rsid w:val="008E2033"/>
    <w:rsid w:val="008E215F"/>
    <w:rsid w:val="008E224C"/>
    <w:rsid w:val="008E2369"/>
    <w:rsid w:val="008E23A6"/>
    <w:rsid w:val="008E24B7"/>
    <w:rsid w:val="008E24F2"/>
    <w:rsid w:val="008E27FC"/>
    <w:rsid w:val="008E2A1C"/>
    <w:rsid w:val="008E2A54"/>
    <w:rsid w:val="008E2A60"/>
    <w:rsid w:val="008E2A62"/>
    <w:rsid w:val="008E2BAA"/>
    <w:rsid w:val="008E2D62"/>
    <w:rsid w:val="008E2D96"/>
    <w:rsid w:val="008E2EA0"/>
    <w:rsid w:val="008E2EE8"/>
    <w:rsid w:val="008E2FA7"/>
    <w:rsid w:val="008E2FFD"/>
    <w:rsid w:val="008E31A3"/>
    <w:rsid w:val="008E33F4"/>
    <w:rsid w:val="008E3404"/>
    <w:rsid w:val="008E345A"/>
    <w:rsid w:val="008E3584"/>
    <w:rsid w:val="008E3588"/>
    <w:rsid w:val="008E35AE"/>
    <w:rsid w:val="008E35E5"/>
    <w:rsid w:val="008E36B6"/>
    <w:rsid w:val="008E370B"/>
    <w:rsid w:val="008E3724"/>
    <w:rsid w:val="008E37C8"/>
    <w:rsid w:val="008E39D8"/>
    <w:rsid w:val="008E3A32"/>
    <w:rsid w:val="008E3B54"/>
    <w:rsid w:val="008E3B8B"/>
    <w:rsid w:val="008E3C9C"/>
    <w:rsid w:val="008E3DC9"/>
    <w:rsid w:val="008E3DD4"/>
    <w:rsid w:val="008E3E23"/>
    <w:rsid w:val="008E3E8E"/>
    <w:rsid w:val="008E3F0E"/>
    <w:rsid w:val="008E40D2"/>
    <w:rsid w:val="008E414B"/>
    <w:rsid w:val="008E4385"/>
    <w:rsid w:val="008E43CB"/>
    <w:rsid w:val="008E44F9"/>
    <w:rsid w:val="008E464B"/>
    <w:rsid w:val="008E47AF"/>
    <w:rsid w:val="008E47B8"/>
    <w:rsid w:val="008E47E9"/>
    <w:rsid w:val="008E4844"/>
    <w:rsid w:val="008E49C4"/>
    <w:rsid w:val="008E4AC9"/>
    <w:rsid w:val="008E4AF4"/>
    <w:rsid w:val="008E4B75"/>
    <w:rsid w:val="008E4BCE"/>
    <w:rsid w:val="008E4C03"/>
    <w:rsid w:val="008E4C25"/>
    <w:rsid w:val="008E4DC7"/>
    <w:rsid w:val="008E4E36"/>
    <w:rsid w:val="008E4E91"/>
    <w:rsid w:val="008E4E9E"/>
    <w:rsid w:val="008E4EB3"/>
    <w:rsid w:val="008E50C5"/>
    <w:rsid w:val="008E5144"/>
    <w:rsid w:val="008E52C5"/>
    <w:rsid w:val="008E52C8"/>
    <w:rsid w:val="008E52F9"/>
    <w:rsid w:val="008E53BC"/>
    <w:rsid w:val="008E540A"/>
    <w:rsid w:val="008E543E"/>
    <w:rsid w:val="008E550C"/>
    <w:rsid w:val="008E5837"/>
    <w:rsid w:val="008E588B"/>
    <w:rsid w:val="008E58C4"/>
    <w:rsid w:val="008E5904"/>
    <w:rsid w:val="008E5C77"/>
    <w:rsid w:val="008E5CF6"/>
    <w:rsid w:val="008E5D32"/>
    <w:rsid w:val="008E5D57"/>
    <w:rsid w:val="008E5EC4"/>
    <w:rsid w:val="008E63F8"/>
    <w:rsid w:val="008E6422"/>
    <w:rsid w:val="008E64D4"/>
    <w:rsid w:val="008E651A"/>
    <w:rsid w:val="008E658E"/>
    <w:rsid w:val="008E6593"/>
    <w:rsid w:val="008E66BE"/>
    <w:rsid w:val="008E6717"/>
    <w:rsid w:val="008E6758"/>
    <w:rsid w:val="008E693B"/>
    <w:rsid w:val="008E693E"/>
    <w:rsid w:val="008E6996"/>
    <w:rsid w:val="008E69DF"/>
    <w:rsid w:val="008E6C0A"/>
    <w:rsid w:val="008E6D92"/>
    <w:rsid w:val="008E707F"/>
    <w:rsid w:val="008E712C"/>
    <w:rsid w:val="008E7139"/>
    <w:rsid w:val="008E71A3"/>
    <w:rsid w:val="008E71CB"/>
    <w:rsid w:val="008E726C"/>
    <w:rsid w:val="008E7505"/>
    <w:rsid w:val="008E76BB"/>
    <w:rsid w:val="008E79E3"/>
    <w:rsid w:val="008E7AE3"/>
    <w:rsid w:val="008E7CB2"/>
    <w:rsid w:val="008E7F00"/>
    <w:rsid w:val="008E7F3A"/>
    <w:rsid w:val="008F0004"/>
    <w:rsid w:val="008F0015"/>
    <w:rsid w:val="008F0037"/>
    <w:rsid w:val="008F0254"/>
    <w:rsid w:val="008F02C2"/>
    <w:rsid w:val="008F0324"/>
    <w:rsid w:val="008F047C"/>
    <w:rsid w:val="008F0584"/>
    <w:rsid w:val="008F060D"/>
    <w:rsid w:val="008F06B3"/>
    <w:rsid w:val="008F0822"/>
    <w:rsid w:val="008F0832"/>
    <w:rsid w:val="008F09C1"/>
    <w:rsid w:val="008F0B35"/>
    <w:rsid w:val="008F0CD9"/>
    <w:rsid w:val="008F0F09"/>
    <w:rsid w:val="008F0F4D"/>
    <w:rsid w:val="008F0F68"/>
    <w:rsid w:val="008F0FD0"/>
    <w:rsid w:val="008F1112"/>
    <w:rsid w:val="008F1287"/>
    <w:rsid w:val="008F12FC"/>
    <w:rsid w:val="008F1538"/>
    <w:rsid w:val="008F1562"/>
    <w:rsid w:val="008F17D8"/>
    <w:rsid w:val="008F1A62"/>
    <w:rsid w:val="008F1BA0"/>
    <w:rsid w:val="008F1BA7"/>
    <w:rsid w:val="008F1C78"/>
    <w:rsid w:val="008F1DA8"/>
    <w:rsid w:val="008F1DCF"/>
    <w:rsid w:val="008F1F77"/>
    <w:rsid w:val="008F200F"/>
    <w:rsid w:val="008F21E9"/>
    <w:rsid w:val="008F2221"/>
    <w:rsid w:val="008F2280"/>
    <w:rsid w:val="008F243F"/>
    <w:rsid w:val="008F24B7"/>
    <w:rsid w:val="008F24C5"/>
    <w:rsid w:val="008F2793"/>
    <w:rsid w:val="008F27F3"/>
    <w:rsid w:val="008F2830"/>
    <w:rsid w:val="008F28FA"/>
    <w:rsid w:val="008F29AF"/>
    <w:rsid w:val="008F29BC"/>
    <w:rsid w:val="008F2AA0"/>
    <w:rsid w:val="008F2BEC"/>
    <w:rsid w:val="008F2E73"/>
    <w:rsid w:val="008F2FED"/>
    <w:rsid w:val="008F305B"/>
    <w:rsid w:val="008F3251"/>
    <w:rsid w:val="008F3271"/>
    <w:rsid w:val="008F329C"/>
    <w:rsid w:val="008F33B4"/>
    <w:rsid w:val="008F35EF"/>
    <w:rsid w:val="008F3670"/>
    <w:rsid w:val="008F36C8"/>
    <w:rsid w:val="008F38A2"/>
    <w:rsid w:val="008F39A2"/>
    <w:rsid w:val="008F39E3"/>
    <w:rsid w:val="008F3A09"/>
    <w:rsid w:val="008F3A4C"/>
    <w:rsid w:val="008F3AA5"/>
    <w:rsid w:val="008F3AB7"/>
    <w:rsid w:val="008F3C26"/>
    <w:rsid w:val="008F3C92"/>
    <w:rsid w:val="008F3CC2"/>
    <w:rsid w:val="008F3ED0"/>
    <w:rsid w:val="008F3EEA"/>
    <w:rsid w:val="008F3F0B"/>
    <w:rsid w:val="008F3F38"/>
    <w:rsid w:val="008F3F6F"/>
    <w:rsid w:val="008F4163"/>
    <w:rsid w:val="008F4443"/>
    <w:rsid w:val="008F44D5"/>
    <w:rsid w:val="008F475A"/>
    <w:rsid w:val="008F4793"/>
    <w:rsid w:val="008F48E7"/>
    <w:rsid w:val="008F492B"/>
    <w:rsid w:val="008F499F"/>
    <w:rsid w:val="008F4B45"/>
    <w:rsid w:val="008F4BBE"/>
    <w:rsid w:val="008F4BE7"/>
    <w:rsid w:val="008F4D80"/>
    <w:rsid w:val="008F4DCE"/>
    <w:rsid w:val="008F4F03"/>
    <w:rsid w:val="008F5056"/>
    <w:rsid w:val="008F512A"/>
    <w:rsid w:val="008F513A"/>
    <w:rsid w:val="008F53BA"/>
    <w:rsid w:val="008F5489"/>
    <w:rsid w:val="008F5494"/>
    <w:rsid w:val="008F564A"/>
    <w:rsid w:val="008F56EE"/>
    <w:rsid w:val="008F57AF"/>
    <w:rsid w:val="008F589B"/>
    <w:rsid w:val="008F5901"/>
    <w:rsid w:val="008F5998"/>
    <w:rsid w:val="008F59A9"/>
    <w:rsid w:val="008F5A1E"/>
    <w:rsid w:val="008F5AB7"/>
    <w:rsid w:val="008F5AF8"/>
    <w:rsid w:val="008F5C04"/>
    <w:rsid w:val="008F5C78"/>
    <w:rsid w:val="008F5D16"/>
    <w:rsid w:val="008F5D69"/>
    <w:rsid w:val="008F5E03"/>
    <w:rsid w:val="008F5E26"/>
    <w:rsid w:val="008F60D2"/>
    <w:rsid w:val="008F610C"/>
    <w:rsid w:val="008F61A5"/>
    <w:rsid w:val="008F6282"/>
    <w:rsid w:val="008F62B2"/>
    <w:rsid w:val="008F62B4"/>
    <w:rsid w:val="008F6450"/>
    <w:rsid w:val="008F64BA"/>
    <w:rsid w:val="008F66C0"/>
    <w:rsid w:val="008F66DE"/>
    <w:rsid w:val="008F6728"/>
    <w:rsid w:val="008F697C"/>
    <w:rsid w:val="008F6C10"/>
    <w:rsid w:val="008F6C8C"/>
    <w:rsid w:val="008F6CA5"/>
    <w:rsid w:val="008F6DC2"/>
    <w:rsid w:val="008F6EC4"/>
    <w:rsid w:val="008F6EF1"/>
    <w:rsid w:val="008F6FA1"/>
    <w:rsid w:val="008F6FF7"/>
    <w:rsid w:val="008F707D"/>
    <w:rsid w:val="008F7132"/>
    <w:rsid w:val="008F720B"/>
    <w:rsid w:val="008F72A3"/>
    <w:rsid w:val="008F72CB"/>
    <w:rsid w:val="008F731D"/>
    <w:rsid w:val="008F73BB"/>
    <w:rsid w:val="008F73D7"/>
    <w:rsid w:val="008F75EB"/>
    <w:rsid w:val="008F7779"/>
    <w:rsid w:val="008F7915"/>
    <w:rsid w:val="008F7B13"/>
    <w:rsid w:val="008F7C58"/>
    <w:rsid w:val="008F7D47"/>
    <w:rsid w:val="008F7D75"/>
    <w:rsid w:val="008F7EED"/>
    <w:rsid w:val="00900112"/>
    <w:rsid w:val="00900145"/>
    <w:rsid w:val="00900346"/>
    <w:rsid w:val="009003A9"/>
    <w:rsid w:val="00900444"/>
    <w:rsid w:val="0090065A"/>
    <w:rsid w:val="00900688"/>
    <w:rsid w:val="009007EF"/>
    <w:rsid w:val="009008C1"/>
    <w:rsid w:val="009008E0"/>
    <w:rsid w:val="00900907"/>
    <w:rsid w:val="00900A45"/>
    <w:rsid w:val="00900B9E"/>
    <w:rsid w:val="00900C21"/>
    <w:rsid w:val="00900C9A"/>
    <w:rsid w:val="00900CDE"/>
    <w:rsid w:val="00900E03"/>
    <w:rsid w:val="00900E2A"/>
    <w:rsid w:val="009013A3"/>
    <w:rsid w:val="0090153D"/>
    <w:rsid w:val="009015A1"/>
    <w:rsid w:val="009015B5"/>
    <w:rsid w:val="009015EB"/>
    <w:rsid w:val="009016F2"/>
    <w:rsid w:val="0090177C"/>
    <w:rsid w:val="009018F6"/>
    <w:rsid w:val="00901A1F"/>
    <w:rsid w:val="00901B54"/>
    <w:rsid w:val="00901BFD"/>
    <w:rsid w:val="00901C1A"/>
    <w:rsid w:val="00901C83"/>
    <w:rsid w:val="00901CA1"/>
    <w:rsid w:val="00901CEA"/>
    <w:rsid w:val="00901E5C"/>
    <w:rsid w:val="00901EA6"/>
    <w:rsid w:val="0090235D"/>
    <w:rsid w:val="0090236C"/>
    <w:rsid w:val="00902393"/>
    <w:rsid w:val="00902491"/>
    <w:rsid w:val="009024F8"/>
    <w:rsid w:val="009024F9"/>
    <w:rsid w:val="00902729"/>
    <w:rsid w:val="009028EB"/>
    <w:rsid w:val="00902960"/>
    <w:rsid w:val="00902A46"/>
    <w:rsid w:val="00902B49"/>
    <w:rsid w:val="00902C07"/>
    <w:rsid w:val="00902C47"/>
    <w:rsid w:val="00902CB3"/>
    <w:rsid w:val="00902CC8"/>
    <w:rsid w:val="00902D54"/>
    <w:rsid w:val="00902EA1"/>
    <w:rsid w:val="00902F33"/>
    <w:rsid w:val="00902F7E"/>
    <w:rsid w:val="00902FAE"/>
    <w:rsid w:val="0090305D"/>
    <w:rsid w:val="009030D7"/>
    <w:rsid w:val="0090319A"/>
    <w:rsid w:val="009033E7"/>
    <w:rsid w:val="009033EA"/>
    <w:rsid w:val="009033FE"/>
    <w:rsid w:val="00903543"/>
    <w:rsid w:val="00903561"/>
    <w:rsid w:val="00903576"/>
    <w:rsid w:val="009035A2"/>
    <w:rsid w:val="00903608"/>
    <w:rsid w:val="00903770"/>
    <w:rsid w:val="00903788"/>
    <w:rsid w:val="009037A1"/>
    <w:rsid w:val="009037AD"/>
    <w:rsid w:val="00903863"/>
    <w:rsid w:val="00903873"/>
    <w:rsid w:val="00903880"/>
    <w:rsid w:val="00903A78"/>
    <w:rsid w:val="00903AA9"/>
    <w:rsid w:val="00903B02"/>
    <w:rsid w:val="00903F36"/>
    <w:rsid w:val="00903F87"/>
    <w:rsid w:val="00904150"/>
    <w:rsid w:val="00904221"/>
    <w:rsid w:val="0090432D"/>
    <w:rsid w:val="0090435F"/>
    <w:rsid w:val="00904389"/>
    <w:rsid w:val="00904398"/>
    <w:rsid w:val="009043CB"/>
    <w:rsid w:val="009043DC"/>
    <w:rsid w:val="0090445F"/>
    <w:rsid w:val="00904516"/>
    <w:rsid w:val="009045B6"/>
    <w:rsid w:val="00904618"/>
    <w:rsid w:val="0090461D"/>
    <w:rsid w:val="0090467A"/>
    <w:rsid w:val="00904826"/>
    <w:rsid w:val="009048EA"/>
    <w:rsid w:val="0090490F"/>
    <w:rsid w:val="0090492A"/>
    <w:rsid w:val="00904A1E"/>
    <w:rsid w:val="00904B44"/>
    <w:rsid w:val="00904C22"/>
    <w:rsid w:val="00904C50"/>
    <w:rsid w:val="00904D87"/>
    <w:rsid w:val="00904DD2"/>
    <w:rsid w:val="00904E45"/>
    <w:rsid w:val="0090511B"/>
    <w:rsid w:val="009051EA"/>
    <w:rsid w:val="00905291"/>
    <w:rsid w:val="009052E3"/>
    <w:rsid w:val="009053FB"/>
    <w:rsid w:val="00905443"/>
    <w:rsid w:val="0090573D"/>
    <w:rsid w:val="0090577F"/>
    <w:rsid w:val="00905848"/>
    <w:rsid w:val="00905945"/>
    <w:rsid w:val="0090598A"/>
    <w:rsid w:val="00905A78"/>
    <w:rsid w:val="00905A8E"/>
    <w:rsid w:val="00905AEF"/>
    <w:rsid w:val="00905B9B"/>
    <w:rsid w:val="00905BD5"/>
    <w:rsid w:val="00905E69"/>
    <w:rsid w:val="00905E7A"/>
    <w:rsid w:val="00905F72"/>
    <w:rsid w:val="0090604F"/>
    <w:rsid w:val="00906088"/>
    <w:rsid w:val="009060C5"/>
    <w:rsid w:val="00906145"/>
    <w:rsid w:val="00906373"/>
    <w:rsid w:val="0090646F"/>
    <w:rsid w:val="00906524"/>
    <w:rsid w:val="00906526"/>
    <w:rsid w:val="00906633"/>
    <w:rsid w:val="0090669E"/>
    <w:rsid w:val="00906799"/>
    <w:rsid w:val="009067F5"/>
    <w:rsid w:val="009067FE"/>
    <w:rsid w:val="00906875"/>
    <w:rsid w:val="00906A21"/>
    <w:rsid w:val="00906A88"/>
    <w:rsid w:val="00906AC8"/>
    <w:rsid w:val="00906C47"/>
    <w:rsid w:val="00906C8D"/>
    <w:rsid w:val="00906CF5"/>
    <w:rsid w:val="00906D88"/>
    <w:rsid w:val="00906E7B"/>
    <w:rsid w:val="00906E94"/>
    <w:rsid w:val="00907089"/>
    <w:rsid w:val="0090710F"/>
    <w:rsid w:val="009072B7"/>
    <w:rsid w:val="009074BF"/>
    <w:rsid w:val="0090782B"/>
    <w:rsid w:val="00907905"/>
    <w:rsid w:val="00907A9F"/>
    <w:rsid w:val="00907AE9"/>
    <w:rsid w:val="00907B50"/>
    <w:rsid w:val="00907E0B"/>
    <w:rsid w:val="00907FD1"/>
    <w:rsid w:val="00907FFC"/>
    <w:rsid w:val="00910036"/>
    <w:rsid w:val="009100D5"/>
    <w:rsid w:val="009101BF"/>
    <w:rsid w:val="0091031E"/>
    <w:rsid w:val="00910398"/>
    <w:rsid w:val="009103B4"/>
    <w:rsid w:val="0091047F"/>
    <w:rsid w:val="0091050A"/>
    <w:rsid w:val="00910625"/>
    <w:rsid w:val="00910781"/>
    <w:rsid w:val="00910844"/>
    <w:rsid w:val="009108B2"/>
    <w:rsid w:val="009109BD"/>
    <w:rsid w:val="009109CA"/>
    <w:rsid w:val="009109D0"/>
    <w:rsid w:val="009109DF"/>
    <w:rsid w:val="009109E4"/>
    <w:rsid w:val="00910B0B"/>
    <w:rsid w:val="00910B9E"/>
    <w:rsid w:val="00910BC6"/>
    <w:rsid w:val="00910BE7"/>
    <w:rsid w:val="00910BED"/>
    <w:rsid w:val="00910BFD"/>
    <w:rsid w:val="00910C6F"/>
    <w:rsid w:val="00910D1E"/>
    <w:rsid w:val="00910DCD"/>
    <w:rsid w:val="00910DDA"/>
    <w:rsid w:val="00910F6F"/>
    <w:rsid w:val="0091105B"/>
    <w:rsid w:val="0091105E"/>
    <w:rsid w:val="00911086"/>
    <w:rsid w:val="009110A5"/>
    <w:rsid w:val="00911159"/>
    <w:rsid w:val="00911202"/>
    <w:rsid w:val="00911226"/>
    <w:rsid w:val="0091131A"/>
    <w:rsid w:val="0091138A"/>
    <w:rsid w:val="009113EE"/>
    <w:rsid w:val="00911448"/>
    <w:rsid w:val="009114BC"/>
    <w:rsid w:val="009114E6"/>
    <w:rsid w:val="009114FD"/>
    <w:rsid w:val="0091158D"/>
    <w:rsid w:val="00911873"/>
    <w:rsid w:val="00911997"/>
    <w:rsid w:val="00911A93"/>
    <w:rsid w:val="00911C4A"/>
    <w:rsid w:val="00911CA0"/>
    <w:rsid w:val="00911CE4"/>
    <w:rsid w:val="00911D1D"/>
    <w:rsid w:val="00911D7E"/>
    <w:rsid w:val="00911D96"/>
    <w:rsid w:val="00911E05"/>
    <w:rsid w:val="00911E3B"/>
    <w:rsid w:val="00911E43"/>
    <w:rsid w:val="00911F24"/>
    <w:rsid w:val="009120DF"/>
    <w:rsid w:val="009120E2"/>
    <w:rsid w:val="0091210A"/>
    <w:rsid w:val="009121D1"/>
    <w:rsid w:val="0091220F"/>
    <w:rsid w:val="00912275"/>
    <w:rsid w:val="009122AC"/>
    <w:rsid w:val="00912377"/>
    <w:rsid w:val="009123A0"/>
    <w:rsid w:val="00912494"/>
    <w:rsid w:val="009124AA"/>
    <w:rsid w:val="00912551"/>
    <w:rsid w:val="009125BB"/>
    <w:rsid w:val="009127EB"/>
    <w:rsid w:val="009128CE"/>
    <w:rsid w:val="00912987"/>
    <w:rsid w:val="00912B7F"/>
    <w:rsid w:val="00912C1B"/>
    <w:rsid w:val="00912C5E"/>
    <w:rsid w:val="00912C83"/>
    <w:rsid w:val="00912D50"/>
    <w:rsid w:val="00912DD1"/>
    <w:rsid w:val="00912E94"/>
    <w:rsid w:val="00912EC5"/>
    <w:rsid w:val="00912F1D"/>
    <w:rsid w:val="00912F84"/>
    <w:rsid w:val="0091301C"/>
    <w:rsid w:val="009131AD"/>
    <w:rsid w:val="00913278"/>
    <w:rsid w:val="0091338D"/>
    <w:rsid w:val="00913472"/>
    <w:rsid w:val="009134E9"/>
    <w:rsid w:val="009135CC"/>
    <w:rsid w:val="0091362C"/>
    <w:rsid w:val="009136DB"/>
    <w:rsid w:val="009136FF"/>
    <w:rsid w:val="00913702"/>
    <w:rsid w:val="00913730"/>
    <w:rsid w:val="009137B6"/>
    <w:rsid w:val="0091389F"/>
    <w:rsid w:val="00913AB3"/>
    <w:rsid w:val="00913C9F"/>
    <w:rsid w:val="00913CD3"/>
    <w:rsid w:val="00913D5B"/>
    <w:rsid w:val="00913DA1"/>
    <w:rsid w:val="00913EA3"/>
    <w:rsid w:val="00913F7C"/>
    <w:rsid w:val="009140E9"/>
    <w:rsid w:val="00914160"/>
    <w:rsid w:val="0091416D"/>
    <w:rsid w:val="0091420E"/>
    <w:rsid w:val="00914286"/>
    <w:rsid w:val="009142ED"/>
    <w:rsid w:val="00914333"/>
    <w:rsid w:val="00914336"/>
    <w:rsid w:val="00914446"/>
    <w:rsid w:val="00914479"/>
    <w:rsid w:val="00914488"/>
    <w:rsid w:val="009144A9"/>
    <w:rsid w:val="009144D6"/>
    <w:rsid w:val="0091455A"/>
    <w:rsid w:val="0091460C"/>
    <w:rsid w:val="009146C5"/>
    <w:rsid w:val="00914726"/>
    <w:rsid w:val="0091472D"/>
    <w:rsid w:val="009147FE"/>
    <w:rsid w:val="0091495A"/>
    <w:rsid w:val="0091495B"/>
    <w:rsid w:val="00914AC0"/>
    <w:rsid w:val="00914C1C"/>
    <w:rsid w:val="00914E60"/>
    <w:rsid w:val="00914E88"/>
    <w:rsid w:val="00914F70"/>
    <w:rsid w:val="00914FCB"/>
    <w:rsid w:val="00915001"/>
    <w:rsid w:val="00915066"/>
    <w:rsid w:val="0091510F"/>
    <w:rsid w:val="0091513F"/>
    <w:rsid w:val="0091516A"/>
    <w:rsid w:val="0091518F"/>
    <w:rsid w:val="009151E2"/>
    <w:rsid w:val="009153C3"/>
    <w:rsid w:val="00915437"/>
    <w:rsid w:val="0091548C"/>
    <w:rsid w:val="009154BA"/>
    <w:rsid w:val="009154E5"/>
    <w:rsid w:val="009156CC"/>
    <w:rsid w:val="00915744"/>
    <w:rsid w:val="009157EC"/>
    <w:rsid w:val="00915902"/>
    <w:rsid w:val="009159C3"/>
    <w:rsid w:val="00915ACC"/>
    <w:rsid w:val="00915C09"/>
    <w:rsid w:val="00915CA1"/>
    <w:rsid w:val="00915CD4"/>
    <w:rsid w:val="00915D72"/>
    <w:rsid w:val="00915D89"/>
    <w:rsid w:val="00915D8E"/>
    <w:rsid w:val="00915DCF"/>
    <w:rsid w:val="00915EA9"/>
    <w:rsid w:val="00915EBE"/>
    <w:rsid w:val="00915F65"/>
    <w:rsid w:val="00915F81"/>
    <w:rsid w:val="00916037"/>
    <w:rsid w:val="00916120"/>
    <w:rsid w:val="0091617F"/>
    <w:rsid w:val="0091623B"/>
    <w:rsid w:val="00916287"/>
    <w:rsid w:val="009162A4"/>
    <w:rsid w:val="0091630E"/>
    <w:rsid w:val="00916408"/>
    <w:rsid w:val="009164C1"/>
    <w:rsid w:val="009165DA"/>
    <w:rsid w:val="00916624"/>
    <w:rsid w:val="0091662C"/>
    <w:rsid w:val="00916752"/>
    <w:rsid w:val="009167AD"/>
    <w:rsid w:val="00916990"/>
    <w:rsid w:val="009169B0"/>
    <w:rsid w:val="009169F3"/>
    <w:rsid w:val="00916A84"/>
    <w:rsid w:val="00916B40"/>
    <w:rsid w:val="00916BB0"/>
    <w:rsid w:val="00916BB8"/>
    <w:rsid w:val="00916D05"/>
    <w:rsid w:val="00916D96"/>
    <w:rsid w:val="00916E79"/>
    <w:rsid w:val="00916F70"/>
    <w:rsid w:val="00916F88"/>
    <w:rsid w:val="0091702A"/>
    <w:rsid w:val="00917109"/>
    <w:rsid w:val="009171CA"/>
    <w:rsid w:val="0091725C"/>
    <w:rsid w:val="0091726C"/>
    <w:rsid w:val="009172EE"/>
    <w:rsid w:val="009172FD"/>
    <w:rsid w:val="009173DB"/>
    <w:rsid w:val="009174E3"/>
    <w:rsid w:val="00917791"/>
    <w:rsid w:val="0091782C"/>
    <w:rsid w:val="009179C3"/>
    <w:rsid w:val="00917A25"/>
    <w:rsid w:val="00917A80"/>
    <w:rsid w:val="00917B07"/>
    <w:rsid w:val="00917B2B"/>
    <w:rsid w:val="00917BE1"/>
    <w:rsid w:val="00917C45"/>
    <w:rsid w:val="00917E27"/>
    <w:rsid w:val="00917F41"/>
    <w:rsid w:val="00917FBA"/>
    <w:rsid w:val="0092008F"/>
    <w:rsid w:val="0092040D"/>
    <w:rsid w:val="00920477"/>
    <w:rsid w:val="0092067C"/>
    <w:rsid w:val="00920749"/>
    <w:rsid w:val="0092075D"/>
    <w:rsid w:val="009208AE"/>
    <w:rsid w:val="009208D8"/>
    <w:rsid w:val="00920906"/>
    <w:rsid w:val="00920AE1"/>
    <w:rsid w:val="00920B11"/>
    <w:rsid w:val="00920B21"/>
    <w:rsid w:val="00920CFE"/>
    <w:rsid w:val="00920D1F"/>
    <w:rsid w:val="00920D28"/>
    <w:rsid w:val="00920D39"/>
    <w:rsid w:val="00920D6B"/>
    <w:rsid w:val="00920E0E"/>
    <w:rsid w:val="00920E84"/>
    <w:rsid w:val="00920FDC"/>
    <w:rsid w:val="0092103D"/>
    <w:rsid w:val="0092105B"/>
    <w:rsid w:val="0092105F"/>
    <w:rsid w:val="009210D2"/>
    <w:rsid w:val="00921165"/>
    <w:rsid w:val="009211D6"/>
    <w:rsid w:val="00921237"/>
    <w:rsid w:val="00921545"/>
    <w:rsid w:val="0092158A"/>
    <w:rsid w:val="009215E2"/>
    <w:rsid w:val="00921689"/>
    <w:rsid w:val="009217EF"/>
    <w:rsid w:val="00921847"/>
    <w:rsid w:val="00921A7F"/>
    <w:rsid w:val="00921A9D"/>
    <w:rsid w:val="00921C03"/>
    <w:rsid w:val="00921CC8"/>
    <w:rsid w:val="00921DC5"/>
    <w:rsid w:val="00921E94"/>
    <w:rsid w:val="00921F91"/>
    <w:rsid w:val="0092222E"/>
    <w:rsid w:val="0092239B"/>
    <w:rsid w:val="009223D4"/>
    <w:rsid w:val="0092246A"/>
    <w:rsid w:val="009226ED"/>
    <w:rsid w:val="00922715"/>
    <w:rsid w:val="00922726"/>
    <w:rsid w:val="009227A2"/>
    <w:rsid w:val="0092293E"/>
    <w:rsid w:val="00922983"/>
    <w:rsid w:val="00922992"/>
    <w:rsid w:val="00922A78"/>
    <w:rsid w:val="00922B02"/>
    <w:rsid w:val="00922B73"/>
    <w:rsid w:val="00922D9D"/>
    <w:rsid w:val="009230D5"/>
    <w:rsid w:val="00923105"/>
    <w:rsid w:val="00923106"/>
    <w:rsid w:val="0092312A"/>
    <w:rsid w:val="009231D1"/>
    <w:rsid w:val="009233A4"/>
    <w:rsid w:val="009233B3"/>
    <w:rsid w:val="009233E5"/>
    <w:rsid w:val="00923535"/>
    <w:rsid w:val="00923603"/>
    <w:rsid w:val="0092361D"/>
    <w:rsid w:val="00923820"/>
    <w:rsid w:val="009238A6"/>
    <w:rsid w:val="00923A07"/>
    <w:rsid w:val="00923A98"/>
    <w:rsid w:val="00923ABA"/>
    <w:rsid w:val="00923D2F"/>
    <w:rsid w:val="00923DB5"/>
    <w:rsid w:val="00923DF7"/>
    <w:rsid w:val="0092405E"/>
    <w:rsid w:val="009241D9"/>
    <w:rsid w:val="009241DC"/>
    <w:rsid w:val="00924246"/>
    <w:rsid w:val="009242DD"/>
    <w:rsid w:val="00924484"/>
    <w:rsid w:val="009244D4"/>
    <w:rsid w:val="0092453F"/>
    <w:rsid w:val="0092463A"/>
    <w:rsid w:val="00924756"/>
    <w:rsid w:val="00924992"/>
    <w:rsid w:val="00924A1E"/>
    <w:rsid w:val="00924AC9"/>
    <w:rsid w:val="00924ACB"/>
    <w:rsid w:val="00924B40"/>
    <w:rsid w:val="00924CCC"/>
    <w:rsid w:val="00924CED"/>
    <w:rsid w:val="00924F8D"/>
    <w:rsid w:val="0092504D"/>
    <w:rsid w:val="009250F8"/>
    <w:rsid w:val="00925422"/>
    <w:rsid w:val="0092555F"/>
    <w:rsid w:val="009255B4"/>
    <w:rsid w:val="00925682"/>
    <w:rsid w:val="009256A0"/>
    <w:rsid w:val="009256C9"/>
    <w:rsid w:val="0092570F"/>
    <w:rsid w:val="0092577D"/>
    <w:rsid w:val="009257AF"/>
    <w:rsid w:val="00925900"/>
    <w:rsid w:val="00925AD1"/>
    <w:rsid w:val="00925AFC"/>
    <w:rsid w:val="00925BC6"/>
    <w:rsid w:val="00925C38"/>
    <w:rsid w:val="00925C56"/>
    <w:rsid w:val="00925C5D"/>
    <w:rsid w:val="00925CBA"/>
    <w:rsid w:val="00925E48"/>
    <w:rsid w:val="00925E52"/>
    <w:rsid w:val="00925FD8"/>
    <w:rsid w:val="00926168"/>
    <w:rsid w:val="009261B1"/>
    <w:rsid w:val="009261E9"/>
    <w:rsid w:val="00926503"/>
    <w:rsid w:val="00926517"/>
    <w:rsid w:val="00926568"/>
    <w:rsid w:val="009265D6"/>
    <w:rsid w:val="0092664D"/>
    <w:rsid w:val="0092666E"/>
    <w:rsid w:val="0092673C"/>
    <w:rsid w:val="0092687D"/>
    <w:rsid w:val="009268C3"/>
    <w:rsid w:val="0092698F"/>
    <w:rsid w:val="00926BB6"/>
    <w:rsid w:val="00926C10"/>
    <w:rsid w:val="00926C88"/>
    <w:rsid w:val="00926D19"/>
    <w:rsid w:val="00926DD6"/>
    <w:rsid w:val="00926E7E"/>
    <w:rsid w:val="00926F12"/>
    <w:rsid w:val="009270C0"/>
    <w:rsid w:val="009271D2"/>
    <w:rsid w:val="009274A5"/>
    <w:rsid w:val="009274E8"/>
    <w:rsid w:val="009274FC"/>
    <w:rsid w:val="0092753F"/>
    <w:rsid w:val="009275A2"/>
    <w:rsid w:val="0092760F"/>
    <w:rsid w:val="00927795"/>
    <w:rsid w:val="00927850"/>
    <w:rsid w:val="00927A03"/>
    <w:rsid w:val="00927ACE"/>
    <w:rsid w:val="00927AF9"/>
    <w:rsid w:val="00927B30"/>
    <w:rsid w:val="00927F00"/>
    <w:rsid w:val="00927F0B"/>
    <w:rsid w:val="009300EE"/>
    <w:rsid w:val="00930108"/>
    <w:rsid w:val="009302EA"/>
    <w:rsid w:val="009303E6"/>
    <w:rsid w:val="00930453"/>
    <w:rsid w:val="009304A4"/>
    <w:rsid w:val="0093069E"/>
    <w:rsid w:val="009306EF"/>
    <w:rsid w:val="00930741"/>
    <w:rsid w:val="009307E9"/>
    <w:rsid w:val="00930866"/>
    <w:rsid w:val="0093086C"/>
    <w:rsid w:val="00930899"/>
    <w:rsid w:val="00930913"/>
    <w:rsid w:val="009309CC"/>
    <w:rsid w:val="00930A63"/>
    <w:rsid w:val="00930B4A"/>
    <w:rsid w:val="00930B93"/>
    <w:rsid w:val="00930BC9"/>
    <w:rsid w:val="00930CDD"/>
    <w:rsid w:val="00930F65"/>
    <w:rsid w:val="00931066"/>
    <w:rsid w:val="0093139B"/>
    <w:rsid w:val="0093152D"/>
    <w:rsid w:val="00931543"/>
    <w:rsid w:val="0093154B"/>
    <w:rsid w:val="00931598"/>
    <w:rsid w:val="00931599"/>
    <w:rsid w:val="00931635"/>
    <w:rsid w:val="0093167F"/>
    <w:rsid w:val="00931742"/>
    <w:rsid w:val="009317DA"/>
    <w:rsid w:val="00931990"/>
    <w:rsid w:val="00931A62"/>
    <w:rsid w:val="00931ABE"/>
    <w:rsid w:val="00931BDA"/>
    <w:rsid w:val="00931C98"/>
    <w:rsid w:val="00931D8E"/>
    <w:rsid w:val="00931F04"/>
    <w:rsid w:val="00931F7A"/>
    <w:rsid w:val="00932178"/>
    <w:rsid w:val="00932215"/>
    <w:rsid w:val="00932408"/>
    <w:rsid w:val="00932522"/>
    <w:rsid w:val="00932583"/>
    <w:rsid w:val="0093273F"/>
    <w:rsid w:val="0093296A"/>
    <w:rsid w:val="00932AB3"/>
    <w:rsid w:val="00932BE0"/>
    <w:rsid w:val="00932C40"/>
    <w:rsid w:val="00932CFA"/>
    <w:rsid w:val="00932DFF"/>
    <w:rsid w:val="00932F7F"/>
    <w:rsid w:val="00933086"/>
    <w:rsid w:val="00933088"/>
    <w:rsid w:val="009330D8"/>
    <w:rsid w:val="0093326F"/>
    <w:rsid w:val="00933276"/>
    <w:rsid w:val="00933316"/>
    <w:rsid w:val="00933359"/>
    <w:rsid w:val="00933405"/>
    <w:rsid w:val="0093346D"/>
    <w:rsid w:val="0093346E"/>
    <w:rsid w:val="009335DB"/>
    <w:rsid w:val="00933805"/>
    <w:rsid w:val="0093396E"/>
    <w:rsid w:val="009339A1"/>
    <w:rsid w:val="00933C3F"/>
    <w:rsid w:val="00933CA5"/>
    <w:rsid w:val="00933F78"/>
    <w:rsid w:val="0093400A"/>
    <w:rsid w:val="009340D2"/>
    <w:rsid w:val="00934164"/>
    <w:rsid w:val="009342CA"/>
    <w:rsid w:val="00934481"/>
    <w:rsid w:val="0093477B"/>
    <w:rsid w:val="00934807"/>
    <w:rsid w:val="00934843"/>
    <w:rsid w:val="00934AE8"/>
    <w:rsid w:val="00934AF4"/>
    <w:rsid w:val="00934B25"/>
    <w:rsid w:val="00934BEF"/>
    <w:rsid w:val="00934C78"/>
    <w:rsid w:val="00934CEC"/>
    <w:rsid w:val="00934D27"/>
    <w:rsid w:val="00934DC0"/>
    <w:rsid w:val="00934F98"/>
    <w:rsid w:val="0093510C"/>
    <w:rsid w:val="009351D6"/>
    <w:rsid w:val="009351FC"/>
    <w:rsid w:val="00935258"/>
    <w:rsid w:val="00935318"/>
    <w:rsid w:val="00935528"/>
    <w:rsid w:val="0093553F"/>
    <w:rsid w:val="0093576D"/>
    <w:rsid w:val="009357E1"/>
    <w:rsid w:val="00935A70"/>
    <w:rsid w:val="00935A79"/>
    <w:rsid w:val="00935A9B"/>
    <w:rsid w:val="00935C88"/>
    <w:rsid w:val="00935C90"/>
    <w:rsid w:val="00935E55"/>
    <w:rsid w:val="00935E73"/>
    <w:rsid w:val="00935F43"/>
    <w:rsid w:val="00936271"/>
    <w:rsid w:val="0093636C"/>
    <w:rsid w:val="00936604"/>
    <w:rsid w:val="0093670C"/>
    <w:rsid w:val="0093693C"/>
    <w:rsid w:val="00936A2B"/>
    <w:rsid w:val="00936A56"/>
    <w:rsid w:val="00936A71"/>
    <w:rsid w:val="00936AB9"/>
    <w:rsid w:val="00936BC2"/>
    <w:rsid w:val="00936C3C"/>
    <w:rsid w:val="00936C40"/>
    <w:rsid w:val="00936E6F"/>
    <w:rsid w:val="00936E88"/>
    <w:rsid w:val="00936FDA"/>
    <w:rsid w:val="00936FF9"/>
    <w:rsid w:val="0093706A"/>
    <w:rsid w:val="0093724C"/>
    <w:rsid w:val="009372F0"/>
    <w:rsid w:val="009374A9"/>
    <w:rsid w:val="009375A0"/>
    <w:rsid w:val="009377B2"/>
    <w:rsid w:val="00937843"/>
    <w:rsid w:val="00937853"/>
    <w:rsid w:val="009378EF"/>
    <w:rsid w:val="009379AA"/>
    <w:rsid w:val="009379F1"/>
    <w:rsid w:val="00937A19"/>
    <w:rsid w:val="00937A67"/>
    <w:rsid w:val="00937B2C"/>
    <w:rsid w:val="00937CE7"/>
    <w:rsid w:val="00937CE8"/>
    <w:rsid w:val="00937D48"/>
    <w:rsid w:val="00937D88"/>
    <w:rsid w:val="00937E56"/>
    <w:rsid w:val="00937EA2"/>
    <w:rsid w:val="0094002B"/>
    <w:rsid w:val="009400F3"/>
    <w:rsid w:val="00940139"/>
    <w:rsid w:val="00940183"/>
    <w:rsid w:val="009403A7"/>
    <w:rsid w:val="0094053F"/>
    <w:rsid w:val="0094057E"/>
    <w:rsid w:val="00940681"/>
    <w:rsid w:val="0094079F"/>
    <w:rsid w:val="00940845"/>
    <w:rsid w:val="0094088B"/>
    <w:rsid w:val="009409C6"/>
    <w:rsid w:val="00940BE4"/>
    <w:rsid w:val="00940F0E"/>
    <w:rsid w:val="00941043"/>
    <w:rsid w:val="0094104F"/>
    <w:rsid w:val="009410B2"/>
    <w:rsid w:val="00941324"/>
    <w:rsid w:val="0094146F"/>
    <w:rsid w:val="009414B2"/>
    <w:rsid w:val="009416F3"/>
    <w:rsid w:val="009417A4"/>
    <w:rsid w:val="009417BD"/>
    <w:rsid w:val="009417C4"/>
    <w:rsid w:val="009417FB"/>
    <w:rsid w:val="00941882"/>
    <w:rsid w:val="00941966"/>
    <w:rsid w:val="00941A8D"/>
    <w:rsid w:val="00941BF6"/>
    <w:rsid w:val="00941C86"/>
    <w:rsid w:val="00941DB6"/>
    <w:rsid w:val="00941E6D"/>
    <w:rsid w:val="00941E79"/>
    <w:rsid w:val="00941F6C"/>
    <w:rsid w:val="00941FFA"/>
    <w:rsid w:val="00942003"/>
    <w:rsid w:val="009420BB"/>
    <w:rsid w:val="00942166"/>
    <w:rsid w:val="0094230F"/>
    <w:rsid w:val="00942382"/>
    <w:rsid w:val="009423F6"/>
    <w:rsid w:val="0094249B"/>
    <w:rsid w:val="009424CE"/>
    <w:rsid w:val="009425E8"/>
    <w:rsid w:val="009427B9"/>
    <w:rsid w:val="00942BD7"/>
    <w:rsid w:val="00942CE3"/>
    <w:rsid w:val="00942CF6"/>
    <w:rsid w:val="00942DA1"/>
    <w:rsid w:val="00942E4C"/>
    <w:rsid w:val="00942E6C"/>
    <w:rsid w:val="00942ECE"/>
    <w:rsid w:val="00942F05"/>
    <w:rsid w:val="00943423"/>
    <w:rsid w:val="00943551"/>
    <w:rsid w:val="00943661"/>
    <w:rsid w:val="009436FC"/>
    <w:rsid w:val="00943857"/>
    <w:rsid w:val="009439B3"/>
    <w:rsid w:val="00943A9A"/>
    <w:rsid w:val="00943B7C"/>
    <w:rsid w:val="00943BF7"/>
    <w:rsid w:val="00943CB1"/>
    <w:rsid w:val="00943D23"/>
    <w:rsid w:val="00943D50"/>
    <w:rsid w:val="00944023"/>
    <w:rsid w:val="00944034"/>
    <w:rsid w:val="009440A4"/>
    <w:rsid w:val="00944131"/>
    <w:rsid w:val="00944257"/>
    <w:rsid w:val="00944281"/>
    <w:rsid w:val="009442E3"/>
    <w:rsid w:val="00944499"/>
    <w:rsid w:val="009444D0"/>
    <w:rsid w:val="009444DB"/>
    <w:rsid w:val="009445CF"/>
    <w:rsid w:val="009448C3"/>
    <w:rsid w:val="009448DA"/>
    <w:rsid w:val="0094496B"/>
    <w:rsid w:val="00944980"/>
    <w:rsid w:val="009449BB"/>
    <w:rsid w:val="00944A5A"/>
    <w:rsid w:val="00944B67"/>
    <w:rsid w:val="00944B8E"/>
    <w:rsid w:val="00944C55"/>
    <w:rsid w:val="00944CC1"/>
    <w:rsid w:val="00944D45"/>
    <w:rsid w:val="00944D66"/>
    <w:rsid w:val="00944E23"/>
    <w:rsid w:val="00944E38"/>
    <w:rsid w:val="00944EB8"/>
    <w:rsid w:val="00944F04"/>
    <w:rsid w:val="00944F42"/>
    <w:rsid w:val="0094510E"/>
    <w:rsid w:val="00945237"/>
    <w:rsid w:val="00945280"/>
    <w:rsid w:val="00945283"/>
    <w:rsid w:val="009452E2"/>
    <w:rsid w:val="009452E5"/>
    <w:rsid w:val="0094544F"/>
    <w:rsid w:val="00945459"/>
    <w:rsid w:val="0094551C"/>
    <w:rsid w:val="0094556E"/>
    <w:rsid w:val="00945799"/>
    <w:rsid w:val="00945B73"/>
    <w:rsid w:val="00945BCB"/>
    <w:rsid w:val="00945BE8"/>
    <w:rsid w:val="00945CAD"/>
    <w:rsid w:val="00945D19"/>
    <w:rsid w:val="00945D1C"/>
    <w:rsid w:val="00945D83"/>
    <w:rsid w:val="00945E14"/>
    <w:rsid w:val="009460DC"/>
    <w:rsid w:val="009461D1"/>
    <w:rsid w:val="00946351"/>
    <w:rsid w:val="009464EC"/>
    <w:rsid w:val="00946530"/>
    <w:rsid w:val="009465DB"/>
    <w:rsid w:val="0094660C"/>
    <w:rsid w:val="009466F2"/>
    <w:rsid w:val="00946700"/>
    <w:rsid w:val="009467D0"/>
    <w:rsid w:val="0094684A"/>
    <w:rsid w:val="009468E9"/>
    <w:rsid w:val="00946925"/>
    <w:rsid w:val="009469CC"/>
    <w:rsid w:val="00946D45"/>
    <w:rsid w:val="009470E0"/>
    <w:rsid w:val="00947179"/>
    <w:rsid w:val="00947197"/>
    <w:rsid w:val="00947219"/>
    <w:rsid w:val="00947432"/>
    <w:rsid w:val="0094743E"/>
    <w:rsid w:val="00947561"/>
    <w:rsid w:val="0094757B"/>
    <w:rsid w:val="009475A3"/>
    <w:rsid w:val="009475FD"/>
    <w:rsid w:val="0094785E"/>
    <w:rsid w:val="0094797F"/>
    <w:rsid w:val="009479B6"/>
    <w:rsid w:val="00947AD0"/>
    <w:rsid w:val="00947B76"/>
    <w:rsid w:val="00947B86"/>
    <w:rsid w:val="00947BE4"/>
    <w:rsid w:val="00947C77"/>
    <w:rsid w:val="00947E45"/>
    <w:rsid w:val="00947ED8"/>
    <w:rsid w:val="00950105"/>
    <w:rsid w:val="0095013C"/>
    <w:rsid w:val="009501BA"/>
    <w:rsid w:val="009501D9"/>
    <w:rsid w:val="00950232"/>
    <w:rsid w:val="009502D5"/>
    <w:rsid w:val="009502F8"/>
    <w:rsid w:val="009504A4"/>
    <w:rsid w:val="00950534"/>
    <w:rsid w:val="009505CF"/>
    <w:rsid w:val="009505F6"/>
    <w:rsid w:val="00950785"/>
    <w:rsid w:val="009508A9"/>
    <w:rsid w:val="009509A7"/>
    <w:rsid w:val="00950B4A"/>
    <w:rsid w:val="00950E56"/>
    <w:rsid w:val="00950F1F"/>
    <w:rsid w:val="00950F28"/>
    <w:rsid w:val="00951020"/>
    <w:rsid w:val="0095107B"/>
    <w:rsid w:val="0095119A"/>
    <w:rsid w:val="00951204"/>
    <w:rsid w:val="00951231"/>
    <w:rsid w:val="00951261"/>
    <w:rsid w:val="009512DA"/>
    <w:rsid w:val="0095132B"/>
    <w:rsid w:val="009513CA"/>
    <w:rsid w:val="00951878"/>
    <w:rsid w:val="009519CB"/>
    <w:rsid w:val="009519E0"/>
    <w:rsid w:val="009519FA"/>
    <w:rsid w:val="00951A50"/>
    <w:rsid w:val="00951A7F"/>
    <w:rsid w:val="00951E7D"/>
    <w:rsid w:val="00951F69"/>
    <w:rsid w:val="00951FAA"/>
    <w:rsid w:val="00952036"/>
    <w:rsid w:val="009521B5"/>
    <w:rsid w:val="00952339"/>
    <w:rsid w:val="009523A5"/>
    <w:rsid w:val="0095246A"/>
    <w:rsid w:val="009525AF"/>
    <w:rsid w:val="00952689"/>
    <w:rsid w:val="00952951"/>
    <w:rsid w:val="00952A17"/>
    <w:rsid w:val="00952C40"/>
    <w:rsid w:val="00952DF1"/>
    <w:rsid w:val="00952E84"/>
    <w:rsid w:val="00952F25"/>
    <w:rsid w:val="009531BF"/>
    <w:rsid w:val="0095344A"/>
    <w:rsid w:val="00953591"/>
    <w:rsid w:val="0095377F"/>
    <w:rsid w:val="00953A94"/>
    <w:rsid w:val="00953AAB"/>
    <w:rsid w:val="00953AD5"/>
    <w:rsid w:val="00953AE7"/>
    <w:rsid w:val="00953B09"/>
    <w:rsid w:val="00953C89"/>
    <w:rsid w:val="00953D07"/>
    <w:rsid w:val="00953D0F"/>
    <w:rsid w:val="00953DD1"/>
    <w:rsid w:val="00953E75"/>
    <w:rsid w:val="00953F75"/>
    <w:rsid w:val="00954112"/>
    <w:rsid w:val="00954189"/>
    <w:rsid w:val="0095423C"/>
    <w:rsid w:val="009542FF"/>
    <w:rsid w:val="0095444B"/>
    <w:rsid w:val="009544F1"/>
    <w:rsid w:val="00954505"/>
    <w:rsid w:val="009545B3"/>
    <w:rsid w:val="00954647"/>
    <w:rsid w:val="00954723"/>
    <w:rsid w:val="00954783"/>
    <w:rsid w:val="00954787"/>
    <w:rsid w:val="009547BE"/>
    <w:rsid w:val="0095490F"/>
    <w:rsid w:val="009549E0"/>
    <w:rsid w:val="00954ACC"/>
    <w:rsid w:val="00954DD6"/>
    <w:rsid w:val="00955093"/>
    <w:rsid w:val="009551DD"/>
    <w:rsid w:val="00955247"/>
    <w:rsid w:val="0095524E"/>
    <w:rsid w:val="0095526A"/>
    <w:rsid w:val="00955388"/>
    <w:rsid w:val="009554B5"/>
    <w:rsid w:val="0095550A"/>
    <w:rsid w:val="00955555"/>
    <w:rsid w:val="00955614"/>
    <w:rsid w:val="00955633"/>
    <w:rsid w:val="009556C3"/>
    <w:rsid w:val="00955757"/>
    <w:rsid w:val="00955786"/>
    <w:rsid w:val="009558B6"/>
    <w:rsid w:val="0095592E"/>
    <w:rsid w:val="0095595F"/>
    <w:rsid w:val="00955B8B"/>
    <w:rsid w:val="00955B9F"/>
    <w:rsid w:val="00955C58"/>
    <w:rsid w:val="00955CCC"/>
    <w:rsid w:val="00955D1A"/>
    <w:rsid w:val="00955D64"/>
    <w:rsid w:val="00955DED"/>
    <w:rsid w:val="00955F67"/>
    <w:rsid w:val="00955F6A"/>
    <w:rsid w:val="00955F8F"/>
    <w:rsid w:val="00956097"/>
    <w:rsid w:val="00956198"/>
    <w:rsid w:val="009561CF"/>
    <w:rsid w:val="00956239"/>
    <w:rsid w:val="00956263"/>
    <w:rsid w:val="0095629F"/>
    <w:rsid w:val="00956452"/>
    <w:rsid w:val="009565BB"/>
    <w:rsid w:val="009566E6"/>
    <w:rsid w:val="00956792"/>
    <w:rsid w:val="00956933"/>
    <w:rsid w:val="00956A21"/>
    <w:rsid w:val="00956B9F"/>
    <w:rsid w:val="00956C11"/>
    <w:rsid w:val="00956F62"/>
    <w:rsid w:val="00956F68"/>
    <w:rsid w:val="00956FFF"/>
    <w:rsid w:val="009574FE"/>
    <w:rsid w:val="00957572"/>
    <w:rsid w:val="0095759F"/>
    <w:rsid w:val="0095778D"/>
    <w:rsid w:val="00957809"/>
    <w:rsid w:val="009579D1"/>
    <w:rsid w:val="00957A6B"/>
    <w:rsid w:val="00957B2E"/>
    <w:rsid w:val="00957B7B"/>
    <w:rsid w:val="00957D71"/>
    <w:rsid w:val="00957DD3"/>
    <w:rsid w:val="0095911B"/>
    <w:rsid w:val="00960185"/>
    <w:rsid w:val="009601D1"/>
    <w:rsid w:val="009601E4"/>
    <w:rsid w:val="0096031C"/>
    <w:rsid w:val="009604C4"/>
    <w:rsid w:val="009604DD"/>
    <w:rsid w:val="009606A3"/>
    <w:rsid w:val="009606C6"/>
    <w:rsid w:val="00960854"/>
    <w:rsid w:val="00960878"/>
    <w:rsid w:val="00960A4A"/>
    <w:rsid w:val="00960C78"/>
    <w:rsid w:val="00960C95"/>
    <w:rsid w:val="00960CB6"/>
    <w:rsid w:val="00960D8A"/>
    <w:rsid w:val="00960DE7"/>
    <w:rsid w:val="00960E50"/>
    <w:rsid w:val="00960FF2"/>
    <w:rsid w:val="00961012"/>
    <w:rsid w:val="0096115D"/>
    <w:rsid w:val="00961184"/>
    <w:rsid w:val="00961407"/>
    <w:rsid w:val="0096161C"/>
    <w:rsid w:val="00961668"/>
    <w:rsid w:val="00961674"/>
    <w:rsid w:val="009617CD"/>
    <w:rsid w:val="00961800"/>
    <w:rsid w:val="00961895"/>
    <w:rsid w:val="00961930"/>
    <w:rsid w:val="00961B19"/>
    <w:rsid w:val="00961C5A"/>
    <w:rsid w:val="00961D24"/>
    <w:rsid w:val="00961EB0"/>
    <w:rsid w:val="00961FB8"/>
    <w:rsid w:val="00962013"/>
    <w:rsid w:val="0096234F"/>
    <w:rsid w:val="009623C9"/>
    <w:rsid w:val="009623F2"/>
    <w:rsid w:val="00962626"/>
    <w:rsid w:val="0096271E"/>
    <w:rsid w:val="009628D4"/>
    <w:rsid w:val="0096290C"/>
    <w:rsid w:val="009629BD"/>
    <w:rsid w:val="00962AAA"/>
    <w:rsid w:val="00962B55"/>
    <w:rsid w:val="00962B60"/>
    <w:rsid w:val="00962B6F"/>
    <w:rsid w:val="00962D56"/>
    <w:rsid w:val="00962D77"/>
    <w:rsid w:val="00962DAF"/>
    <w:rsid w:val="00962EBF"/>
    <w:rsid w:val="00962F35"/>
    <w:rsid w:val="00962FC0"/>
    <w:rsid w:val="009630A3"/>
    <w:rsid w:val="00963108"/>
    <w:rsid w:val="0096339B"/>
    <w:rsid w:val="00963434"/>
    <w:rsid w:val="009634BC"/>
    <w:rsid w:val="0096351F"/>
    <w:rsid w:val="0096358B"/>
    <w:rsid w:val="0096368F"/>
    <w:rsid w:val="0096395A"/>
    <w:rsid w:val="00963987"/>
    <w:rsid w:val="00963C84"/>
    <w:rsid w:val="00963E1B"/>
    <w:rsid w:val="00963E26"/>
    <w:rsid w:val="00963E91"/>
    <w:rsid w:val="0096400B"/>
    <w:rsid w:val="00964156"/>
    <w:rsid w:val="009641E6"/>
    <w:rsid w:val="0096426F"/>
    <w:rsid w:val="0096432C"/>
    <w:rsid w:val="00964370"/>
    <w:rsid w:val="009643A3"/>
    <w:rsid w:val="00964424"/>
    <w:rsid w:val="009648A9"/>
    <w:rsid w:val="0096491C"/>
    <w:rsid w:val="00964B65"/>
    <w:rsid w:val="00964DEB"/>
    <w:rsid w:val="0096509F"/>
    <w:rsid w:val="0096523F"/>
    <w:rsid w:val="00965243"/>
    <w:rsid w:val="0096536A"/>
    <w:rsid w:val="0096541E"/>
    <w:rsid w:val="009655C7"/>
    <w:rsid w:val="009655D4"/>
    <w:rsid w:val="0096574C"/>
    <w:rsid w:val="00965762"/>
    <w:rsid w:val="00965763"/>
    <w:rsid w:val="0096577C"/>
    <w:rsid w:val="0096587F"/>
    <w:rsid w:val="009658BC"/>
    <w:rsid w:val="00965C7F"/>
    <w:rsid w:val="00965CE4"/>
    <w:rsid w:val="00965D2A"/>
    <w:rsid w:val="00965D44"/>
    <w:rsid w:val="00966039"/>
    <w:rsid w:val="009660DB"/>
    <w:rsid w:val="00966117"/>
    <w:rsid w:val="009662A7"/>
    <w:rsid w:val="009662E9"/>
    <w:rsid w:val="00966306"/>
    <w:rsid w:val="00966388"/>
    <w:rsid w:val="00966390"/>
    <w:rsid w:val="009663C6"/>
    <w:rsid w:val="009664BF"/>
    <w:rsid w:val="0096663D"/>
    <w:rsid w:val="00966647"/>
    <w:rsid w:val="0096664D"/>
    <w:rsid w:val="0096664E"/>
    <w:rsid w:val="009666D2"/>
    <w:rsid w:val="009666D4"/>
    <w:rsid w:val="00966740"/>
    <w:rsid w:val="009667D1"/>
    <w:rsid w:val="009667E9"/>
    <w:rsid w:val="009668EC"/>
    <w:rsid w:val="00966956"/>
    <w:rsid w:val="00966A2D"/>
    <w:rsid w:val="00966ABD"/>
    <w:rsid w:val="00966BA6"/>
    <w:rsid w:val="00966EE4"/>
    <w:rsid w:val="00966F8D"/>
    <w:rsid w:val="00966FD4"/>
    <w:rsid w:val="009671A8"/>
    <w:rsid w:val="009671B3"/>
    <w:rsid w:val="009671CC"/>
    <w:rsid w:val="00967312"/>
    <w:rsid w:val="0096733D"/>
    <w:rsid w:val="009675D1"/>
    <w:rsid w:val="0096782D"/>
    <w:rsid w:val="00967839"/>
    <w:rsid w:val="00967989"/>
    <w:rsid w:val="009679F5"/>
    <w:rsid w:val="00967AB6"/>
    <w:rsid w:val="00967D9C"/>
    <w:rsid w:val="00967DA6"/>
    <w:rsid w:val="00967DD0"/>
    <w:rsid w:val="00967E38"/>
    <w:rsid w:val="00967E9B"/>
    <w:rsid w:val="0096A27B"/>
    <w:rsid w:val="009700F2"/>
    <w:rsid w:val="0097011A"/>
    <w:rsid w:val="009703B2"/>
    <w:rsid w:val="009703F9"/>
    <w:rsid w:val="00970409"/>
    <w:rsid w:val="009705BD"/>
    <w:rsid w:val="00970744"/>
    <w:rsid w:val="009707AE"/>
    <w:rsid w:val="009707C0"/>
    <w:rsid w:val="0097082A"/>
    <w:rsid w:val="009708A1"/>
    <w:rsid w:val="009708FC"/>
    <w:rsid w:val="00970935"/>
    <w:rsid w:val="0097094F"/>
    <w:rsid w:val="009709C3"/>
    <w:rsid w:val="00970A91"/>
    <w:rsid w:val="00970D08"/>
    <w:rsid w:val="00970D1A"/>
    <w:rsid w:val="00970D1B"/>
    <w:rsid w:val="00970D75"/>
    <w:rsid w:val="00970D7F"/>
    <w:rsid w:val="00970EDF"/>
    <w:rsid w:val="00970F6E"/>
    <w:rsid w:val="00970F7B"/>
    <w:rsid w:val="00970FBB"/>
    <w:rsid w:val="009710E0"/>
    <w:rsid w:val="0097110A"/>
    <w:rsid w:val="0097111C"/>
    <w:rsid w:val="0097115B"/>
    <w:rsid w:val="00971241"/>
    <w:rsid w:val="00971293"/>
    <w:rsid w:val="009712B0"/>
    <w:rsid w:val="009713F5"/>
    <w:rsid w:val="0097144B"/>
    <w:rsid w:val="00971481"/>
    <w:rsid w:val="009714B0"/>
    <w:rsid w:val="009715BC"/>
    <w:rsid w:val="009715E5"/>
    <w:rsid w:val="009715E6"/>
    <w:rsid w:val="00971606"/>
    <w:rsid w:val="00971615"/>
    <w:rsid w:val="00971620"/>
    <w:rsid w:val="009717F9"/>
    <w:rsid w:val="009718AE"/>
    <w:rsid w:val="009718F7"/>
    <w:rsid w:val="00971A77"/>
    <w:rsid w:val="00971A87"/>
    <w:rsid w:val="00971B4D"/>
    <w:rsid w:val="00971B92"/>
    <w:rsid w:val="00971BFC"/>
    <w:rsid w:val="00971CEC"/>
    <w:rsid w:val="00971DCE"/>
    <w:rsid w:val="00971DCF"/>
    <w:rsid w:val="00971E3E"/>
    <w:rsid w:val="00971E80"/>
    <w:rsid w:val="00971EDE"/>
    <w:rsid w:val="00971F62"/>
    <w:rsid w:val="0097216C"/>
    <w:rsid w:val="0097218B"/>
    <w:rsid w:val="00972425"/>
    <w:rsid w:val="0097269A"/>
    <w:rsid w:val="009727AF"/>
    <w:rsid w:val="009727B4"/>
    <w:rsid w:val="009727F3"/>
    <w:rsid w:val="0097281C"/>
    <w:rsid w:val="00972AA0"/>
    <w:rsid w:val="00972B59"/>
    <w:rsid w:val="00972D40"/>
    <w:rsid w:val="00972DE9"/>
    <w:rsid w:val="00972FD3"/>
    <w:rsid w:val="009730A5"/>
    <w:rsid w:val="0097319D"/>
    <w:rsid w:val="00973309"/>
    <w:rsid w:val="009733FE"/>
    <w:rsid w:val="00973552"/>
    <w:rsid w:val="0097377C"/>
    <w:rsid w:val="0097383F"/>
    <w:rsid w:val="009738F9"/>
    <w:rsid w:val="009739B9"/>
    <w:rsid w:val="00973A28"/>
    <w:rsid w:val="00973ED3"/>
    <w:rsid w:val="00974006"/>
    <w:rsid w:val="0097413D"/>
    <w:rsid w:val="009741D7"/>
    <w:rsid w:val="009742F2"/>
    <w:rsid w:val="0097432D"/>
    <w:rsid w:val="00974532"/>
    <w:rsid w:val="0097455D"/>
    <w:rsid w:val="009745EF"/>
    <w:rsid w:val="009747C4"/>
    <w:rsid w:val="009747F0"/>
    <w:rsid w:val="0097490D"/>
    <w:rsid w:val="00974933"/>
    <w:rsid w:val="009749AF"/>
    <w:rsid w:val="009749E6"/>
    <w:rsid w:val="00974B16"/>
    <w:rsid w:val="00974BBB"/>
    <w:rsid w:val="00974C44"/>
    <w:rsid w:val="00974CE0"/>
    <w:rsid w:val="00974D95"/>
    <w:rsid w:val="00974F6A"/>
    <w:rsid w:val="00975193"/>
    <w:rsid w:val="009751ED"/>
    <w:rsid w:val="009752D8"/>
    <w:rsid w:val="00975566"/>
    <w:rsid w:val="009755E6"/>
    <w:rsid w:val="00975A87"/>
    <w:rsid w:val="00975BBB"/>
    <w:rsid w:val="00975BF1"/>
    <w:rsid w:val="00975CCE"/>
    <w:rsid w:val="00975FDE"/>
    <w:rsid w:val="0097612B"/>
    <w:rsid w:val="00976132"/>
    <w:rsid w:val="00976143"/>
    <w:rsid w:val="0097614B"/>
    <w:rsid w:val="009762A1"/>
    <w:rsid w:val="00976402"/>
    <w:rsid w:val="0097643E"/>
    <w:rsid w:val="009764FC"/>
    <w:rsid w:val="0097652E"/>
    <w:rsid w:val="0097670F"/>
    <w:rsid w:val="0097677B"/>
    <w:rsid w:val="009767B2"/>
    <w:rsid w:val="009767E7"/>
    <w:rsid w:val="00976AC6"/>
    <w:rsid w:val="00976BDB"/>
    <w:rsid w:val="00976BF4"/>
    <w:rsid w:val="00976DFD"/>
    <w:rsid w:val="00976FF0"/>
    <w:rsid w:val="00976FF7"/>
    <w:rsid w:val="009771DC"/>
    <w:rsid w:val="009771F6"/>
    <w:rsid w:val="00977280"/>
    <w:rsid w:val="009773F3"/>
    <w:rsid w:val="009774EB"/>
    <w:rsid w:val="0097752A"/>
    <w:rsid w:val="00977660"/>
    <w:rsid w:val="009776E7"/>
    <w:rsid w:val="0097773E"/>
    <w:rsid w:val="00977790"/>
    <w:rsid w:val="0097785B"/>
    <w:rsid w:val="00977964"/>
    <w:rsid w:val="0097798B"/>
    <w:rsid w:val="00977992"/>
    <w:rsid w:val="00977A7F"/>
    <w:rsid w:val="00977AFD"/>
    <w:rsid w:val="00977B23"/>
    <w:rsid w:val="00977B4C"/>
    <w:rsid w:val="00977F7E"/>
    <w:rsid w:val="00980271"/>
    <w:rsid w:val="009802EE"/>
    <w:rsid w:val="00980383"/>
    <w:rsid w:val="00980459"/>
    <w:rsid w:val="0098050C"/>
    <w:rsid w:val="00980616"/>
    <w:rsid w:val="0098070A"/>
    <w:rsid w:val="009809ED"/>
    <w:rsid w:val="00980BF3"/>
    <w:rsid w:val="00980C6E"/>
    <w:rsid w:val="00980CE2"/>
    <w:rsid w:val="00980FF4"/>
    <w:rsid w:val="0098111E"/>
    <w:rsid w:val="00981131"/>
    <w:rsid w:val="0098138D"/>
    <w:rsid w:val="0098141B"/>
    <w:rsid w:val="009814ED"/>
    <w:rsid w:val="0098159A"/>
    <w:rsid w:val="00981644"/>
    <w:rsid w:val="0098166E"/>
    <w:rsid w:val="009816FA"/>
    <w:rsid w:val="00981C55"/>
    <w:rsid w:val="00981C76"/>
    <w:rsid w:val="00981C9F"/>
    <w:rsid w:val="00981CA7"/>
    <w:rsid w:val="00981F0A"/>
    <w:rsid w:val="00981F87"/>
    <w:rsid w:val="00982046"/>
    <w:rsid w:val="0098210B"/>
    <w:rsid w:val="0098254E"/>
    <w:rsid w:val="009825FD"/>
    <w:rsid w:val="009826BA"/>
    <w:rsid w:val="009826E1"/>
    <w:rsid w:val="0098278F"/>
    <w:rsid w:val="009827CB"/>
    <w:rsid w:val="00982AAF"/>
    <w:rsid w:val="00982C38"/>
    <w:rsid w:val="00982EC6"/>
    <w:rsid w:val="00982EE7"/>
    <w:rsid w:val="00983071"/>
    <w:rsid w:val="00983150"/>
    <w:rsid w:val="00983175"/>
    <w:rsid w:val="009834A9"/>
    <w:rsid w:val="009834C3"/>
    <w:rsid w:val="00983582"/>
    <w:rsid w:val="009835E2"/>
    <w:rsid w:val="009837B8"/>
    <w:rsid w:val="00983835"/>
    <w:rsid w:val="0098384C"/>
    <w:rsid w:val="00983919"/>
    <w:rsid w:val="0098392F"/>
    <w:rsid w:val="00983D7C"/>
    <w:rsid w:val="00983E54"/>
    <w:rsid w:val="00983E77"/>
    <w:rsid w:val="00983F38"/>
    <w:rsid w:val="00984064"/>
    <w:rsid w:val="00984077"/>
    <w:rsid w:val="00984258"/>
    <w:rsid w:val="0098431F"/>
    <w:rsid w:val="00984395"/>
    <w:rsid w:val="00984456"/>
    <w:rsid w:val="00984535"/>
    <w:rsid w:val="0098467F"/>
    <w:rsid w:val="00984823"/>
    <w:rsid w:val="009849A8"/>
    <w:rsid w:val="00984B47"/>
    <w:rsid w:val="00984C1D"/>
    <w:rsid w:val="00984C42"/>
    <w:rsid w:val="00984C90"/>
    <w:rsid w:val="00984D69"/>
    <w:rsid w:val="00984D72"/>
    <w:rsid w:val="00984D7B"/>
    <w:rsid w:val="00984E57"/>
    <w:rsid w:val="0098507E"/>
    <w:rsid w:val="00985124"/>
    <w:rsid w:val="0098537F"/>
    <w:rsid w:val="009853E1"/>
    <w:rsid w:val="00985566"/>
    <w:rsid w:val="009856C5"/>
    <w:rsid w:val="009856F9"/>
    <w:rsid w:val="00985716"/>
    <w:rsid w:val="009857E3"/>
    <w:rsid w:val="00985A98"/>
    <w:rsid w:val="00985B1C"/>
    <w:rsid w:val="00985B20"/>
    <w:rsid w:val="00985B2B"/>
    <w:rsid w:val="00985BA0"/>
    <w:rsid w:val="00985CA1"/>
    <w:rsid w:val="00985EC2"/>
    <w:rsid w:val="00985F52"/>
    <w:rsid w:val="00986006"/>
    <w:rsid w:val="0098601E"/>
    <w:rsid w:val="0098607F"/>
    <w:rsid w:val="009860CC"/>
    <w:rsid w:val="009861D7"/>
    <w:rsid w:val="009862AE"/>
    <w:rsid w:val="009862D6"/>
    <w:rsid w:val="00986442"/>
    <w:rsid w:val="0098651B"/>
    <w:rsid w:val="0098662B"/>
    <w:rsid w:val="0098674A"/>
    <w:rsid w:val="009869D4"/>
    <w:rsid w:val="009869ED"/>
    <w:rsid w:val="009869FD"/>
    <w:rsid w:val="00986D7C"/>
    <w:rsid w:val="00986EA4"/>
    <w:rsid w:val="00986EA7"/>
    <w:rsid w:val="00986EC4"/>
    <w:rsid w:val="00986F32"/>
    <w:rsid w:val="00986FA7"/>
    <w:rsid w:val="009870F3"/>
    <w:rsid w:val="009870FC"/>
    <w:rsid w:val="0098731E"/>
    <w:rsid w:val="00987372"/>
    <w:rsid w:val="00987426"/>
    <w:rsid w:val="0098747C"/>
    <w:rsid w:val="009875A1"/>
    <w:rsid w:val="009877DA"/>
    <w:rsid w:val="00987878"/>
    <w:rsid w:val="009878B6"/>
    <w:rsid w:val="009878D7"/>
    <w:rsid w:val="00987A6B"/>
    <w:rsid w:val="00987A9A"/>
    <w:rsid w:val="00987AF8"/>
    <w:rsid w:val="00987CFE"/>
    <w:rsid w:val="00987D74"/>
    <w:rsid w:val="00987DFF"/>
    <w:rsid w:val="00987F23"/>
    <w:rsid w:val="00990155"/>
    <w:rsid w:val="0099016F"/>
    <w:rsid w:val="0099027A"/>
    <w:rsid w:val="009902B7"/>
    <w:rsid w:val="009902F4"/>
    <w:rsid w:val="009902FB"/>
    <w:rsid w:val="00990352"/>
    <w:rsid w:val="009903BB"/>
    <w:rsid w:val="00990665"/>
    <w:rsid w:val="009906DE"/>
    <w:rsid w:val="0099088A"/>
    <w:rsid w:val="0099094C"/>
    <w:rsid w:val="00990A3C"/>
    <w:rsid w:val="00990A99"/>
    <w:rsid w:val="00990AF9"/>
    <w:rsid w:val="00990B6E"/>
    <w:rsid w:val="00990C12"/>
    <w:rsid w:val="00990DB9"/>
    <w:rsid w:val="00990FF3"/>
    <w:rsid w:val="00991136"/>
    <w:rsid w:val="00991267"/>
    <w:rsid w:val="00991270"/>
    <w:rsid w:val="00991317"/>
    <w:rsid w:val="00991436"/>
    <w:rsid w:val="009914E7"/>
    <w:rsid w:val="00991509"/>
    <w:rsid w:val="009918ED"/>
    <w:rsid w:val="00991962"/>
    <w:rsid w:val="009919E7"/>
    <w:rsid w:val="00991B36"/>
    <w:rsid w:val="00991B56"/>
    <w:rsid w:val="00991B57"/>
    <w:rsid w:val="00991B85"/>
    <w:rsid w:val="00991BD7"/>
    <w:rsid w:val="00991C01"/>
    <w:rsid w:val="00991C9E"/>
    <w:rsid w:val="00991CEA"/>
    <w:rsid w:val="00991CF5"/>
    <w:rsid w:val="00991DB1"/>
    <w:rsid w:val="00991DCB"/>
    <w:rsid w:val="00991E59"/>
    <w:rsid w:val="00991EF1"/>
    <w:rsid w:val="00992086"/>
    <w:rsid w:val="00992318"/>
    <w:rsid w:val="00992384"/>
    <w:rsid w:val="0099246C"/>
    <w:rsid w:val="0099247C"/>
    <w:rsid w:val="009924C5"/>
    <w:rsid w:val="0099250B"/>
    <w:rsid w:val="00992541"/>
    <w:rsid w:val="00992559"/>
    <w:rsid w:val="009927C4"/>
    <w:rsid w:val="00992807"/>
    <w:rsid w:val="009928A0"/>
    <w:rsid w:val="00992A15"/>
    <w:rsid w:val="00992A24"/>
    <w:rsid w:val="00992AAA"/>
    <w:rsid w:val="00992B3E"/>
    <w:rsid w:val="00992C01"/>
    <w:rsid w:val="00992D18"/>
    <w:rsid w:val="00992D9D"/>
    <w:rsid w:val="00992E01"/>
    <w:rsid w:val="00992E64"/>
    <w:rsid w:val="00992E81"/>
    <w:rsid w:val="00992F51"/>
    <w:rsid w:val="00993071"/>
    <w:rsid w:val="00993114"/>
    <w:rsid w:val="0099313B"/>
    <w:rsid w:val="00993185"/>
    <w:rsid w:val="009931D2"/>
    <w:rsid w:val="0099327C"/>
    <w:rsid w:val="0099332B"/>
    <w:rsid w:val="009936BE"/>
    <w:rsid w:val="009936D2"/>
    <w:rsid w:val="009937CA"/>
    <w:rsid w:val="009937E6"/>
    <w:rsid w:val="00993818"/>
    <w:rsid w:val="00993846"/>
    <w:rsid w:val="0099392D"/>
    <w:rsid w:val="009939D6"/>
    <w:rsid w:val="00993A64"/>
    <w:rsid w:val="00993CCB"/>
    <w:rsid w:val="00993FCB"/>
    <w:rsid w:val="00994008"/>
    <w:rsid w:val="00994058"/>
    <w:rsid w:val="009940E7"/>
    <w:rsid w:val="0099414E"/>
    <w:rsid w:val="0099415B"/>
    <w:rsid w:val="0099423D"/>
    <w:rsid w:val="009944C1"/>
    <w:rsid w:val="00994548"/>
    <w:rsid w:val="0099458A"/>
    <w:rsid w:val="009945AD"/>
    <w:rsid w:val="009945EC"/>
    <w:rsid w:val="00994787"/>
    <w:rsid w:val="009947AE"/>
    <w:rsid w:val="009948BA"/>
    <w:rsid w:val="009948FD"/>
    <w:rsid w:val="0099495D"/>
    <w:rsid w:val="00994AC3"/>
    <w:rsid w:val="00994B17"/>
    <w:rsid w:val="00994B19"/>
    <w:rsid w:val="00994C8D"/>
    <w:rsid w:val="00994D48"/>
    <w:rsid w:val="00994DF5"/>
    <w:rsid w:val="00994ECF"/>
    <w:rsid w:val="0099502B"/>
    <w:rsid w:val="009952E9"/>
    <w:rsid w:val="0099532B"/>
    <w:rsid w:val="0099535C"/>
    <w:rsid w:val="0099537D"/>
    <w:rsid w:val="009953D4"/>
    <w:rsid w:val="00995652"/>
    <w:rsid w:val="009958A5"/>
    <w:rsid w:val="0099591C"/>
    <w:rsid w:val="009959E3"/>
    <w:rsid w:val="00995A97"/>
    <w:rsid w:val="00995BBF"/>
    <w:rsid w:val="00995BE2"/>
    <w:rsid w:val="00995C2A"/>
    <w:rsid w:val="00995C7A"/>
    <w:rsid w:val="00995CD4"/>
    <w:rsid w:val="00995F01"/>
    <w:rsid w:val="00995F21"/>
    <w:rsid w:val="0099602F"/>
    <w:rsid w:val="0099624E"/>
    <w:rsid w:val="0099647F"/>
    <w:rsid w:val="009965C8"/>
    <w:rsid w:val="009967C9"/>
    <w:rsid w:val="009967EE"/>
    <w:rsid w:val="0099699F"/>
    <w:rsid w:val="009969E2"/>
    <w:rsid w:val="00996A7A"/>
    <w:rsid w:val="00996DCF"/>
    <w:rsid w:val="00996F47"/>
    <w:rsid w:val="00996FA9"/>
    <w:rsid w:val="00996FF7"/>
    <w:rsid w:val="009970E5"/>
    <w:rsid w:val="00997109"/>
    <w:rsid w:val="00997178"/>
    <w:rsid w:val="0099721C"/>
    <w:rsid w:val="00997365"/>
    <w:rsid w:val="009973CE"/>
    <w:rsid w:val="00997458"/>
    <w:rsid w:val="00997475"/>
    <w:rsid w:val="00997481"/>
    <w:rsid w:val="0099749F"/>
    <w:rsid w:val="0099752E"/>
    <w:rsid w:val="009975D6"/>
    <w:rsid w:val="00997675"/>
    <w:rsid w:val="00997951"/>
    <w:rsid w:val="0099797C"/>
    <w:rsid w:val="00997A55"/>
    <w:rsid w:val="00997C8F"/>
    <w:rsid w:val="00997CA6"/>
    <w:rsid w:val="00997D23"/>
    <w:rsid w:val="00997FB0"/>
    <w:rsid w:val="00997FF6"/>
    <w:rsid w:val="009A01B0"/>
    <w:rsid w:val="009A01C7"/>
    <w:rsid w:val="009A0259"/>
    <w:rsid w:val="009A0453"/>
    <w:rsid w:val="009A0515"/>
    <w:rsid w:val="009A068F"/>
    <w:rsid w:val="009A06E8"/>
    <w:rsid w:val="009A07D5"/>
    <w:rsid w:val="009A0976"/>
    <w:rsid w:val="009A0A63"/>
    <w:rsid w:val="009A0A68"/>
    <w:rsid w:val="009A0BB7"/>
    <w:rsid w:val="009A0BD4"/>
    <w:rsid w:val="009A0C67"/>
    <w:rsid w:val="009A0C90"/>
    <w:rsid w:val="009A0E90"/>
    <w:rsid w:val="009A1019"/>
    <w:rsid w:val="009A1070"/>
    <w:rsid w:val="009A10F0"/>
    <w:rsid w:val="009A11AC"/>
    <w:rsid w:val="009A11CA"/>
    <w:rsid w:val="009A11D3"/>
    <w:rsid w:val="009A11F7"/>
    <w:rsid w:val="009A1223"/>
    <w:rsid w:val="009A12A8"/>
    <w:rsid w:val="009A12CF"/>
    <w:rsid w:val="009A13A6"/>
    <w:rsid w:val="009A15BC"/>
    <w:rsid w:val="009A1628"/>
    <w:rsid w:val="009A165C"/>
    <w:rsid w:val="009A1802"/>
    <w:rsid w:val="009A1845"/>
    <w:rsid w:val="009A18A4"/>
    <w:rsid w:val="009A18F3"/>
    <w:rsid w:val="009A18F8"/>
    <w:rsid w:val="009A19B7"/>
    <w:rsid w:val="009A19C7"/>
    <w:rsid w:val="009A19D5"/>
    <w:rsid w:val="009A1B80"/>
    <w:rsid w:val="009A1C9E"/>
    <w:rsid w:val="009A1E14"/>
    <w:rsid w:val="009A1E9D"/>
    <w:rsid w:val="009A1F0D"/>
    <w:rsid w:val="009A2249"/>
    <w:rsid w:val="009A2300"/>
    <w:rsid w:val="009A239F"/>
    <w:rsid w:val="009A23FC"/>
    <w:rsid w:val="009A2475"/>
    <w:rsid w:val="009A25BA"/>
    <w:rsid w:val="009A2701"/>
    <w:rsid w:val="009A2786"/>
    <w:rsid w:val="009A2884"/>
    <w:rsid w:val="009A28E2"/>
    <w:rsid w:val="009A2962"/>
    <w:rsid w:val="009A2B12"/>
    <w:rsid w:val="009A2C30"/>
    <w:rsid w:val="009A2C70"/>
    <w:rsid w:val="009A2D48"/>
    <w:rsid w:val="009A2D8F"/>
    <w:rsid w:val="009A2E40"/>
    <w:rsid w:val="009A2FB9"/>
    <w:rsid w:val="009A30CB"/>
    <w:rsid w:val="009A319A"/>
    <w:rsid w:val="009A325E"/>
    <w:rsid w:val="009A32CF"/>
    <w:rsid w:val="009A3378"/>
    <w:rsid w:val="009A33D9"/>
    <w:rsid w:val="009A3677"/>
    <w:rsid w:val="009A36EE"/>
    <w:rsid w:val="009A3B43"/>
    <w:rsid w:val="009A3BD2"/>
    <w:rsid w:val="009A3C76"/>
    <w:rsid w:val="009A3DDB"/>
    <w:rsid w:val="009A40D0"/>
    <w:rsid w:val="009A4119"/>
    <w:rsid w:val="009A41F8"/>
    <w:rsid w:val="009A4239"/>
    <w:rsid w:val="009A4321"/>
    <w:rsid w:val="009A43B2"/>
    <w:rsid w:val="009A43BD"/>
    <w:rsid w:val="009A442E"/>
    <w:rsid w:val="009A4620"/>
    <w:rsid w:val="009A4683"/>
    <w:rsid w:val="009A4694"/>
    <w:rsid w:val="009A484F"/>
    <w:rsid w:val="009A4B65"/>
    <w:rsid w:val="009A4CEF"/>
    <w:rsid w:val="009A4CF6"/>
    <w:rsid w:val="009A4E69"/>
    <w:rsid w:val="009A4E6C"/>
    <w:rsid w:val="009A4EC4"/>
    <w:rsid w:val="009A4EFA"/>
    <w:rsid w:val="009A5043"/>
    <w:rsid w:val="009A527B"/>
    <w:rsid w:val="009A545E"/>
    <w:rsid w:val="009A5629"/>
    <w:rsid w:val="009A569F"/>
    <w:rsid w:val="009A57BD"/>
    <w:rsid w:val="009A57F4"/>
    <w:rsid w:val="009A58BE"/>
    <w:rsid w:val="009A58F8"/>
    <w:rsid w:val="009A5DD9"/>
    <w:rsid w:val="009A5E01"/>
    <w:rsid w:val="009A611C"/>
    <w:rsid w:val="009A622C"/>
    <w:rsid w:val="009A637D"/>
    <w:rsid w:val="009A64DE"/>
    <w:rsid w:val="009A6545"/>
    <w:rsid w:val="009A657F"/>
    <w:rsid w:val="009A6684"/>
    <w:rsid w:val="009A66B0"/>
    <w:rsid w:val="009A6797"/>
    <w:rsid w:val="009A67B1"/>
    <w:rsid w:val="009A685F"/>
    <w:rsid w:val="009A6AF6"/>
    <w:rsid w:val="009A6B98"/>
    <w:rsid w:val="009A6C72"/>
    <w:rsid w:val="009A6CDB"/>
    <w:rsid w:val="009A6D36"/>
    <w:rsid w:val="009A6DE9"/>
    <w:rsid w:val="009A6E02"/>
    <w:rsid w:val="009A6F06"/>
    <w:rsid w:val="009A6F8A"/>
    <w:rsid w:val="009A7074"/>
    <w:rsid w:val="009A70C4"/>
    <w:rsid w:val="009A7188"/>
    <w:rsid w:val="009A71CB"/>
    <w:rsid w:val="009A7283"/>
    <w:rsid w:val="009A741F"/>
    <w:rsid w:val="009A74E4"/>
    <w:rsid w:val="009A766C"/>
    <w:rsid w:val="009A76E2"/>
    <w:rsid w:val="009A7775"/>
    <w:rsid w:val="009A77F2"/>
    <w:rsid w:val="009A77F7"/>
    <w:rsid w:val="009A78F5"/>
    <w:rsid w:val="009A7987"/>
    <w:rsid w:val="009A7A2C"/>
    <w:rsid w:val="009A7DB8"/>
    <w:rsid w:val="009A7E31"/>
    <w:rsid w:val="009A7FA2"/>
    <w:rsid w:val="009A7FAF"/>
    <w:rsid w:val="009A88F3"/>
    <w:rsid w:val="009B000A"/>
    <w:rsid w:val="009B0020"/>
    <w:rsid w:val="009B0070"/>
    <w:rsid w:val="009B00D1"/>
    <w:rsid w:val="009B0272"/>
    <w:rsid w:val="009B028E"/>
    <w:rsid w:val="009B04EA"/>
    <w:rsid w:val="009B057A"/>
    <w:rsid w:val="009B0704"/>
    <w:rsid w:val="009B0715"/>
    <w:rsid w:val="009B0903"/>
    <w:rsid w:val="009B094D"/>
    <w:rsid w:val="009B0A4D"/>
    <w:rsid w:val="009B0B72"/>
    <w:rsid w:val="009B0CDE"/>
    <w:rsid w:val="009B0DAE"/>
    <w:rsid w:val="009B0DC9"/>
    <w:rsid w:val="009B0E11"/>
    <w:rsid w:val="009B0EE9"/>
    <w:rsid w:val="009B0F2D"/>
    <w:rsid w:val="009B0F89"/>
    <w:rsid w:val="009B1346"/>
    <w:rsid w:val="009B136C"/>
    <w:rsid w:val="009B138F"/>
    <w:rsid w:val="009B142C"/>
    <w:rsid w:val="009B143F"/>
    <w:rsid w:val="009B144D"/>
    <w:rsid w:val="009B152B"/>
    <w:rsid w:val="009B15A9"/>
    <w:rsid w:val="009B1677"/>
    <w:rsid w:val="009B175C"/>
    <w:rsid w:val="009B183C"/>
    <w:rsid w:val="009B1842"/>
    <w:rsid w:val="009B1A07"/>
    <w:rsid w:val="009B1AFF"/>
    <w:rsid w:val="009B1CB8"/>
    <w:rsid w:val="009B1D4A"/>
    <w:rsid w:val="009B1DF3"/>
    <w:rsid w:val="009B1E75"/>
    <w:rsid w:val="009B1E78"/>
    <w:rsid w:val="009B1E85"/>
    <w:rsid w:val="009B1ED2"/>
    <w:rsid w:val="009B1FB8"/>
    <w:rsid w:val="009B1FED"/>
    <w:rsid w:val="009B214F"/>
    <w:rsid w:val="009B21A6"/>
    <w:rsid w:val="009B228C"/>
    <w:rsid w:val="009B2299"/>
    <w:rsid w:val="009B23A1"/>
    <w:rsid w:val="009B23D1"/>
    <w:rsid w:val="009B23DD"/>
    <w:rsid w:val="009B23E7"/>
    <w:rsid w:val="009B249D"/>
    <w:rsid w:val="009B254C"/>
    <w:rsid w:val="009B25D9"/>
    <w:rsid w:val="009B261A"/>
    <w:rsid w:val="009B2647"/>
    <w:rsid w:val="009B2668"/>
    <w:rsid w:val="009B2708"/>
    <w:rsid w:val="009B283B"/>
    <w:rsid w:val="009B290D"/>
    <w:rsid w:val="009B2968"/>
    <w:rsid w:val="009B2F12"/>
    <w:rsid w:val="009B2FE2"/>
    <w:rsid w:val="009B33D4"/>
    <w:rsid w:val="009B340F"/>
    <w:rsid w:val="009B34F6"/>
    <w:rsid w:val="009B3617"/>
    <w:rsid w:val="009B37E3"/>
    <w:rsid w:val="009B37FC"/>
    <w:rsid w:val="009B3985"/>
    <w:rsid w:val="009B39A0"/>
    <w:rsid w:val="009B39C0"/>
    <w:rsid w:val="009B3A2F"/>
    <w:rsid w:val="009B3C0A"/>
    <w:rsid w:val="009B3CC9"/>
    <w:rsid w:val="009B3E60"/>
    <w:rsid w:val="009B3F21"/>
    <w:rsid w:val="009B4045"/>
    <w:rsid w:val="009B40EC"/>
    <w:rsid w:val="009B4133"/>
    <w:rsid w:val="009B414E"/>
    <w:rsid w:val="009B42D4"/>
    <w:rsid w:val="009B4322"/>
    <w:rsid w:val="009B436F"/>
    <w:rsid w:val="009B4593"/>
    <w:rsid w:val="009B45AC"/>
    <w:rsid w:val="009B466E"/>
    <w:rsid w:val="009B46B4"/>
    <w:rsid w:val="009B49D6"/>
    <w:rsid w:val="009B4A22"/>
    <w:rsid w:val="009B4A3A"/>
    <w:rsid w:val="009B4AAD"/>
    <w:rsid w:val="009B4DA2"/>
    <w:rsid w:val="009B4E53"/>
    <w:rsid w:val="009B506F"/>
    <w:rsid w:val="009B5233"/>
    <w:rsid w:val="009B5564"/>
    <w:rsid w:val="009B556B"/>
    <w:rsid w:val="009B5644"/>
    <w:rsid w:val="009B56D4"/>
    <w:rsid w:val="009B597B"/>
    <w:rsid w:val="009B5A63"/>
    <w:rsid w:val="009B5A9D"/>
    <w:rsid w:val="009B5BEA"/>
    <w:rsid w:val="009B5E2D"/>
    <w:rsid w:val="009B5FE8"/>
    <w:rsid w:val="009B60E8"/>
    <w:rsid w:val="009B6115"/>
    <w:rsid w:val="009B612D"/>
    <w:rsid w:val="009B618C"/>
    <w:rsid w:val="009B618F"/>
    <w:rsid w:val="009B61A5"/>
    <w:rsid w:val="009B63E0"/>
    <w:rsid w:val="009B640C"/>
    <w:rsid w:val="009B6465"/>
    <w:rsid w:val="009B6479"/>
    <w:rsid w:val="009B651D"/>
    <w:rsid w:val="009B6619"/>
    <w:rsid w:val="009B666B"/>
    <w:rsid w:val="009B66CD"/>
    <w:rsid w:val="009B678B"/>
    <w:rsid w:val="009B6943"/>
    <w:rsid w:val="009B6A47"/>
    <w:rsid w:val="009B6A58"/>
    <w:rsid w:val="009B6B97"/>
    <w:rsid w:val="009B6CCB"/>
    <w:rsid w:val="009B6D56"/>
    <w:rsid w:val="009B6D7A"/>
    <w:rsid w:val="009B6E3B"/>
    <w:rsid w:val="009B6F2E"/>
    <w:rsid w:val="009B70FE"/>
    <w:rsid w:val="009B714E"/>
    <w:rsid w:val="009B724A"/>
    <w:rsid w:val="009B7289"/>
    <w:rsid w:val="009B74A2"/>
    <w:rsid w:val="009B7520"/>
    <w:rsid w:val="009B752F"/>
    <w:rsid w:val="009B754A"/>
    <w:rsid w:val="009B75C9"/>
    <w:rsid w:val="009B75E2"/>
    <w:rsid w:val="009B7697"/>
    <w:rsid w:val="009B7742"/>
    <w:rsid w:val="009B782F"/>
    <w:rsid w:val="009B7997"/>
    <w:rsid w:val="009B7A77"/>
    <w:rsid w:val="009B7BA5"/>
    <w:rsid w:val="009B7FC9"/>
    <w:rsid w:val="009C0204"/>
    <w:rsid w:val="009C0207"/>
    <w:rsid w:val="009C02A5"/>
    <w:rsid w:val="009C0379"/>
    <w:rsid w:val="009C0413"/>
    <w:rsid w:val="009C0519"/>
    <w:rsid w:val="009C0581"/>
    <w:rsid w:val="009C0599"/>
    <w:rsid w:val="009C05B6"/>
    <w:rsid w:val="009C0686"/>
    <w:rsid w:val="009C08C6"/>
    <w:rsid w:val="009C08D0"/>
    <w:rsid w:val="009C08E3"/>
    <w:rsid w:val="009C0935"/>
    <w:rsid w:val="009C0968"/>
    <w:rsid w:val="009C09AC"/>
    <w:rsid w:val="009C09CE"/>
    <w:rsid w:val="009C0A63"/>
    <w:rsid w:val="009C0AEF"/>
    <w:rsid w:val="009C0CC0"/>
    <w:rsid w:val="009C0D3E"/>
    <w:rsid w:val="009C0D63"/>
    <w:rsid w:val="009C0D7E"/>
    <w:rsid w:val="009C0D91"/>
    <w:rsid w:val="009C0F22"/>
    <w:rsid w:val="009C1054"/>
    <w:rsid w:val="009C1111"/>
    <w:rsid w:val="009C1124"/>
    <w:rsid w:val="009C1175"/>
    <w:rsid w:val="009C1179"/>
    <w:rsid w:val="009C11B7"/>
    <w:rsid w:val="009C12E0"/>
    <w:rsid w:val="009C1349"/>
    <w:rsid w:val="009C142D"/>
    <w:rsid w:val="009C14C9"/>
    <w:rsid w:val="009C1541"/>
    <w:rsid w:val="009C15C7"/>
    <w:rsid w:val="009C1603"/>
    <w:rsid w:val="009C1610"/>
    <w:rsid w:val="009C167F"/>
    <w:rsid w:val="009C1773"/>
    <w:rsid w:val="009C1838"/>
    <w:rsid w:val="009C18F8"/>
    <w:rsid w:val="009C1904"/>
    <w:rsid w:val="009C1973"/>
    <w:rsid w:val="009C19EB"/>
    <w:rsid w:val="009C1B28"/>
    <w:rsid w:val="009C1B77"/>
    <w:rsid w:val="009C1C0D"/>
    <w:rsid w:val="009C1C5C"/>
    <w:rsid w:val="009C1CF8"/>
    <w:rsid w:val="009C1D0F"/>
    <w:rsid w:val="009C1DD4"/>
    <w:rsid w:val="009C1DD5"/>
    <w:rsid w:val="009C1DE6"/>
    <w:rsid w:val="009C1F39"/>
    <w:rsid w:val="009C2044"/>
    <w:rsid w:val="009C204C"/>
    <w:rsid w:val="009C208E"/>
    <w:rsid w:val="009C2228"/>
    <w:rsid w:val="009C228B"/>
    <w:rsid w:val="009C22CB"/>
    <w:rsid w:val="009C233C"/>
    <w:rsid w:val="009C249B"/>
    <w:rsid w:val="009C259C"/>
    <w:rsid w:val="009C25B8"/>
    <w:rsid w:val="009C2685"/>
    <w:rsid w:val="009C276A"/>
    <w:rsid w:val="009C279F"/>
    <w:rsid w:val="009C27CC"/>
    <w:rsid w:val="009C27EF"/>
    <w:rsid w:val="009C2BB9"/>
    <w:rsid w:val="009C2BE3"/>
    <w:rsid w:val="009C2CD5"/>
    <w:rsid w:val="009C2E5E"/>
    <w:rsid w:val="009C2E6F"/>
    <w:rsid w:val="009C2F27"/>
    <w:rsid w:val="009C32EF"/>
    <w:rsid w:val="009C33C3"/>
    <w:rsid w:val="009C3415"/>
    <w:rsid w:val="009C34F8"/>
    <w:rsid w:val="009C3631"/>
    <w:rsid w:val="009C366E"/>
    <w:rsid w:val="009C36F1"/>
    <w:rsid w:val="009C370F"/>
    <w:rsid w:val="009C374E"/>
    <w:rsid w:val="009C385D"/>
    <w:rsid w:val="009C3946"/>
    <w:rsid w:val="009C3A0B"/>
    <w:rsid w:val="009C3CAF"/>
    <w:rsid w:val="009C3D9D"/>
    <w:rsid w:val="009C3E0C"/>
    <w:rsid w:val="009C3E1B"/>
    <w:rsid w:val="009C4066"/>
    <w:rsid w:val="009C416C"/>
    <w:rsid w:val="009C4207"/>
    <w:rsid w:val="009C430F"/>
    <w:rsid w:val="009C43A9"/>
    <w:rsid w:val="009C4576"/>
    <w:rsid w:val="009C4610"/>
    <w:rsid w:val="009C4612"/>
    <w:rsid w:val="009C47C6"/>
    <w:rsid w:val="009C49C0"/>
    <w:rsid w:val="009C4A74"/>
    <w:rsid w:val="009C4BA5"/>
    <w:rsid w:val="009C4C7E"/>
    <w:rsid w:val="009C4CBF"/>
    <w:rsid w:val="009C4DFE"/>
    <w:rsid w:val="009C4E61"/>
    <w:rsid w:val="009C4ED3"/>
    <w:rsid w:val="009C4F03"/>
    <w:rsid w:val="009C4F2B"/>
    <w:rsid w:val="009C4FE4"/>
    <w:rsid w:val="009C5120"/>
    <w:rsid w:val="009C513A"/>
    <w:rsid w:val="009C51A6"/>
    <w:rsid w:val="009C51E8"/>
    <w:rsid w:val="009C5321"/>
    <w:rsid w:val="009C533E"/>
    <w:rsid w:val="009C53BA"/>
    <w:rsid w:val="009C558D"/>
    <w:rsid w:val="009C5629"/>
    <w:rsid w:val="009C5669"/>
    <w:rsid w:val="009C571D"/>
    <w:rsid w:val="009C582A"/>
    <w:rsid w:val="009C5870"/>
    <w:rsid w:val="009C58B2"/>
    <w:rsid w:val="009C58D1"/>
    <w:rsid w:val="009C5B49"/>
    <w:rsid w:val="009C5B84"/>
    <w:rsid w:val="009C5BAB"/>
    <w:rsid w:val="009C5C04"/>
    <w:rsid w:val="009C5DFC"/>
    <w:rsid w:val="009C605E"/>
    <w:rsid w:val="009C60FF"/>
    <w:rsid w:val="009C6122"/>
    <w:rsid w:val="009C618F"/>
    <w:rsid w:val="009C61E6"/>
    <w:rsid w:val="009C6246"/>
    <w:rsid w:val="009C62BC"/>
    <w:rsid w:val="009C630B"/>
    <w:rsid w:val="009C635F"/>
    <w:rsid w:val="009C6387"/>
    <w:rsid w:val="009C6516"/>
    <w:rsid w:val="009C652C"/>
    <w:rsid w:val="009C667F"/>
    <w:rsid w:val="009C6699"/>
    <w:rsid w:val="009C6866"/>
    <w:rsid w:val="009C68B8"/>
    <w:rsid w:val="009C69DA"/>
    <w:rsid w:val="009C6A0A"/>
    <w:rsid w:val="009C6A0F"/>
    <w:rsid w:val="009C6C13"/>
    <w:rsid w:val="009C6C26"/>
    <w:rsid w:val="009C6D4A"/>
    <w:rsid w:val="009C6DAA"/>
    <w:rsid w:val="009C6EF2"/>
    <w:rsid w:val="009C6F1F"/>
    <w:rsid w:val="009C7041"/>
    <w:rsid w:val="009C7112"/>
    <w:rsid w:val="009C724D"/>
    <w:rsid w:val="009C73B1"/>
    <w:rsid w:val="009C7407"/>
    <w:rsid w:val="009C744E"/>
    <w:rsid w:val="009C74CF"/>
    <w:rsid w:val="009C7542"/>
    <w:rsid w:val="009C7A20"/>
    <w:rsid w:val="009C7AAB"/>
    <w:rsid w:val="009C7AB5"/>
    <w:rsid w:val="009C7AD5"/>
    <w:rsid w:val="009C7C18"/>
    <w:rsid w:val="009C7CBB"/>
    <w:rsid w:val="009C7E28"/>
    <w:rsid w:val="009D0039"/>
    <w:rsid w:val="009D00D9"/>
    <w:rsid w:val="009D0224"/>
    <w:rsid w:val="009D022F"/>
    <w:rsid w:val="009D0293"/>
    <w:rsid w:val="009D02C6"/>
    <w:rsid w:val="009D0401"/>
    <w:rsid w:val="009D050D"/>
    <w:rsid w:val="009D0695"/>
    <w:rsid w:val="009D0775"/>
    <w:rsid w:val="009D085D"/>
    <w:rsid w:val="009D0A12"/>
    <w:rsid w:val="009D0A64"/>
    <w:rsid w:val="009D0AA6"/>
    <w:rsid w:val="009D0B27"/>
    <w:rsid w:val="009D0BA2"/>
    <w:rsid w:val="009D0D8A"/>
    <w:rsid w:val="009D0F2B"/>
    <w:rsid w:val="009D0F71"/>
    <w:rsid w:val="009D11BC"/>
    <w:rsid w:val="009D12A4"/>
    <w:rsid w:val="009D12D1"/>
    <w:rsid w:val="009D13C6"/>
    <w:rsid w:val="009D1432"/>
    <w:rsid w:val="009D14A0"/>
    <w:rsid w:val="009D16D5"/>
    <w:rsid w:val="009D16F4"/>
    <w:rsid w:val="009D170F"/>
    <w:rsid w:val="009D1867"/>
    <w:rsid w:val="009D1A55"/>
    <w:rsid w:val="009D1C62"/>
    <w:rsid w:val="009D1CA0"/>
    <w:rsid w:val="009D1FFC"/>
    <w:rsid w:val="009D200C"/>
    <w:rsid w:val="009D2090"/>
    <w:rsid w:val="009D2197"/>
    <w:rsid w:val="009D22B4"/>
    <w:rsid w:val="009D2447"/>
    <w:rsid w:val="009D250A"/>
    <w:rsid w:val="009D255B"/>
    <w:rsid w:val="009D2607"/>
    <w:rsid w:val="009D2698"/>
    <w:rsid w:val="009D26C3"/>
    <w:rsid w:val="009D276F"/>
    <w:rsid w:val="009D27BD"/>
    <w:rsid w:val="009D282F"/>
    <w:rsid w:val="009D2883"/>
    <w:rsid w:val="009D28C9"/>
    <w:rsid w:val="009D2B59"/>
    <w:rsid w:val="009D2C13"/>
    <w:rsid w:val="009D2C33"/>
    <w:rsid w:val="009D2C68"/>
    <w:rsid w:val="009D2CB8"/>
    <w:rsid w:val="009D2D5C"/>
    <w:rsid w:val="009D2F36"/>
    <w:rsid w:val="009D3056"/>
    <w:rsid w:val="009D306B"/>
    <w:rsid w:val="009D32B6"/>
    <w:rsid w:val="009D3330"/>
    <w:rsid w:val="009D3547"/>
    <w:rsid w:val="009D3645"/>
    <w:rsid w:val="009D3653"/>
    <w:rsid w:val="009D3B53"/>
    <w:rsid w:val="009D3C83"/>
    <w:rsid w:val="009D3DDF"/>
    <w:rsid w:val="009D3E1D"/>
    <w:rsid w:val="009D3EF1"/>
    <w:rsid w:val="009D3F9C"/>
    <w:rsid w:val="009D411F"/>
    <w:rsid w:val="009D4597"/>
    <w:rsid w:val="009D465F"/>
    <w:rsid w:val="009D4732"/>
    <w:rsid w:val="009D481C"/>
    <w:rsid w:val="009D4827"/>
    <w:rsid w:val="009D488E"/>
    <w:rsid w:val="009D489F"/>
    <w:rsid w:val="009D4A60"/>
    <w:rsid w:val="009D4A99"/>
    <w:rsid w:val="009D4CD4"/>
    <w:rsid w:val="009D4CE3"/>
    <w:rsid w:val="009D4E9E"/>
    <w:rsid w:val="009D4EE7"/>
    <w:rsid w:val="009D4EF0"/>
    <w:rsid w:val="009D5365"/>
    <w:rsid w:val="009D53AB"/>
    <w:rsid w:val="009D53F6"/>
    <w:rsid w:val="009D56C6"/>
    <w:rsid w:val="009D56FD"/>
    <w:rsid w:val="009D57BD"/>
    <w:rsid w:val="009D580A"/>
    <w:rsid w:val="009D5A80"/>
    <w:rsid w:val="009D5B01"/>
    <w:rsid w:val="009D5B12"/>
    <w:rsid w:val="009D5BA8"/>
    <w:rsid w:val="009D5BF9"/>
    <w:rsid w:val="009D5C10"/>
    <w:rsid w:val="009D5C1F"/>
    <w:rsid w:val="009D5CFB"/>
    <w:rsid w:val="009D5E4A"/>
    <w:rsid w:val="009D5F32"/>
    <w:rsid w:val="009D60DC"/>
    <w:rsid w:val="009D64D3"/>
    <w:rsid w:val="009D654B"/>
    <w:rsid w:val="009D65B1"/>
    <w:rsid w:val="009D66E6"/>
    <w:rsid w:val="009D670B"/>
    <w:rsid w:val="009D67B4"/>
    <w:rsid w:val="009D6897"/>
    <w:rsid w:val="009D69CC"/>
    <w:rsid w:val="009D69E5"/>
    <w:rsid w:val="009D6A3E"/>
    <w:rsid w:val="009D6A7F"/>
    <w:rsid w:val="009D6C45"/>
    <w:rsid w:val="009D6C7B"/>
    <w:rsid w:val="009D6C92"/>
    <w:rsid w:val="009D6E29"/>
    <w:rsid w:val="009D6EF5"/>
    <w:rsid w:val="009D6F7C"/>
    <w:rsid w:val="009D7003"/>
    <w:rsid w:val="009D70A8"/>
    <w:rsid w:val="009D720D"/>
    <w:rsid w:val="009D72D3"/>
    <w:rsid w:val="009D74E1"/>
    <w:rsid w:val="009D74F2"/>
    <w:rsid w:val="009D74F9"/>
    <w:rsid w:val="009D7519"/>
    <w:rsid w:val="009D7778"/>
    <w:rsid w:val="009D77D3"/>
    <w:rsid w:val="009D77D4"/>
    <w:rsid w:val="009D77F7"/>
    <w:rsid w:val="009D784F"/>
    <w:rsid w:val="009D7853"/>
    <w:rsid w:val="009D78CB"/>
    <w:rsid w:val="009D793C"/>
    <w:rsid w:val="009D7A63"/>
    <w:rsid w:val="009D7B53"/>
    <w:rsid w:val="009D7B60"/>
    <w:rsid w:val="009D7EEF"/>
    <w:rsid w:val="009D7F26"/>
    <w:rsid w:val="009D7FC7"/>
    <w:rsid w:val="009D8068"/>
    <w:rsid w:val="009E006C"/>
    <w:rsid w:val="009E0088"/>
    <w:rsid w:val="009E010B"/>
    <w:rsid w:val="009E015B"/>
    <w:rsid w:val="009E015D"/>
    <w:rsid w:val="009E0237"/>
    <w:rsid w:val="009E0276"/>
    <w:rsid w:val="009E0355"/>
    <w:rsid w:val="009E037D"/>
    <w:rsid w:val="009E0455"/>
    <w:rsid w:val="009E0510"/>
    <w:rsid w:val="009E0764"/>
    <w:rsid w:val="009E089D"/>
    <w:rsid w:val="009E091D"/>
    <w:rsid w:val="009E09B2"/>
    <w:rsid w:val="009E0A00"/>
    <w:rsid w:val="009E0AA2"/>
    <w:rsid w:val="009E0AF5"/>
    <w:rsid w:val="009E0B8F"/>
    <w:rsid w:val="009E0B9D"/>
    <w:rsid w:val="009E0C80"/>
    <w:rsid w:val="009E0DB8"/>
    <w:rsid w:val="009E0E85"/>
    <w:rsid w:val="009E0ECE"/>
    <w:rsid w:val="009E0F2F"/>
    <w:rsid w:val="009E0F72"/>
    <w:rsid w:val="009E102F"/>
    <w:rsid w:val="009E1160"/>
    <w:rsid w:val="009E11C7"/>
    <w:rsid w:val="009E1373"/>
    <w:rsid w:val="009E1407"/>
    <w:rsid w:val="009E14A3"/>
    <w:rsid w:val="009E14EA"/>
    <w:rsid w:val="009E16F5"/>
    <w:rsid w:val="009E1822"/>
    <w:rsid w:val="009E1873"/>
    <w:rsid w:val="009E18BD"/>
    <w:rsid w:val="009E1C55"/>
    <w:rsid w:val="009E1E83"/>
    <w:rsid w:val="009E1EBE"/>
    <w:rsid w:val="009E1F5C"/>
    <w:rsid w:val="009E1FF1"/>
    <w:rsid w:val="009E2001"/>
    <w:rsid w:val="009E2094"/>
    <w:rsid w:val="009E2117"/>
    <w:rsid w:val="009E21C7"/>
    <w:rsid w:val="009E22F8"/>
    <w:rsid w:val="009E236D"/>
    <w:rsid w:val="009E2408"/>
    <w:rsid w:val="009E242E"/>
    <w:rsid w:val="009E248B"/>
    <w:rsid w:val="009E2503"/>
    <w:rsid w:val="009E2508"/>
    <w:rsid w:val="009E269B"/>
    <w:rsid w:val="009E26E6"/>
    <w:rsid w:val="009E26F3"/>
    <w:rsid w:val="009E2731"/>
    <w:rsid w:val="009E2802"/>
    <w:rsid w:val="009E2965"/>
    <w:rsid w:val="009E298A"/>
    <w:rsid w:val="009E2A28"/>
    <w:rsid w:val="009E2ABC"/>
    <w:rsid w:val="009E2BA5"/>
    <w:rsid w:val="009E2CA3"/>
    <w:rsid w:val="009E2DFA"/>
    <w:rsid w:val="009E2F63"/>
    <w:rsid w:val="009E2FD3"/>
    <w:rsid w:val="009E30D9"/>
    <w:rsid w:val="009E31A1"/>
    <w:rsid w:val="009E31B8"/>
    <w:rsid w:val="009E31EE"/>
    <w:rsid w:val="009E32CF"/>
    <w:rsid w:val="009E3454"/>
    <w:rsid w:val="009E3650"/>
    <w:rsid w:val="009E36FE"/>
    <w:rsid w:val="009E3808"/>
    <w:rsid w:val="009E3972"/>
    <w:rsid w:val="009E3991"/>
    <w:rsid w:val="009E39C7"/>
    <w:rsid w:val="009E3A02"/>
    <w:rsid w:val="009E3A0F"/>
    <w:rsid w:val="009E3A82"/>
    <w:rsid w:val="009E3BD6"/>
    <w:rsid w:val="009E3C03"/>
    <w:rsid w:val="009E3CAD"/>
    <w:rsid w:val="009E3CE0"/>
    <w:rsid w:val="009E3E45"/>
    <w:rsid w:val="009E3E6E"/>
    <w:rsid w:val="009E3E86"/>
    <w:rsid w:val="009E3EF3"/>
    <w:rsid w:val="009E3F51"/>
    <w:rsid w:val="009E402B"/>
    <w:rsid w:val="009E40A5"/>
    <w:rsid w:val="009E41AC"/>
    <w:rsid w:val="009E4258"/>
    <w:rsid w:val="009E431F"/>
    <w:rsid w:val="009E44EB"/>
    <w:rsid w:val="009E462B"/>
    <w:rsid w:val="009E468C"/>
    <w:rsid w:val="009E46A3"/>
    <w:rsid w:val="009E4763"/>
    <w:rsid w:val="009E47F7"/>
    <w:rsid w:val="009E495D"/>
    <w:rsid w:val="009E4A43"/>
    <w:rsid w:val="009E4A46"/>
    <w:rsid w:val="009E4AFF"/>
    <w:rsid w:val="009E4B9F"/>
    <w:rsid w:val="009E4BEB"/>
    <w:rsid w:val="009E4D8A"/>
    <w:rsid w:val="009E4E9C"/>
    <w:rsid w:val="009E4EC6"/>
    <w:rsid w:val="009E4FEE"/>
    <w:rsid w:val="009E50B0"/>
    <w:rsid w:val="009E51DD"/>
    <w:rsid w:val="009E51FD"/>
    <w:rsid w:val="009E54BE"/>
    <w:rsid w:val="009E5685"/>
    <w:rsid w:val="009E56DF"/>
    <w:rsid w:val="009E57F3"/>
    <w:rsid w:val="009E5883"/>
    <w:rsid w:val="009E5A4A"/>
    <w:rsid w:val="009E5A66"/>
    <w:rsid w:val="009E5CCC"/>
    <w:rsid w:val="009E5CFC"/>
    <w:rsid w:val="009E5DC9"/>
    <w:rsid w:val="009E5F34"/>
    <w:rsid w:val="009E5FBA"/>
    <w:rsid w:val="009E611D"/>
    <w:rsid w:val="009E61AA"/>
    <w:rsid w:val="009E61F1"/>
    <w:rsid w:val="009E62C7"/>
    <w:rsid w:val="009E62D4"/>
    <w:rsid w:val="009E63F7"/>
    <w:rsid w:val="009E643F"/>
    <w:rsid w:val="009E65ED"/>
    <w:rsid w:val="009E66A4"/>
    <w:rsid w:val="009E66DF"/>
    <w:rsid w:val="009E67C1"/>
    <w:rsid w:val="009E698B"/>
    <w:rsid w:val="009E6A68"/>
    <w:rsid w:val="009E6AE3"/>
    <w:rsid w:val="009E6E2E"/>
    <w:rsid w:val="009E6E56"/>
    <w:rsid w:val="009E6EC2"/>
    <w:rsid w:val="009E6EE7"/>
    <w:rsid w:val="009E6FC7"/>
    <w:rsid w:val="009E70F1"/>
    <w:rsid w:val="009E70F2"/>
    <w:rsid w:val="009E7182"/>
    <w:rsid w:val="009E739C"/>
    <w:rsid w:val="009E78E8"/>
    <w:rsid w:val="009E79A3"/>
    <w:rsid w:val="009E7A02"/>
    <w:rsid w:val="009E7A52"/>
    <w:rsid w:val="009E7B39"/>
    <w:rsid w:val="009E7CE8"/>
    <w:rsid w:val="009E7D28"/>
    <w:rsid w:val="009E7E95"/>
    <w:rsid w:val="009E7F6A"/>
    <w:rsid w:val="009F0143"/>
    <w:rsid w:val="009F0165"/>
    <w:rsid w:val="009F023A"/>
    <w:rsid w:val="009F0480"/>
    <w:rsid w:val="009F06DA"/>
    <w:rsid w:val="009F06FA"/>
    <w:rsid w:val="009F0749"/>
    <w:rsid w:val="009F07FA"/>
    <w:rsid w:val="009F0864"/>
    <w:rsid w:val="009F0927"/>
    <w:rsid w:val="009F0957"/>
    <w:rsid w:val="009F096D"/>
    <w:rsid w:val="009F0A85"/>
    <w:rsid w:val="009F0ACB"/>
    <w:rsid w:val="009F0AD5"/>
    <w:rsid w:val="009F0B22"/>
    <w:rsid w:val="009F0BD6"/>
    <w:rsid w:val="009F0C64"/>
    <w:rsid w:val="009F0E0D"/>
    <w:rsid w:val="009F0F73"/>
    <w:rsid w:val="009F10A3"/>
    <w:rsid w:val="009F11BE"/>
    <w:rsid w:val="009F1247"/>
    <w:rsid w:val="009F126E"/>
    <w:rsid w:val="009F17EA"/>
    <w:rsid w:val="009F1867"/>
    <w:rsid w:val="009F18D3"/>
    <w:rsid w:val="009F1967"/>
    <w:rsid w:val="009F1A66"/>
    <w:rsid w:val="009F1B89"/>
    <w:rsid w:val="009F1BF8"/>
    <w:rsid w:val="009F1DB9"/>
    <w:rsid w:val="009F1F26"/>
    <w:rsid w:val="009F1F42"/>
    <w:rsid w:val="009F200F"/>
    <w:rsid w:val="009F2040"/>
    <w:rsid w:val="009F20F0"/>
    <w:rsid w:val="009F219D"/>
    <w:rsid w:val="009F22FF"/>
    <w:rsid w:val="009F2420"/>
    <w:rsid w:val="009F2424"/>
    <w:rsid w:val="009F249F"/>
    <w:rsid w:val="009F264D"/>
    <w:rsid w:val="009F275E"/>
    <w:rsid w:val="009F27E9"/>
    <w:rsid w:val="009F283F"/>
    <w:rsid w:val="009F2864"/>
    <w:rsid w:val="009F28D9"/>
    <w:rsid w:val="009F2A06"/>
    <w:rsid w:val="009F2BE4"/>
    <w:rsid w:val="009F2C03"/>
    <w:rsid w:val="009F2E35"/>
    <w:rsid w:val="009F2E85"/>
    <w:rsid w:val="009F2F19"/>
    <w:rsid w:val="009F304C"/>
    <w:rsid w:val="009F3151"/>
    <w:rsid w:val="009F325D"/>
    <w:rsid w:val="009F33E9"/>
    <w:rsid w:val="009F3429"/>
    <w:rsid w:val="009F342F"/>
    <w:rsid w:val="009F35C1"/>
    <w:rsid w:val="009F3626"/>
    <w:rsid w:val="009F3639"/>
    <w:rsid w:val="009F3662"/>
    <w:rsid w:val="009F3667"/>
    <w:rsid w:val="009F37D3"/>
    <w:rsid w:val="009F38D5"/>
    <w:rsid w:val="009F3935"/>
    <w:rsid w:val="009F39E3"/>
    <w:rsid w:val="009F3A38"/>
    <w:rsid w:val="009F3AB0"/>
    <w:rsid w:val="009F3B15"/>
    <w:rsid w:val="009F3C38"/>
    <w:rsid w:val="009F3C5D"/>
    <w:rsid w:val="009F3CB3"/>
    <w:rsid w:val="009F3DA3"/>
    <w:rsid w:val="009F3E36"/>
    <w:rsid w:val="009F3EDF"/>
    <w:rsid w:val="009F3FF0"/>
    <w:rsid w:val="009F4165"/>
    <w:rsid w:val="009F42A2"/>
    <w:rsid w:val="009F42BD"/>
    <w:rsid w:val="009F42DF"/>
    <w:rsid w:val="009F439F"/>
    <w:rsid w:val="009F43C7"/>
    <w:rsid w:val="009F442A"/>
    <w:rsid w:val="009F4473"/>
    <w:rsid w:val="009F4581"/>
    <w:rsid w:val="009F461A"/>
    <w:rsid w:val="009F4700"/>
    <w:rsid w:val="009F4851"/>
    <w:rsid w:val="009F495F"/>
    <w:rsid w:val="009F4A12"/>
    <w:rsid w:val="009F4A82"/>
    <w:rsid w:val="009F4A91"/>
    <w:rsid w:val="009F4AFA"/>
    <w:rsid w:val="009F4B4C"/>
    <w:rsid w:val="009F4B9E"/>
    <w:rsid w:val="009F4BB4"/>
    <w:rsid w:val="009F4BEF"/>
    <w:rsid w:val="009F4C4B"/>
    <w:rsid w:val="009F4CF9"/>
    <w:rsid w:val="009F4D5F"/>
    <w:rsid w:val="009F4DEA"/>
    <w:rsid w:val="009F4F5F"/>
    <w:rsid w:val="009F4F6E"/>
    <w:rsid w:val="009F4F72"/>
    <w:rsid w:val="009F4F7B"/>
    <w:rsid w:val="009F51B6"/>
    <w:rsid w:val="009F520A"/>
    <w:rsid w:val="009F520C"/>
    <w:rsid w:val="009F529C"/>
    <w:rsid w:val="009F5550"/>
    <w:rsid w:val="009F5596"/>
    <w:rsid w:val="009F5601"/>
    <w:rsid w:val="009F569C"/>
    <w:rsid w:val="009F5794"/>
    <w:rsid w:val="009F5798"/>
    <w:rsid w:val="009F5855"/>
    <w:rsid w:val="009F59B4"/>
    <w:rsid w:val="009F5A54"/>
    <w:rsid w:val="009F5A8B"/>
    <w:rsid w:val="009F5E90"/>
    <w:rsid w:val="009F6084"/>
    <w:rsid w:val="009F63A9"/>
    <w:rsid w:val="009F642B"/>
    <w:rsid w:val="009F6464"/>
    <w:rsid w:val="009F6604"/>
    <w:rsid w:val="009F662E"/>
    <w:rsid w:val="009F6649"/>
    <w:rsid w:val="009F6674"/>
    <w:rsid w:val="009F670D"/>
    <w:rsid w:val="009F6767"/>
    <w:rsid w:val="009F6787"/>
    <w:rsid w:val="009F6790"/>
    <w:rsid w:val="009F69FB"/>
    <w:rsid w:val="009F6AD7"/>
    <w:rsid w:val="009F6BBE"/>
    <w:rsid w:val="009F6D10"/>
    <w:rsid w:val="009F6D19"/>
    <w:rsid w:val="009F6D88"/>
    <w:rsid w:val="009F6DAC"/>
    <w:rsid w:val="009F6DDE"/>
    <w:rsid w:val="009F6DF9"/>
    <w:rsid w:val="009F6FBA"/>
    <w:rsid w:val="009F717C"/>
    <w:rsid w:val="009F7253"/>
    <w:rsid w:val="009F72B3"/>
    <w:rsid w:val="009F739D"/>
    <w:rsid w:val="009F73A4"/>
    <w:rsid w:val="009F73E8"/>
    <w:rsid w:val="009F7407"/>
    <w:rsid w:val="009F74C3"/>
    <w:rsid w:val="009F75E8"/>
    <w:rsid w:val="009F77B3"/>
    <w:rsid w:val="009F77B5"/>
    <w:rsid w:val="009F7877"/>
    <w:rsid w:val="009F7897"/>
    <w:rsid w:val="009F78FB"/>
    <w:rsid w:val="009F7A43"/>
    <w:rsid w:val="009F7AB4"/>
    <w:rsid w:val="009F7BEC"/>
    <w:rsid w:val="009F7C14"/>
    <w:rsid w:val="009F7C49"/>
    <w:rsid w:val="009F7C72"/>
    <w:rsid w:val="009F7DF8"/>
    <w:rsid w:val="009F7E2A"/>
    <w:rsid w:val="009F7E3D"/>
    <w:rsid w:val="009F7E96"/>
    <w:rsid w:val="00A000AD"/>
    <w:rsid w:val="00A000BA"/>
    <w:rsid w:val="00A000CE"/>
    <w:rsid w:val="00A00158"/>
    <w:rsid w:val="00A001E4"/>
    <w:rsid w:val="00A00335"/>
    <w:rsid w:val="00A0036A"/>
    <w:rsid w:val="00A00375"/>
    <w:rsid w:val="00A00613"/>
    <w:rsid w:val="00A0072C"/>
    <w:rsid w:val="00A007F4"/>
    <w:rsid w:val="00A00817"/>
    <w:rsid w:val="00A0094C"/>
    <w:rsid w:val="00A00A3A"/>
    <w:rsid w:val="00A00ABF"/>
    <w:rsid w:val="00A00B28"/>
    <w:rsid w:val="00A00B53"/>
    <w:rsid w:val="00A00DFB"/>
    <w:rsid w:val="00A00E02"/>
    <w:rsid w:val="00A00E6D"/>
    <w:rsid w:val="00A011D4"/>
    <w:rsid w:val="00A01330"/>
    <w:rsid w:val="00A0133C"/>
    <w:rsid w:val="00A01386"/>
    <w:rsid w:val="00A013CA"/>
    <w:rsid w:val="00A013EE"/>
    <w:rsid w:val="00A01451"/>
    <w:rsid w:val="00A01526"/>
    <w:rsid w:val="00A01592"/>
    <w:rsid w:val="00A0180E"/>
    <w:rsid w:val="00A018A5"/>
    <w:rsid w:val="00A01AC3"/>
    <w:rsid w:val="00A01B35"/>
    <w:rsid w:val="00A01B4C"/>
    <w:rsid w:val="00A01BA8"/>
    <w:rsid w:val="00A01D44"/>
    <w:rsid w:val="00A01DEC"/>
    <w:rsid w:val="00A01E1D"/>
    <w:rsid w:val="00A01E46"/>
    <w:rsid w:val="00A01F49"/>
    <w:rsid w:val="00A01F52"/>
    <w:rsid w:val="00A01FBD"/>
    <w:rsid w:val="00A020A7"/>
    <w:rsid w:val="00A0212B"/>
    <w:rsid w:val="00A02215"/>
    <w:rsid w:val="00A02370"/>
    <w:rsid w:val="00A023BF"/>
    <w:rsid w:val="00A02689"/>
    <w:rsid w:val="00A026A9"/>
    <w:rsid w:val="00A02737"/>
    <w:rsid w:val="00A02842"/>
    <w:rsid w:val="00A02899"/>
    <w:rsid w:val="00A028F0"/>
    <w:rsid w:val="00A028F4"/>
    <w:rsid w:val="00A0296F"/>
    <w:rsid w:val="00A02985"/>
    <w:rsid w:val="00A02A32"/>
    <w:rsid w:val="00A02A86"/>
    <w:rsid w:val="00A02AF2"/>
    <w:rsid w:val="00A02B1E"/>
    <w:rsid w:val="00A02CEC"/>
    <w:rsid w:val="00A02E90"/>
    <w:rsid w:val="00A02F40"/>
    <w:rsid w:val="00A02F54"/>
    <w:rsid w:val="00A03005"/>
    <w:rsid w:val="00A03044"/>
    <w:rsid w:val="00A031C6"/>
    <w:rsid w:val="00A03205"/>
    <w:rsid w:val="00A03314"/>
    <w:rsid w:val="00A0357E"/>
    <w:rsid w:val="00A0362B"/>
    <w:rsid w:val="00A03991"/>
    <w:rsid w:val="00A03A2D"/>
    <w:rsid w:val="00A03B73"/>
    <w:rsid w:val="00A03C34"/>
    <w:rsid w:val="00A03C67"/>
    <w:rsid w:val="00A03D2C"/>
    <w:rsid w:val="00A03D8A"/>
    <w:rsid w:val="00A03DA2"/>
    <w:rsid w:val="00A03E1F"/>
    <w:rsid w:val="00A03E99"/>
    <w:rsid w:val="00A03EFA"/>
    <w:rsid w:val="00A03F77"/>
    <w:rsid w:val="00A03F98"/>
    <w:rsid w:val="00A0400C"/>
    <w:rsid w:val="00A04144"/>
    <w:rsid w:val="00A041EC"/>
    <w:rsid w:val="00A0463D"/>
    <w:rsid w:val="00A046CC"/>
    <w:rsid w:val="00A0489A"/>
    <w:rsid w:val="00A04A50"/>
    <w:rsid w:val="00A04C73"/>
    <w:rsid w:val="00A04C89"/>
    <w:rsid w:val="00A04E09"/>
    <w:rsid w:val="00A04EFC"/>
    <w:rsid w:val="00A04F30"/>
    <w:rsid w:val="00A0518C"/>
    <w:rsid w:val="00A0528A"/>
    <w:rsid w:val="00A052C1"/>
    <w:rsid w:val="00A0534A"/>
    <w:rsid w:val="00A053F9"/>
    <w:rsid w:val="00A0543B"/>
    <w:rsid w:val="00A0552A"/>
    <w:rsid w:val="00A0560A"/>
    <w:rsid w:val="00A05711"/>
    <w:rsid w:val="00A057EC"/>
    <w:rsid w:val="00A05ACE"/>
    <w:rsid w:val="00A05B5C"/>
    <w:rsid w:val="00A05C77"/>
    <w:rsid w:val="00A05CEA"/>
    <w:rsid w:val="00A05F37"/>
    <w:rsid w:val="00A05FCB"/>
    <w:rsid w:val="00A06021"/>
    <w:rsid w:val="00A06172"/>
    <w:rsid w:val="00A0617B"/>
    <w:rsid w:val="00A0643E"/>
    <w:rsid w:val="00A0645A"/>
    <w:rsid w:val="00A06487"/>
    <w:rsid w:val="00A064EA"/>
    <w:rsid w:val="00A0664D"/>
    <w:rsid w:val="00A0673A"/>
    <w:rsid w:val="00A06763"/>
    <w:rsid w:val="00A067F4"/>
    <w:rsid w:val="00A067F9"/>
    <w:rsid w:val="00A06812"/>
    <w:rsid w:val="00A06901"/>
    <w:rsid w:val="00A0696D"/>
    <w:rsid w:val="00A06A84"/>
    <w:rsid w:val="00A06ABA"/>
    <w:rsid w:val="00A06B0C"/>
    <w:rsid w:val="00A06C3C"/>
    <w:rsid w:val="00A06D60"/>
    <w:rsid w:val="00A06E9E"/>
    <w:rsid w:val="00A06EBE"/>
    <w:rsid w:val="00A06EC6"/>
    <w:rsid w:val="00A07090"/>
    <w:rsid w:val="00A0720A"/>
    <w:rsid w:val="00A0726C"/>
    <w:rsid w:val="00A0729E"/>
    <w:rsid w:val="00A0739A"/>
    <w:rsid w:val="00A073AC"/>
    <w:rsid w:val="00A07486"/>
    <w:rsid w:val="00A074CE"/>
    <w:rsid w:val="00A075D9"/>
    <w:rsid w:val="00A0760F"/>
    <w:rsid w:val="00A07643"/>
    <w:rsid w:val="00A07655"/>
    <w:rsid w:val="00A07670"/>
    <w:rsid w:val="00A0767C"/>
    <w:rsid w:val="00A0797C"/>
    <w:rsid w:val="00A079C9"/>
    <w:rsid w:val="00A07BBA"/>
    <w:rsid w:val="00A07C23"/>
    <w:rsid w:val="00A07CCB"/>
    <w:rsid w:val="00A07D0A"/>
    <w:rsid w:val="00A07D2C"/>
    <w:rsid w:val="00A07D4C"/>
    <w:rsid w:val="00A07DB2"/>
    <w:rsid w:val="00A07F59"/>
    <w:rsid w:val="00A101B9"/>
    <w:rsid w:val="00A102FF"/>
    <w:rsid w:val="00A104B2"/>
    <w:rsid w:val="00A10532"/>
    <w:rsid w:val="00A10547"/>
    <w:rsid w:val="00A10611"/>
    <w:rsid w:val="00A10685"/>
    <w:rsid w:val="00A1068C"/>
    <w:rsid w:val="00A1081D"/>
    <w:rsid w:val="00A10832"/>
    <w:rsid w:val="00A108D6"/>
    <w:rsid w:val="00A108E8"/>
    <w:rsid w:val="00A10C09"/>
    <w:rsid w:val="00A10CDA"/>
    <w:rsid w:val="00A10CF9"/>
    <w:rsid w:val="00A10D50"/>
    <w:rsid w:val="00A10E4D"/>
    <w:rsid w:val="00A10FD9"/>
    <w:rsid w:val="00A10FE2"/>
    <w:rsid w:val="00A11036"/>
    <w:rsid w:val="00A110DB"/>
    <w:rsid w:val="00A1120F"/>
    <w:rsid w:val="00A112C1"/>
    <w:rsid w:val="00A1148E"/>
    <w:rsid w:val="00A11572"/>
    <w:rsid w:val="00A11634"/>
    <w:rsid w:val="00A11796"/>
    <w:rsid w:val="00A117D4"/>
    <w:rsid w:val="00A1180F"/>
    <w:rsid w:val="00A1183F"/>
    <w:rsid w:val="00A11A25"/>
    <w:rsid w:val="00A11A7A"/>
    <w:rsid w:val="00A11B07"/>
    <w:rsid w:val="00A11CD2"/>
    <w:rsid w:val="00A11D5C"/>
    <w:rsid w:val="00A11D7F"/>
    <w:rsid w:val="00A120DE"/>
    <w:rsid w:val="00A120EC"/>
    <w:rsid w:val="00A122F1"/>
    <w:rsid w:val="00A12301"/>
    <w:rsid w:val="00A12322"/>
    <w:rsid w:val="00A12348"/>
    <w:rsid w:val="00A12450"/>
    <w:rsid w:val="00A1247A"/>
    <w:rsid w:val="00A124A5"/>
    <w:rsid w:val="00A126F1"/>
    <w:rsid w:val="00A12849"/>
    <w:rsid w:val="00A1287E"/>
    <w:rsid w:val="00A12A16"/>
    <w:rsid w:val="00A12B1C"/>
    <w:rsid w:val="00A12B66"/>
    <w:rsid w:val="00A12CB2"/>
    <w:rsid w:val="00A12D8C"/>
    <w:rsid w:val="00A12DBB"/>
    <w:rsid w:val="00A12DC9"/>
    <w:rsid w:val="00A13221"/>
    <w:rsid w:val="00A13414"/>
    <w:rsid w:val="00A1351D"/>
    <w:rsid w:val="00A13788"/>
    <w:rsid w:val="00A13990"/>
    <w:rsid w:val="00A1399D"/>
    <w:rsid w:val="00A13A23"/>
    <w:rsid w:val="00A13A28"/>
    <w:rsid w:val="00A13B0F"/>
    <w:rsid w:val="00A13D90"/>
    <w:rsid w:val="00A13DA5"/>
    <w:rsid w:val="00A13EA8"/>
    <w:rsid w:val="00A13EAE"/>
    <w:rsid w:val="00A13F04"/>
    <w:rsid w:val="00A14150"/>
    <w:rsid w:val="00A1415A"/>
    <w:rsid w:val="00A1415E"/>
    <w:rsid w:val="00A141A0"/>
    <w:rsid w:val="00A142B8"/>
    <w:rsid w:val="00A14451"/>
    <w:rsid w:val="00A1451D"/>
    <w:rsid w:val="00A145FF"/>
    <w:rsid w:val="00A14637"/>
    <w:rsid w:val="00A146A1"/>
    <w:rsid w:val="00A14719"/>
    <w:rsid w:val="00A148A3"/>
    <w:rsid w:val="00A14B73"/>
    <w:rsid w:val="00A14C57"/>
    <w:rsid w:val="00A14C7E"/>
    <w:rsid w:val="00A14E21"/>
    <w:rsid w:val="00A14ECC"/>
    <w:rsid w:val="00A14F7F"/>
    <w:rsid w:val="00A14FCB"/>
    <w:rsid w:val="00A1506F"/>
    <w:rsid w:val="00A151C3"/>
    <w:rsid w:val="00A152CA"/>
    <w:rsid w:val="00A152F4"/>
    <w:rsid w:val="00A15325"/>
    <w:rsid w:val="00A15489"/>
    <w:rsid w:val="00A1567A"/>
    <w:rsid w:val="00A156E1"/>
    <w:rsid w:val="00A156F7"/>
    <w:rsid w:val="00A15857"/>
    <w:rsid w:val="00A159E7"/>
    <w:rsid w:val="00A15A87"/>
    <w:rsid w:val="00A15ABD"/>
    <w:rsid w:val="00A15AC4"/>
    <w:rsid w:val="00A15B75"/>
    <w:rsid w:val="00A15C65"/>
    <w:rsid w:val="00A15C99"/>
    <w:rsid w:val="00A15D30"/>
    <w:rsid w:val="00A15D33"/>
    <w:rsid w:val="00A15E9B"/>
    <w:rsid w:val="00A15F04"/>
    <w:rsid w:val="00A15F1B"/>
    <w:rsid w:val="00A16008"/>
    <w:rsid w:val="00A161A8"/>
    <w:rsid w:val="00A161E1"/>
    <w:rsid w:val="00A16642"/>
    <w:rsid w:val="00A166D0"/>
    <w:rsid w:val="00A1678A"/>
    <w:rsid w:val="00A1685B"/>
    <w:rsid w:val="00A168BD"/>
    <w:rsid w:val="00A168EF"/>
    <w:rsid w:val="00A16981"/>
    <w:rsid w:val="00A16A09"/>
    <w:rsid w:val="00A16ADC"/>
    <w:rsid w:val="00A16B78"/>
    <w:rsid w:val="00A16C49"/>
    <w:rsid w:val="00A16CA5"/>
    <w:rsid w:val="00A16CFC"/>
    <w:rsid w:val="00A16DCD"/>
    <w:rsid w:val="00A16E14"/>
    <w:rsid w:val="00A1700B"/>
    <w:rsid w:val="00A1703F"/>
    <w:rsid w:val="00A170BD"/>
    <w:rsid w:val="00A17185"/>
    <w:rsid w:val="00A17247"/>
    <w:rsid w:val="00A17600"/>
    <w:rsid w:val="00A17639"/>
    <w:rsid w:val="00A17755"/>
    <w:rsid w:val="00A177B8"/>
    <w:rsid w:val="00A177F6"/>
    <w:rsid w:val="00A1781C"/>
    <w:rsid w:val="00A178C5"/>
    <w:rsid w:val="00A17AB7"/>
    <w:rsid w:val="00A17B28"/>
    <w:rsid w:val="00A17E3E"/>
    <w:rsid w:val="00A17EC5"/>
    <w:rsid w:val="00A17EE0"/>
    <w:rsid w:val="00A17F6B"/>
    <w:rsid w:val="00A17FA7"/>
    <w:rsid w:val="00A17FE6"/>
    <w:rsid w:val="00A20139"/>
    <w:rsid w:val="00A2022B"/>
    <w:rsid w:val="00A20276"/>
    <w:rsid w:val="00A202BF"/>
    <w:rsid w:val="00A20330"/>
    <w:rsid w:val="00A20359"/>
    <w:rsid w:val="00A2050F"/>
    <w:rsid w:val="00A20647"/>
    <w:rsid w:val="00A20656"/>
    <w:rsid w:val="00A2088F"/>
    <w:rsid w:val="00A20955"/>
    <w:rsid w:val="00A209CA"/>
    <w:rsid w:val="00A209E1"/>
    <w:rsid w:val="00A20AD6"/>
    <w:rsid w:val="00A20B39"/>
    <w:rsid w:val="00A20E59"/>
    <w:rsid w:val="00A20F1E"/>
    <w:rsid w:val="00A20F83"/>
    <w:rsid w:val="00A20FB5"/>
    <w:rsid w:val="00A21078"/>
    <w:rsid w:val="00A21296"/>
    <w:rsid w:val="00A2150C"/>
    <w:rsid w:val="00A2153C"/>
    <w:rsid w:val="00A215C1"/>
    <w:rsid w:val="00A217DE"/>
    <w:rsid w:val="00A218BA"/>
    <w:rsid w:val="00A218DE"/>
    <w:rsid w:val="00A21994"/>
    <w:rsid w:val="00A219A3"/>
    <w:rsid w:val="00A21ABE"/>
    <w:rsid w:val="00A21B15"/>
    <w:rsid w:val="00A21B39"/>
    <w:rsid w:val="00A21BF3"/>
    <w:rsid w:val="00A21D0C"/>
    <w:rsid w:val="00A21D3C"/>
    <w:rsid w:val="00A21DEA"/>
    <w:rsid w:val="00A21E7C"/>
    <w:rsid w:val="00A21F24"/>
    <w:rsid w:val="00A21FC6"/>
    <w:rsid w:val="00A2262C"/>
    <w:rsid w:val="00A227B0"/>
    <w:rsid w:val="00A22840"/>
    <w:rsid w:val="00A229DB"/>
    <w:rsid w:val="00A229E4"/>
    <w:rsid w:val="00A22A24"/>
    <w:rsid w:val="00A22BD0"/>
    <w:rsid w:val="00A22C84"/>
    <w:rsid w:val="00A22D4E"/>
    <w:rsid w:val="00A22EB0"/>
    <w:rsid w:val="00A22EC9"/>
    <w:rsid w:val="00A22FD2"/>
    <w:rsid w:val="00A23215"/>
    <w:rsid w:val="00A2324A"/>
    <w:rsid w:val="00A23362"/>
    <w:rsid w:val="00A233EA"/>
    <w:rsid w:val="00A23502"/>
    <w:rsid w:val="00A2350F"/>
    <w:rsid w:val="00A2359D"/>
    <w:rsid w:val="00A235B3"/>
    <w:rsid w:val="00A235FF"/>
    <w:rsid w:val="00A23628"/>
    <w:rsid w:val="00A23881"/>
    <w:rsid w:val="00A23B8E"/>
    <w:rsid w:val="00A23BB5"/>
    <w:rsid w:val="00A23D34"/>
    <w:rsid w:val="00A23DE4"/>
    <w:rsid w:val="00A23E3C"/>
    <w:rsid w:val="00A23EC8"/>
    <w:rsid w:val="00A23F71"/>
    <w:rsid w:val="00A23FF7"/>
    <w:rsid w:val="00A24041"/>
    <w:rsid w:val="00A2419B"/>
    <w:rsid w:val="00A2419C"/>
    <w:rsid w:val="00A24272"/>
    <w:rsid w:val="00A242D7"/>
    <w:rsid w:val="00A2443F"/>
    <w:rsid w:val="00A245A7"/>
    <w:rsid w:val="00A2468F"/>
    <w:rsid w:val="00A2472C"/>
    <w:rsid w:val="00A24756"/>
    <w:rsid w:val="00A24B71"/>
    <w:rsid w:val="00A24C75"/>
    <w:rsid w:val="00A24C7A"/>
    <w:rsid w:val="00A24D75"/>
    <w:rsid w:val="00A24E7C"/>
    <w:rsid w:val="00A24EC5"/>
    <w:rsid w:val="00A24FA4"/>
    <w:rsid w:val="00A24FE4"/>
    <w:rsid w:val="00A250AB"/>
    <w:rsid w:val="00A25183"/>
    <w:rsid w:val="00A25271"/>
    <w:rsid w:val="00A252A3"/>
    <w:rsid w:val="00A2539A"/>
    <w:rsid w:val="00A25558"/>
    <w:rsid w:val="00A255B4"/>
    <w:rsid w:val="00A25880"/>
    <w:rsid w:val="00A2588B"/>
    <w:rsid w:val="00A258D6"/>
    <w:rsid w:val="00A25A0C"/>
    <w:rsid w:val="00A25FEC"/>
    <w:rsid w:val="00A2602C"/>
    <w:rsid w:val="00A260B5"/>
    <w:rsid w:val="00A261EF"/>
    <w:rsid w:val="00A26599"/>
    <w:rsid w:val="00A268A1"/>
    <w:rsid w:val="00A268DD"/>
    <w:rsid w:val="00A2692E"/>
    <w:rsid w:val="00A26991"/>
    <w:rsid w:val="00A26A5A"/>
    <w:rsid w:val="00A26AFF"/>
    <w:rsid w:val="00A26C29"/>
    <w:rsid w:val="00A26CB9"/>
    <w:rsid w:val="00A26DBB"/>
    <w:rsid w:val="00A26EA7"/>
    <w:rsid w:val="00A270BB"/>
    <w:rsid w:val="00A27108"/>
    <w:rsid w:val="00A27169"/>
    <w:rsid w:val="00A271B4"/>
    <w:rsid w:val="00A271EF"/>
    <w:rsid w:val="00A272E0"/>
    <w:rsid w:val="00A27321"/>
    <w:rsid w:val="00A273FE"/>
    <w:rsid w:val="00A274F7"/>
    <w:rsid w:val="00A27577"/>
    <w:rsid w:val="00A2758A"/>
    <w:rsid w:val="00A27624"/>
    <w:rsid w:val="00A2766B"/>
    <w:rsid w:val="00A2777B"/>
    <w:rsid w:val="00A277BC"/>
    <w:rsid w:val="00A27904"/>
    <w:rsid w:val="00A279AA"/>
    <w:rsid w:val="00A27AB2"/>
    <w:rsid w:val="00A27B46"/>
    <w:rsid w:val="00A27B4A"/>
    <w:rsid w:val="00A27B73"/>
    <w:rsid w:val="00A27CB4"/>
    <w:rsid w:val="00A27D04"/>
    <w:rsid w:val="00A27DA8"/>
    <w:rsid w:val="00A27DCA"/>
    <w:rsid w:val="00A27E4F"/>
    <w:rsid w:val="00A27F97"/>
    <w:rsid w:val="00A27FF6"/>
    <w:rsid w:val="00A30075"/>
    <w:rsid w:val="00A30127"/>
    <w:rsid w:val="00A30211"/>
    <w:rsid w:val="00A305BF"/>
    <w:rsid w:val="00A30701"/>
    <w:rsid w:val="00A307C7"/>
    <w:rsid w:val="00A309A3"/>
    <w:rsid w:val="00A309AD"/>
    <w:rsid w:val="00A30A5C"/>
    <w:rsid w:val="00A30B22"/>
    <w:rsid w:val="00A30B54"/>
    <w:rsid w:val="00A30C73"/>
    <w:rsid w:val="00A30FAE"/>
    <w:rsid w:val="00A310AC"/>
    <w:rsid w:val="00A311E5"/>
    <w:rsid w:val="00A31309"/>
    <w:rsid w:val="00A314FC"/>
    <w:rsid w:val="00A31578"/>
    <w:rsid w:val="00A3157A"/>
    <w:rsid w:val="00A316D9"/>
    <w:rsid w:val="00A31725"/>
    <w:rsid w:val="00A31873"/>
    <w:rsid w:val="00A3194C"/>
    <w:rsid w:val="00A319A9"/>
    <w:rsid w:val="00A319E1"/>
    <w:rsid w:val="00A31ADA"/>
    <w:rsid w:val="00A31BE3"/>
    <w:rsid w:val="00A31E37"/>
    <w:rsid w:val="00A31F56"/>
    <w:rsid w:val="00A321F4"/>
    <w:rsid w:val="00A322C1"/>
    <w:rsid w:val="00A323EE"/>
    <w:rsid w:val="00A3241A"/>
    <w:rsid w:val="00A32426"/>
    <w:rsid w:val="00A3244E"/>
    <w:rsid w:val="00A324B1"/>
    <w:rsid w:val="00A324E0"/>
    <w:rsid w:val="00A325E9"/>
    <w:rsid w:val="00A325F6"/>
    <w:rsid w:val="00A3266E"/>
    <w:rsid w:val="00A326E5"/>
    <w:rsid w:val="00A32713"/>
    <w:rsid w:val="00A32805"/>
    <w:rsid w:val="00A32811"/>
    <w:rsid w:val="00A32869"/>
    <w:rsid w:val="00A32BB7"/>
    <w:rsid w:val="00A32BDF"/>
    <w:rsid w:val="00A32D5A"/>
    <w:rsid w:val="00A32E7E"/>
    <w:rsid w:val="00A32ED5"/>
    <w:rsid w:val="00A32F08"/>
    <w:rsid w:val="00A32F4D"/>
    <w:rsid w:val="00A32F95"/>
    <w:rsid w:val="00A32FA3"/>
    <w:rsid w:val="00A3300B"/>
    <w:rsid w:val="00A330B6"/>
    <w:rsid w:val="00A330CF"/>
    <w:rsid w:val="00A332A7"/>
    <w:rsid w:val="00A33722"/>
    <w:rsid w:val="00A3379B"/>
    <w:rsid w:val="00A3380C"/>
    <w:rsid w:val="00A33891"/>
    <w:rsid w:val="00A338AE"/>
    <w:rsid w:val="00A338F0"/>
    <w:rsid w:val="00A33A0A"/>
    <w:rsid w:val="00A33B05"/>
    <w:rsid w:val="00A33B20"/>
    <w:rsid w:val="00A33B28"/>
    <w:rsid w:val="00A33B56"/>
    <w:rsid w:val="00A33BA5"/>
    <w:rsid w:val="00A33C8B"/>
    <w:rsid w:val="00A33CC5"/>
    <w:rsid w:val="00A33D5A"/>
    <w:rsid w:val="00A33E01"/>
    <w:rsid w:val="00A33EAE"/>
    <w:rsid w:val="00A33F91"/>
    <w:rsid w:val="00A33FB5"/>
    <w:rsid w:val="00A34045"/>
    <w:rsid w:val="00A340C6"/>
    <w:rsid w:val="00A3419F"/>
    <w:rsid w:val="00A342A9"/>
    <w:rsid w:val="00A34461"/>
    <w:rsid w:val="00A3452D"/>
    <w:rsid w:val="00A345C5"/>
    <w:rsid w:val="00A3463D"/>
    <w:rsid w:val="00A34773"/>
    <w:rsid w:val="00A34826"/>
    <w:rsid w:val="00A348C4"/>
    <w:rsid w:val="00A349BF"/>
    <w:rsid w:val="00A34A7E"/>
    <w:rsid w:val="00A34B7A"/>
    <w:rsid w:val="00A34C93"/>
    <w:rsid w:val="00A34CEB"/>
    <w:rsid w:val="00A35024"/>
    <w:rsid w:val="00A350B9"/>
    <w:rsid w:val="00A35141"/>
    <w:rsid w:val="00A35217"/>
    <w:rsid w:val="00A35229"/>
    <w:rsid w:val="00A3529C"/>
    <w:rsid w:val="00A352F0"/>
    <w:rsid w:val="00A353BE"/>
    <w:rsid w:val="00A35411"/>
    <w:rsid w:val="00A35415"/>
    <w:rsid w:val="00A35450"/>
    <w:rsid w:val="00A3551F"/>
    <w:rsid w:val="00A35546"/>
    <w:rsid w:val="00A35584"/>
    <w:rsid w:val="00A35790"/>
    <w:rsid w:val="00A358AB"/>
    <w:rsid w:val="00A358FF"/>
    <w:rsid w:val="00A35A40"/>
    <w:rsid w:val="00A35A7F"/>
    <w:rsid w:val="00A35ACB"/>
    <w:rsid w:val="00A35BFC"/>
    <w:rsid w:val="00A35CAB"/>
    <w:rsid w:val="00A35CF4"/>
    <w:rsid w:val="00A35DD4"/>
    <w:rsid w:val="00A35E48"/>
    <w:rsid w:val="00A36007"/>
    <w:rsid w:val="00A3605B"/>
    <w:rsid w:val="00A3607C"/>
    <w:rsid w:val="00A360A0"/>
    <w:rsid w:val="00A360F1"/>
    <w:rsid w:val="00A36104"/>
    <w:rsid w:val="00A36167"/>
    <w:rsid w:val="00A3616A"/>
    <w:rsid w:val="00A36175"/>
    <w:rsid w:val="00A36275"/>
    <w:rsid w:val="00A36373"/>
    <w:rsid w:val="00A3641E"/>
    <w:rsid w:val="00A36425"/>
    <w:rsid w:val="00A36570"/>
    <w:rsid w:val="00A366EB"/>
    <w:rsid w:val="00A36731"/>
    <w:rsid w:val="00A36882"/>
    <w:rsid w:val="00A368CD"/>
    <w:rsid w:val="00A36A2E"/>
    <w:rsid w:val="00A36A45"/>
    <w:rsid w:val="00A36A52"/>
    <w:rsid w:val="00A36B30"/>
    <w:rsid w:val="00A36BEC"/>
    <w:rsid w:val="00A36CF4"/>
    <w:rsid w:val="00A36D0B"/>
    <w:rsid w:val="00A36F18"/>
    <w:rsid w:val="00A3726D"/>
    <w:rsid w:val="00A3732B"/>
    <w:rsid w:val="00A373B5"/>
    <w:rsid w:val="00A373DF"/>
    <w:rsid w:val="00A37456"/>
    <w:rsid w:val="00A375C7"/>
    <w:rsid w:val="00A376E1"/>
    <w:rsid w:val="00A377C4"/>
    <w:rsid w:val="00A378AE"/>
    <w:rsid w:val="00A378E8"/>
    <w:rsid w:val="00A379B1"/>
    <w:rsid w:val="00A37ABA"/>
    <w:rsid w:val="00A37AC6"/>
    <w:rsid w:val="00A37AD8"/>
    <w:rsid w:val="00A37B48"/>
    <w:rsid w:val="00A37BD4"/>
    <w:rsid w:val="00A37C00"/>
    <w:rsid w:val="00A37D8D"/>
    <w:rsid w:val="00A37DC9"/>
    <w:rsid w:val="00A37DFA"/>
    <w:rsid w:val="00A37F4E"/>
    <w:rsid w:val="00A37F75"/>
    <w:rsid w:val="00A40124"/>
    <w:rsid w:val="00A402DD"/>
    <w:rsid w:val="00A40305"/>
    <w:rsid w:val="00A4031C"/>
    <w:rsid w:val="00A403E6"/>
    <w:rsid w:val="00A4041E"/>
    <w:rsid w:val="00A4044A"/>
    <w:rsid w:val="00A4049A"/>
    <w:rsid w:val="00A404D4"/>
    <w:rsid w:val="00A404F2"/>
    <w:rsid w:val="00A4053E"/>
    <w:rsid w:val="00A406BA"/>
    <w:rsid w:val="00A407C1"/>
    <w:rsid w:val="00A40855"/>
    <w:rsid w:val="00A408EB"/>
    <w:rsid w:val="00A4097D"/>
    <w:rsid w:val="00A40AD6"/>
    <w:rsid w:val="00A40AFB"/>
    <w:rsid w:val="00A40B28"/>
    <w:rsid w:val="00A40B3B"/>
    <w:rsid w:val="00A40B98"/>
    <w:rsid w:val="00A40D02"/>
    <w:rsid w:val="00A40DF2"/>
    <w:rsid w:val="00A40E15"/>
    <w:rsid w:val="00A40FA1"/>
    <w:rsid w:val="00A40FD7"/>
    <w:rsid w:val="00A40FE1"/>
    <w:rsid w:val="00A41274"/>
    <w:rsid w:val="00A412EA"/>
    <w:rsid w:val="00A413C3"/>
    <w:rsid w:val="00A413D5"/>
    <w:rsid w:val="00A4176C"/>
    <w:rsid w:val="00A4198B"/>
    <w:rsid w:val="00A41AE4"/>
    <w:rsid w:val="00A41BEC"/>
    <w:rsid w:val="00A41D65"/>
    <w:rsid w:val="00A41D7B"/>
    <w:rsid w:val="00A41DE0"/>
    <w:rsid w:val="00A41E69"/>
    <w:rsid w:val="00A42080"/>
    <w:rsid w:val="00A420A9"/>
    <w:rsid w:val="00A421B8"/>
    <w:rsid w:val="00A4223F"/>
    <w:rsid w:val="00A422B7"/>
    <w:rsid w:val="00A4244C"/>
    <w:rsid w:val="00A42593"/>
    <w:rsid w:val="00A425BE"/>
    <w:rsid w:val="00A42715"/>
    <w:rsid w:val="00A4272A"/>
    <w:rsid w:val="00A4274B"/>
    <w:rsid w:val="00A427D4"/>
    <w:rsid w:val="00A42A86"/>
    <w:rsid w:val="00A42B30"/>
    <w:rsid w:val="00A42D50"/>
    <w:rsid w:val="00A42FBD"/>
    <w:rsid w:val="00A4310E"/>
    <w:rsid w:val="00A43159"/>
    <w:rsid w:val="00A432CA"/>
    <w:rsid w:val="00A43374"/>
    <w:rsid w:val="00A433F5"/>
    <w:rsid w:val="00A43403"/>
    <w:rsid w:val="00A43412"/>
    <w:rsid w:val="00A43480"/>
    <w:rsid w:val="00A4356A"/>
    <w:rsid w:val="00A435F3"/>
    <w:rsid w:val="00A438D8"/>
    <w:rsid w:val="00A438FA"/>
    <w:rsid w:val="00A4399C"/>
    <w:rsid w:val="00A43AA5"/>
    <w:rsid w:val="00A43EC2"/>
    <w:rsid w:val="00A44119"/>
    <w:rsid w:val="00A44162"/>
    <w:rsid w:val="00A44233"/>
    <w:rsid w:val="00A4435B"/>
    <w:rsid w:val="00A44413"/>
    <w:rsid w:val="00A4447A"/>
    <w:rsid w:val="00A44490"/>
    <w:rsid w:val="00A444ED"/>
    <w:rsid w:val="00A4469B"/>
    <w:rsid w:val="00A449EA"/>
    <w:rsid w:val="00A44C07"/>
    <w:rsid w:val="00A44CAE"/>
    <w:rsid w:val="00A44DF5"/>
    <w:rsid w:val="00A44F15"/>
    <w:rsid w:val="00A452A8"/>
    <w:rsid w:val="00A4536A"/>
    <w:rsid w:val="00A45487"/>
    <w:rsid w:val="00A454BA"/>
    <w:rsid w:val="00A45608"/>
    <w:rsid w:val="00A456FA"/>
    <w:rsid w:val="00A45801"/>
    <w:rsid w:val="00A45926"/>
    <w:rsid w:val="00A45975"/>
    <w:rsid w:val="00A45A90"/>
    <w:rsid w:val="00A45ADA"/>
    <w:rsid w:val="00A45BFD"/>
    <w:rsid w:val="00A45D0C"/>
    <w:rsid w:val="00A45E67"/>
    <w:rsid w:val="00A45EBB"/>
    <w:rsid w:val="00A45EE1"/>
    <w:rsid w:val="00A4616E"/>
    <w:rsid w:val="00A4623E"/>
    <w:rsid w:val="00A46289"/>
    <w:rsid w:val="00A463D3"/>
    <w:rsid w:val="00A463EB"/>
    <w:rsid w:val="00A46467"/>
    <w:rsid w:val="00A46595"/>
    <w:rsid w:val="00A4664C"/>
    <w:rsid w:val="00A46846"/>
    <w:rsid w:val="00A46899"/>
    <w:rsid w:val="00A468E2"/>
    <w:rsid w:val="00A469B5"/>
    <w:rsid w:val="00A469CC"/>
    <w:rsid w:val="00A469CE"/>
    <w:rsid w:val="00A46D76"/>
    <w:rsid w:val="00A46D7D"/>
    <w:rsid w:val="00A46D85"/>
    <w:rsid w:val="00A4727E"/>
    <w:rsid w:val="00A474C8"/>
    <w:rsid w:val="00A47513"/>
    <w:rsid w:val="00A47535"/>
    <w:rsid w:val="00A476B7"/>
    <w:rsid w:val="00A477FF"/>
    <w:rsid w:val="00A478DF"/>
    <w:rsid w:val="00A47AA3"/>
    <w:rsid w:val="00A47C2F"/>
    <w:rsid w:val="00A47DB5"/>
    <w:rsid w:val="00A50191"/>
    <w:rsid w:val="00A50286"/>
    <w:rsid w:val="00A502D1"/>
    <w:rsid w:val="00A50518"/>
    <w:rsid w:val="00A50660"/>
    <w:rsid w:val="00A50677"/>
    <w:rsid w:val="00A507B8"/>
    <w:rsid w:val="00A507DD"/>
    <w:rsid w:val="00A5086F"/>
    <w:rsid w:val="00A508A7"/>
    <w:rsid w:val="00A508CF"/>
    <w:rsid w:val="00A50929"/>
    <w:rsid w:val="00A50936"/>
    <w:rsid w:val="00A50A28"/>
    <w:rsid w:val="00A50A96"/>
    <w:rsid w:val="00A50ACA"/>
    <w:rsid w:val="00A50ADA"/>
    <w:rsid w:val="00A50B70"/>
    <w:rsid w:val="00A50BC6"/>
    <w:rsid w:val="00A50D9C"/>
    <w:rsid w:val="00A50E77"/>
    <w:rsid w:val="00A50F7A"/>
    <w:rsid w:val="00A50FD0"/>
    <w:rsid w:val="00A51025"/>
    <w:rsid w:val="00A510ED"/>
    <w:rsid w:val="00A5130D"/>
    <w:rsid w:val="00A51415"/>
    <w:rsid w:val="00A514B9"/>
    <w:rsid w:val="00A51593"/>
    <w:rsid w:val="00A5170E"/>
    <w:rsid w:val="00A51876"/>
    <w:rsid w:val="00A519BC"/>
    <w:rsid w:val="00A51A21"/>
    <w:rsid w:val="00A51A37"/>
    <w:rsid w:val="00A51B0F"/>
    <w:rsid w:val="00A51BD5"/>
    <w:rsid w:val="00A51C06"/>
    <w:rsid w:val="00A51CD4"/>
    <w:rsid w:val="00A51E1F"/>
    <w:rsid w:val="00A51E48"/>
    <w:rsid w:val="00A52142"/>
    <w:rsid w:val="00A521B0"/>
    <w:rsid w:val="00A522E7"/>
    <w:rsid w:val="00A52376"/>
    <w:rsid w:val="00A527DF"/>
    <w:rsid w:val="00A527E6"/>
    <w:rsid w:val="00A528C3"/>
    <w:rsid w:val="00A528D0"/>
    <w:rsid w:val="00A528D7"/>
    <w:rsid w:val="00A52ACA"/>
    <w:rsid w:val="00A52C0B"/>
    <w:rsid w:val="00A52C66"/>
    <w:rsid w:val="00A52CD5"/>
    <w:rsid w:val="00A52CDF"/>
    <w:rsid w:val="00A52DDD"/>
    <w:rsid w:val="00A52E11"/>
    <w:rsid w:val="00A52EF7"/>
    <w:rsid w:val="00A52FFC"/>
    <w:rsid w:val="00A53000"/>
    <w:rsid w:val="00A53017"/>
    <w:rsid w:val="00A53078"/>
    <w:rsid w:val="00A5316A"/>
    <w:rsid w:val="00A53413"/>
    <w:rsid w:val="00A53447"/>
    <w:rsid w:val="00A534AC"/>
    <w:rsid w:val="00A53574"/>
    <w:rsid w:val="00A536B5"/>
    <w:rsid w:val="00A5383C"/>
    <w:rsid w:val="00A53884"/>
    <w:rsid w:val="00A539ED"/>
    <w:rsid w:val="00A53A36"/>
    <w:rsid w:val="00A53A7C"/>
    <w:rsid w:val="00A53AB5"/>
    <w:rsid w:val="00A53AF1"/>
    <w:rsid w:val="00A53C6E"/>
    <w:rsid w:val="00A53F48"/>
    <w:rsid w:val="00A53F95"/>
    <w:rsid w:val="00A54043"/>
    <w:rsid w:val="00A54052"/>
    <w:rsid w:val="00A540EF"/>
    <w:rsid w:val="00A5411B"/>
    <w:rsid w:val="00A5423B"/>
    <w:rsid w:val="00A544C2"/>
    <w:rsid w:val="00A54505"/>
    <w:rsid w:val="00A54547"/>
    <w:rsid w:val="00A54573"/>
    <w:rsid w:val="00A545FA"/>
    <w:rsid w:val="00A548CF"/>
    <w:rsid w:val="00A54ACC"/>
    <w:rsid w:val="00A54C5E"/>
    <w:rsid w:val="00A54CA5"/>
    <w:rsid w:val="00A54D15"/>
    <w:rsid w:val="00A54F56"/>
    <w:rsid w:val="00A550E8"/>
    <w:rsid w:val="00A5510B"/>
    <w:rsid w:val="00A5510E"/>
    <w:rsid w:val="00A55147"/>
    <w:rsid w:val="00A551BE"/>
    <w:rsid w:val="00A5525F"/>
    <w:rsid w:val="00A55456"/>
    <w:rsid w:val="00A555C6"/>
    <w:rsid w:val="00A55711"/>
    <w:rsid w:val="00A558B2"/>
    <w:rsid w:val="00A558DC"/>
    <w:rsid w:val="00A5594E"/>
    <w:rsid w:val="00A55960"/>
    <w:rsid w:val="00A559F4"/>
    <w:rsid w:val="00A55A28"/>
    <w:rsid w:val="00A55C18"/>
    <w:rsid w:val="00A55E65"/>
    <w:rsid w:val="00A55F8E"/>
    <w:rsid w:val="00A56114"/>
    <w:rsid w:val="00A5621E"/>
    <w:rsid w:val="00A563F7"/>
    <w:rsid w:val="00A56406"/>
    <w:rsid w:val="00A5659A"/>
    <w:rsid w:val="00A5668B"/>
    <w:rsid w:val="00A56706"/>
    <w:rsid w:val="00A56727"/>
    <w:rsid w:val="00A568B3"/>
    <w:rsid w:val="00A568D9"/>
    <w:rsid w:val="00A568DD"/>
    <w:rsid w:val="00A56A44"/>
    <w:rsid w:val="00A56AD0"/>
    <w:rsid w:val="00A56ADD"/>
    <w:rsid w:val="00A56B0E"/>
    <w:rsid w:val="00A56BD2"/>
    <w:rsid w:val="00A56E03"/>
    <w:rsid w:val="00A56F1C"/>
    <w:rsid w:val="00A56FB4"/>
    <w:rsid w:val="00A5705C"/>
    <w:rsid w:val="00A570C9"/>
    <w:rsid w:val="00A57169"/>
    <w:rsid w:val="00A572E5"/>
    <w:rsid w:val="00A573B1"/>
    <w:rsid w:val="00A57470"/>
    <w:rsid w:val="00A57567"/>
    <w:rsid w:val="00A57587"/>
    <w:rsid w:val="00A5762E"/>
    <w:rsid w:val="00A5779E"/>
    <w:rsid w:val="00A577F0"/>
    <w:rsid w:val="00A578D4"/>
    <w:rsid w:val="00A57950"/>
    <w:rsid w:val="00A57AE1"/>
    <w:rsid w:val="00A57B08"/>
    <w:rsid w:val="00A57BF4"/>
    <w:rsid w:val="00A57D61"/>
    <w:rsid w:val="00A57DD5"/>
    <w:rsid w:val="00A57F0F"/>
    <w:rsid w:val="00A6008F"/>
    <w:rsid w:val="00A600D1"/>
    <w:rsid w:val="00A6017F"/>
    <w:rsid w:val="00A601E9"/>
    <w:rsid w:val="00A602F3"/>
    <w:rsid w:val="00A603E2"/>
    <w:rsid w:val="00A604B7"/>
    <w:rsid w:val="00A6054F"/>
    <w:rsid w:val="00A60692"/>
    <w:rsid w:val="00A608ED"/>
    <w:rsid w:val="00A609E1"/>
    <w:rsid w:val="00A60A28"/>
    <w:rsid w:val="00A60C9D"/>
    <w:rsid w:val="00A60CF1"/>
    <w:rsid w:val="00A60D06"/>
    <w:rsid w:val="00A60E58"/>
    <w:rsid w:val="00A60E6E"/>
    <w:rsid w:val="00A60FD3"/>
    <w:rsid w:val="00A60FEC"/>
    <w:rsid w:val="00A60FFD"/>
    <w:rsid w:val="00A61045"/>
    <w:rsid w:val="00A611DE"/>
    <w:rsid w:val="00A6123A"/>
    <w:rsid w:val="00A61240"/>
    <w:rsid w:val="00A612B7"/>
    <w:rsid w:val="00A613C2"/>
    <w:rsid w:val="00A61484"/>
    <w:rsid w:val="00A61591"/>
    <w:rsid w:val="00A615D2"/>
    <w:rsid w:val="00A61651"/>
    <w:rsid w:val="00A616F6"/>
    <w:rsid w:val="00A618AB"/>
    <w:rsid w:val="00A619FE"/>
    <w:rsid w:val="00A61A1A"/>
    <w:rsid w:val="00A61A25"/>
    <w:rsid w:val="00A61A3F"/>
    <w:rsid w:val="00A61A88"/>
    <w:rsid w:val="00A61ACD"/>
    <w:rsid w:val="00A61B5C"/>
    <w:rsid w:val="00A61B61"/>
    <w:rsid w:val="00A61B67"/>
    <w:rsid w:val="00A61D50"/>
    <w:rsid w:val="00A61DBB"/>
    <w:rsid w:val="00A61E83"/>
    <w:rsid w:val="00A61F0C"/>
    <w:rsid w:val="00A61F24"/>
    <w:rsid w:val="00A61FE7"/>
    <w:rsid w:val="00A61FFB"/>
    <w:rsid w:val="00A6204C"/>
    <w:rsid w:val="00A620BB"/>
    <w:rsid w:val="00A6239D"/>
    <w:rsid w:val="00A623AB"/>
    <w:rsid w:val="00A62404"/>
    <w:rsid w:val="00A624F6"/>
    <w:rsid w:val="00A628E8"/>
    <w:rsid w:val="00A62972"/>
    <w:rsid w:val="00A62A8E"/>
    <w:rsid w:val="00A62AC0"/>
    <w:rsid w:val="00A62ADC"/>
    <w:rsid w:val="00A62FEC"/>
    <w:rsid w:val="00A63046"/>
    <w:rsid w:val="00A63224"/>
    <w:rsid w:val="00A63263"/>
    <w:rsid w:val="00A6334C"/>
    <w:rsid w:val="00A63436"/>
    <w:rsid w:val="00A634E4"/>
    <w:rsid w:val="00A6351B"/>
    <w:rsid w:val="00A6352E"/>
    <w:rsid w:val="00A637EA"/>
    <w:rsid w:val="00A639E6"/>
    <w:rsid w:val="00A63A39"/>
    <w:rsid w:val="00A63A44"/>
    <w:rsid w:val="00A63A72"/>
    <w:rsid w:val="00A63AD3"/>
    <w:rsid w:val="00A63B32"/>
    <w:rsid w:val="00A63C03"/>
    <w:rsid w:val="00A63C35"/>
    <w:rsid w:val="00A63D01"/>
    <w:rsid w:val="00A63DDE"/>
    <w:rsid w:val="00A63E05"/>
    <w:rsid w:val="00A63EEC"/>
    <w:rsid w:val="00A6401B"/>
    <w:rsid w:val="00A6410F"/>
    <w:rsid w:val="00A64179"/>
    <w:rsid w:val="00A64214"/>
    <w:rsid w:val="00A64231"/>
    <w:rsid w:val="00A642A8"/>
    <w:rsid w:val="00A642DF"/>
    <w:rsid w:val="00A6432E"/>
    <w:rsid w:val="00A643B2"/>
    <w:rsid w:val="00A644BE"/>
    <w:rsid w:val="00A647F0"/>
    <w:rsid w:val="00A64867"/>
    <w:rsid w:val="00A648ED"/>
    <w:rsid w:val="00A6498D"/>
    <w:rsid w:val="00A64AA6"/>
    <w:rsid w:val="00A64B3F"/>
    <w:rsid w:val="00A64C56"/>
    <w:rsid w:val="00A64C80"/>
    <w:rsid w:val="00A64C81"/>
    <w:rsid w:val="00A64CEF"/>
    <w:rsid w:val="00A64DBB"/>
    <w:rsid w:val="00A64E22"/>
    <w:rsid w:val="00A64E73"/>
    <w:rsid w:val="00A64FC0"/>
    <w:rsid w:val="00A6523A"/>
    <w:rsid w:val="00A65302"/>
    <w:rsid w:val="00A653DE"/>
    <w:rsid w:val="00A6556F"/>
    <w:rsid w:val="00A655BF"/>
    <w:rsid w:val="00A65609"/>
    <w:rsid w:val="00A658D9"/>
    <w:rsid w:val="00A65AA6"/>
    <w:rsid w:val="00A65AC8"/>
    <w:rsid w:val="00A65ADA"/>
    <w:rsid w:val="00A65CE1"/>
    <w:rsid w:val="00A65F3C"/>
    <w:rsid w:val="00A65FF9"/>
    <w:rsid w:val="00A661AF"/>
    <w:rsid w:val="00A662C2"/>
    <w:rsid w:val="00A662C7"/>
    <w:rsid w:val="00A662FE"/>
    <w:rsid w:val="00A6640A"/>
    <w:rsid w:val="00A66507"/>
    <w:rsid w:val="00A6650B"/>
    <w:rsid w:val="00A666ED"/>
    <w:rsid w:val="00A66700"/>
    <w:rsid w:val="00A6675E"/>
    <w:rsid w:val="00A668BF"/>
    <w:rsid w:val="00A66910"/>
    <w:rsid w:val="00A66939"/>
    <w:rsid w:val="00A66A89"/>
    <w:rsid w:val="00A66B07"/>
    <w:rsid w:val="00A66B96"/>
    <w:rsid w:val="00A66CA3"/>
    <w:rsid w:val="00A66DCB"/>
    <w:rsid w:val="00A66DFD"/>
    <w:rsid w:val="00A66EA0"/>
    <w:rsid w:val="00A66F1D"/>
    <w:rsid w:val="00A66FC4"/>
    <w:rsid w:val="00A66FD3"/>
    <w:rsid w:val="00A67130"/>
    <w:rsid w:val="00A67323"/>
    <w:rsid w:val="00A67446"/>
    <w:rsid w:val="00A6745A"/>
    <w:rsid w:val="00A674C1"/>
    <w:rsid w:val="00A6768F"/>
    <w:rsid w:val="00A6774E"/>
    <w:rsid w:val="00A67DDA"/>
    <w:rsid w:val="00A67E56"/>
    <w:rsid w:val="00A67FAB"/>
    <w:rsid w:val="00A700E8"/>
    <w:rsid w:val="00A70305"/>
    <w:rsid w:val="00A703FF"/>
    <w:rsid w:val="00A70456"/>
    <w:rsid w:val="00A704D8"/>
    <w:rsid w:val="00A70569"/>
    <w:rsid w:val="00A7059E"/>
    <w:rsid w:val="00A705CD"/>
    <w:rsid w:val="00A70717"/>
    <w:rsid w:val="00A707DA"/>
    <w:rsid w:val="00A708C4"/>
    <w:rsid w:val="00A7097F"/>
    <w:rsid w:val="00A70BDE"/>
    <w:rsid w:val="00A70C36"/>
    <w:rsid w:val="00A70C4C"/>
    <w:rsid w:val="00A70C58"/>
    <w:rsid w:val="00A70D18"/>
    <w:rsid w:val="00A70E23"/>
    <w:rsid w:val="00A70E56"/>
    <w:rsid w:val="00A70E7D"/>
    <w:rsid w:val="00A70F0B"/>
    <w:rsid w:val="00A70F1D"/>
    <w:rsid w:val="00A70F32"/>
    <w:rsid w:val="00A71103"/>
    <w:rsid w:val="00A711CC"/>
    <w:rsid w:val="00A7143C"/>
    <w:rsid w:val="00A714AB"/>
    <w:rsid w:val="00A714EF"/>
    <w:rsid w:val="00A7150E"/>
    <w:rsid w:val="00A71515"/>
    <w:rsid w:val="00A715CB"/>
    <w:rsid w:val="00A71699"/>
    <w:rsid w:val="00A716D2"/>
    <w:rsid w:val="00A71744"/>
    <w:rsid w:val="00A717AB"/>
    <w:rsid w:val="00A718EC"/>
    <w:rsid w:val="00A71967"/>
    <w:rsid w:val="00A71A64"/>
    <w:rsid w:val="00A71BA7"/>
    <w:rsid w:val="00A71C84"/>
    <w:rsid w:val="00A71C9B"/>
    <w:rsid w:val="00A71CB5"/>
    <w:rsid w:val="00A71CBB"/>
    <w:rsid w:val="00A71D49"/>
    <w:rsid w:val="00A71E43"/>
    <w:rsid w:val="00A71EE7"/>
    <w:rsid w:val="00A71F8D"/>
    <w:rsid w:val="00A71FE0"/>
    <w:rsid w:val="00A720FA"/>
    <w:rsid w:val="00A722FF"/>
    <w:rsid w:val="00A72389"/>
    <w:rsid w:val="00A72452"/>
    <w:rsid w:val="00A7250A"/>
    <w:rsid w:val="00A72524"/>
    <w:rsid w:val="00A727BF"/>
    <w:rsid w:val="00A727C7"/>
    <w:rsid w:val="00A7284E"/>
    <w:rsid w:val="00A7285A"/>
    <w:rsid w:val="00A728D2"/>
    <w:rsid w:val="00A7294A"/>
    <w:rsid w:val="00A72B0A"/>
    <w:rsid w:val="00A72B94"/>
    <w:rsid w:val="00A72BBF"/>
    <w:rsid w:val="00A72C45"/>
    <w:rsid w:val="00A72D0D"/>
    <w:rsid w:val="00A72D53"/>
    <w:rsid w:val="00A72D97"/>
    <w:rsid w:val="00A72DB4"/>
    <w:rsid w:val="00A72EA6"/>
    <w:rsid w:val="00A72ED0"/>
    <w:rsid w:val="00A72F26"/>
    <w:rsid w:val="00A72F75"/>
    <w:rsid w:val="00A731E4"/>
    <w:rsid w:val="00A7334B"/>
    <w:rsid w:val="00A733C7"/>
    <w:rsid w:val="00A7342C"/>
    <w:rsid w:val="00A73442"/>
    <w:rsid w:val="00A734D5"/>
    <w:rsid w:val="00A7356C"/>
    <w:rsid w:val="00A736ED"/>
    <w:rsid w:val="00A73799"/>
    <w:rsid w:val="00A7384D"/>
    <w:rsid w:val="00A73929"/>
    <w:rsid w:val="00A739A9"/>
    <w:rsid w:val="00A73A16"/>
    <w:rsid w:val="00A73A7D"/>
    <w:rsid w:val="00A73BFD"/>
    <w:rsid w:val="00A73C1D"/>
    <w:rsid w:val="00A73C78"/>
    <w:rsid w:val="00A73CAE"/>
    <w:rsid w:val="00A73CF4"/>
    <w:rsid w:val="00A73E38"/>
    <w:rsid w:val="00A73E7C"/>
    <w:rsid w:val="00A73ED2"/>
    <w:rsid w:val="00A73F77"/>
    <w:rsid w:val="00A73FA6"/>
    <w:rsid w:val="00A73FEF"/>
    <w:rsid w:val="00A74064"/>
    <w:rsid w:val="00A741A5"/>
    <w:rsid w:val="00A741D8"/>
    <w:rsid w:val="00A742CA"/>
    <w:rsid w:val="00A74339"/>
    <w:rsid w:val="00A745A5"/>
    <w:rsid w:val="00A74618"/>
    <w:rsid w:val="00A7464F"/>
    <w:rsid w:val="00A747DF"/>
    <w:rsid w:val="00A7493E"/>
    <w:rsid w:val="00A74996"/>
    <w:rsid w:val="00A74A73"/>
    <w:rsid w:val="00A74A7A"/>
    <w:rsid w:val="00A74ADC"/>
    <w:rsid w:val="00A74B37"/>
    <w:rsid w:val="00A74B3D"/>
    <w:rsid w:val="00A74B7E"/>
    <w:rsid w:val="00A74E8C"/>
    <w:rsid w:val="00A75033"/>
    <w:rsid w:val="00A75168"/>
    <w:rsid w:val="00A7567A"/>
    <w:rsid w:val="00A756F8"/>
    <w:rsid w:val="00A75754"/>
    <w:rsid w:val="00A7576A"/>
    <w:rsid w:val="00A7576C"/>
    <w:rsid w:val="00A75850"/>
    <w:rsid w:val="00A75895"/>
    <w:rsid w:val="00A75AEE"/>
    <w:rsid w:val="00A75C3A"/>
    <w:rsid w:val="00A75E57"/>
    <w:rsid w:val="00A75FC2"/>
    <w:rsid w:val="00A76006"/>
    <w:rsid w:val="00A7602C"/>
    <w:rsid w:val="00A760A2"/>
    <w:rsid w:val="00A760B7"/>
    <w:rsid w:val="00A760C1"/>
    <w:rsid w:val="00A760C7"/>
    <w:rsid w:val="00A76332"/>
    <w:rsid w:val="00A763F9"/>
    <w:rsid w:val="00A76614"/>
    <w:rsid w:val="00A76628"/>
    <w:rsid w:val="00A7668E"/>
    <w:rsid w:val="00A76692"/>
    <w:rsid w:val="00A76759"/>
    <w:rsid w:val="00A769A9"/>
    <w:rsid w:val="00A769ED"/>
    <w:rsid w:val="00A76A2B"/>
    <w:rsid w:val="00A76A76"/>
    <w:rsid w:val="00A76B29"/>
    <w:rsid w:val="00A76B7C"/>
    <w:rsid w:val="00A76CB4"/>
    <w:rsid w:val="00A76DA0"/>
    <w:rsid w:val="00A76F6B"/>
    <w:rsid w:val="00A76FED"/>
    <w:rsid w:val="00A77126"/>
    <w:rsid w:val="00A771E4"/>
    <w:rsid w:val="00A771F9"/>
    <w:rsid w:val="00A77228"/>
    <w:rsid w:val="00A77284"/>
    <w:rsid w:val="00A77329"/>
    <w:rsid w:val="00A77364"/>
    <w:rsid w:val="00A773F2"/>
    <w:rsid w:val="00A774DE"/>
    <w:rsid w:val="00A775CA"/>
    <w:rsid w:val="00A7763B"/>
    <w:rsid w:val="00A77672"/>
    <w:rsid w:val="00A77693"/>
    <w:rsid w:val="00A7773E"/>
    <w:rsid w:val="00A7775E"/>
    <w:rsid w:val="00A777B4"/>
    <w:rsid w:val="00A77856"/>
    <w:rsid w:val="00A77926"/>
    <w:rsid w:val="00A779BB"/>
    <w:rsid w:val="00A779D2"/>
    <w:rsid w:val="00A77BFB"/>
    <w:rsid w:val="00A77EBF"/>
    <w:rsid w:val="00A77EEA"/>
    <w:rsid w:val="00A77EEE"/>
    <w:rsid w:val="00A77FB2"/>
    <w:rsid w:val="00A8003A"/>
    <w:rsid w:val="00A80042"/>
    <w:rsid w:val="00A80233"/>
    <w:rsid w:val="00A8025C"/>
    <w:rsid w:val="00A8025E"/>
    <w:rsid w:val="00A802FC"/>
    <w:rsid w:val="00A80488"/>
    <w:rsid w:val="00A80550"/>
    <w:rsid w:val="00A805CB"/>
    <w:rsid w:val="00A806B3"/>
    <w:rsid w:val="00A807AE"/>
    <w:rsid w:val="00A80A04"/>
    <w:rsid w:val="00A80BE5"/>
    <w:rsid w:val="00A80F8E"/>
    <w:rsid w:val="00A8109E"/>
    <w:rsid w:val="00A811B7"/>
    <w:rsid w:val="00A811C1"/>
    <w:rsid w:val="00A8125E"/>
    <w:rsid w:val="00A81294"/>
    <w:rsid w:val="00A813E2"/>
    <w:rsid w:val="00A81561"/>
    <w:rsid w:val="00A815F2"/>
    <w:rsid w:val="00A81611"/>
    <w:rsid w:val="00A81629"/>
    <w:rsid w:val="00A81695"/>
    <w:rsid w:val="00A81820"/>
    <w:rsid w:val="00A81923"/>
    <w:rsid w:val="00A8195D"/>
    <w:rsid w:val="00A81A1C"/>
    <w:rsid w:val="00A81AD1"/>
    <w:rsid w:val="00A81CBE"/>
    <w:rsid w:val="00A81DE2"/>
    <w:rsid w:val="00A81E42"/>
    <w:rsid w:val="00A81EEE"/>
    <w:rsid w:val="00A81F50"/>
    <w:rsid w:val="00A82032"/>
    <w:rsid w:val="00A8207C"/>
    <w:rsid w:val="00A820A0"/>
    <w:rsid w:val="00A822A2"/>
    <w:rsid w:val="00A822E9"/>
    <w:rsid w:val="00A823FB"/>
    <w:rsid w:val="00A824D0"/>
    <w:rsid w:val="00A82558"/>
    <w:rsid w:val="00A8266B"/>
    <w:rsid w:val="00A8283B"/>
    <w:rsid w:val="00A82AB1"/>
    <w:rsid w:val="00A82B25"/>
    <w:rsid w:val="00A82C14"/>
    <w:rsid w:val="00A82CB5"/>
    <w:rsid w:val="00A82D98"/>
    <w:rsid w:val="00A82E5C"/>
    <w:rsid w:val="00A82F61"/>
    <w:rsid w:val="00A82FAD"/>
    <w:rsid w:val="00A832AF"/>
    <w:rsid w:val="00A8355D"/>
    <w:rsid w:val="00A8357F"/>
    <w:rsid w:val="00A83891"/>
    <w:rsid w:val="00A83953"/>
    <w:rsid w:val="00A839F2"/>
    <w:rsid w:val="00A83A01"/>
    <w:rsid w:val="00A83A92"/>
    <w:rsid w:val="00A83BBB"/>
    <w:rsid w:val="00A83BC0"/>
    <w:rsid w:val="00A83C2D"/>
    <w:rsid w:val="00A83D10"/>
    <w:rsid w:val="00A83DEE"/>
    <w:rsid w:val="00A83F4C"/>
    <w:rsid w:val="00A83F68"/>
    <w:rsid w:val="00A84131"/>
    <w:rsid w:val="00A84288"/>
    <w:rsid w:val="00A842BD"/>
    <w:rsid w:val="00A842D1"/>
    <w:rsid w:val="00A84403"/>
    <w:rsid w:val="00A84580"/>
    <w:rsid w:val="00A846C2"/>
    <w:rsid w:val="00A84749"/>
    <w:rsid w:val="00A84757"/>
    <w:rsid w:val="00A8476A"/>
    <w:rsid w:val="00A84874"/>
    <w:rsid w:val="00A84947"/>
    <w:rsid w:val="00A8496F"/>
    <w:rsid w:val="00A84A7B"/>
    <w:rsid w:val="00A84B01"/>
    <w:rsid w:val="00A84BF1"/>
    <w:rsid w:val="00A84DAC"/>
    <w:rsid w:val="00A84EF8"/>
    <w:rsid w:val="00A84F50"/>
    <w:rsid w:val="00A851A5"/>
    <w:rsid w:val="00A85254"/>
    <w:rsid w:val="00A852C7"/>
    <w:rsid w:val="00A8545C"/>
    <w:rsid w:val="00A8549C"/>
    <w:rsid w:val="00A85545"/>
    <w:rsid w:val="00A8562D"/>
    <w:rsid w:val="00A85818"/>
    <w:rsid w:val="00A8583C"/>
    <w:rsid w:val="00A858E7"/>
    <w:rsid w:val="00A859CA"/>
    <w:rsid w:val="00A85A87"/>
    <w:rsid w:val="00A85B39"/>
    <w:rsid w:val="00A85CF9"/>
    <w:rsid w:val="00A85D7A"/>
    <w:rsid w:val="00A85E67"/>
    <w:rsid w:val="00A85FC9"/>
    <w:rsid w:val="00A86053"/>
    <w:rsid w:val="00A8626A"/>
    <w:rsid w:val="00A86359"/>
    <w:rsid w:val="00A86377"/>
    <w:rsid w:val="00A863BF"/>
    <w:rsid w:val="00A86583"/>
    <w:rsid w:val="00A865F7"/>
    <w:rsid w:val="00A86851"/>
    <w:rsid w:val="00A86B3A"/>
    <w:rsid w:val="00A86B3C"/>
    <w:rsid w:val="00A86C90"/>
    <w:rsid w:val="00A86D3A"/>
    <w:rsid w:val="00A86ED7"/>
    <w:rsid w:val="00A86F77"/>
    <w:rsid w:val="00A8703B"/>
    <w:rsid w:val="00A87114"/>
    <w:rsid w:val="00A87129"/>
    <w:rsid w:val="00A8740C"/>
    <w:rsid w:val="00A8750A"/>
    <w:rsid w:val="00A87556"/>
    <w:rsid w:val="00A8771F"/>
    <w:rsid w:val="00A8797C"/>
    <w:rsid w:val="00A87A6E"/>
    <w:rsid w:val="00A87A71"/>
    <w:rsid w:val="00A87ADE"/>
    <w:rsid w:val="00A87B1F"/>
    <w:rsid w:val="00A87C36"/>
    <w:rsid w:val="00A87CDD"/>
    <w:rsid w:val="00A87DF8"/>
    <w:rsid w:val="00A87EA1"/>
    <w:rsid w:val="00A9003F"/>
    <w:rsid w:val="00A90292"/>
    <w:rsid w:val="00A902C9"/>
    <w:rsid w:val="00A9030A"/>
    <w:rsid w:val="00A9033D"/>
    <w:rsid w:val="00A903A7"/>
    <w:rsid w:val="00A903A8"/>
    <w:rsid w:val="00A903B2"/>
    <w:rsid w:val="00A90407"/>
    <w:rsid w:val="00A905F3"/>
    <w:rsid w:val="00A90636"/>
    <w:rsid w:val="00A90705"/>
    <w:rsid w:val="00A9080E"/>
    <w:rsid w:val="00A9083F"/>
    <w:rsid w:val="00A90864"/>
    <w:rsid w:val="00A9088C"/>
    <w:rsid w:val="00A9089E"/>
    <w:rsid w:val="00A90B52"/>
    <w:rsid w:val="00A90BC4"/>
    <w:rsid w:val="00A90F39"/>
    <w:rsid w:val="00A90F7B"/>
    <w:rsid w:val="00A90FAA"/>
    <w:rsid w:val="00A91006"/>
    <w:rsid w:val="00A910E8"/>
    <w:rsid w:val="00A911FB"/>
    <w:rsid w:val="00A91277"/>
    <w:rsid w:val="00A9131E"/>
    <w:rsid w:val="00A913FB"/>
    <w:rsid w:val="00A9143C"/>
    <w:rsid w:val="00A91569"/>
    <w:rsid w:val="00A9170C"/>
    <w:rsid w:val="00A91741"/>
    <w:rsid w:val="00A91778"/>
    <w:rsid w:val="00A91801"/>
    <w:rsid w:val="00A918AD"/>
    <w:rsid w:val="00A91C06"/>
    <w:rsid w:val="00A91C08"/>
    <w:rsid w:val="00A91D3E"/>
    <w:rsid w:val="00A91E4B"/>
    <w:rsid w:val="00A91E64"/>
    <w:rsid w:val="00A91F3A"/>
    <w:rsid w:val="00A91F74"/>
    <w:rsid w:val="00A920B4"/>
    <w:rsid w:val="00A92374"/>
    <w:rsid w:val="00A92439"/>
    <w:rsid w:val="00A92454"/>
    <w:rsid w:val="00A92455"/>
    <w:rsid w:val="00A925A8"/>
    <w:rsid w:val="00A9264F"/>
    <w:rsid w:val="00A92681"/>
    <w:rsid w:val="00A92718"/>
    <w:rsid w:val="00A92880"/>
    <w:rsid w:val="00A928C0"/>
    <w:rsid w:val="00A928F4"/>
    <w:rsid w:val="00A929B6"/>
    <w:rsid w:val="00A92ABB"/>
    <w:rsid w:val="00A92D98"/>
    <w:rsid w:val="00A92E67"/>
    <w:rsid w:val="00A92F06"/>
    <w:rsid w:val="00A92F97"/>
    <w:rsid w:val="00A9307D"/>
    <w:rsid w:val="00A930BB"/>
    <w:rsid w:val="00A930CF"/>
    <w:rsid w:val="00A93101"/>
    <w:rsid w:val="00A933B2"/>
    <w:rsid w:val="00A934A7"/>
    <w:rsid w:val="00A935EF"/>
    <w:rsid w:val="00A9382E"/>
    <w:rsid w:val="00A9383B"/>
    <w:rsid w:val="00A93841"/>
    <w:rsid w:val="00A9386F"/>
    <w:rsid w:val="00A93BF0"/>
    <w:rsid w:val="00A93E40"/>
    <w:rsid w:val="00A93F19"/>
    <w:rsid w:val="00A940F1"/>
    <w:rsid w:val="00A94128"/>
    <w:rsid w:val="00A94183"/>
    <w:rsid w:val="00A941A2"/>
    <w:rsid w:val="00A941E9"/>
    <w:rsid w:val="00A94235"/>
    <w:rsid w:val="00A9423B"/>
    <w:rsid w:val="00A9425B"/>
    <w:rsid w:val="00A942FE"/>
    <w:rsid w:val="00A9433E"/>
    <w:rsid w:val="00A9436F"/>
    <w:rsid w:val="00A943B8"/>
    <w:rsid w:val="00A94466"/>
    <w:rsid w:val="00A9447F"/>
    <w:rsid w:val="00A9448F"/>
    <w:rsid w:val="00A94538"/>
    <w:rsid w:val="00A9458B"/>
    <w:rsid w:val="00A945E3"/>
    <w:rsid w:val="00A94674"/>
    <w:rsid w:val="00A94929"/>
    <w:rsid w:val="00A9498C"/>
    <w:rsid w:val="00A949CA"/>
    <w:rsid w:val="00A94A8B"/>
    <w:rsid w:val="00A94B0A"/>
    <w:rsid w:val="00A94BB3"/>
    <w:rsid w:val="00A94BD6"/>
    <w:rsid w:val="00A94C3A"/>
    <w:rsid w:val="00A94CFD"/>
    <w:rsid w:val="00A94D34"/>
    <w:rsid w:val="00A94D50"/>
    <w:rsid w:val="00A94DE6"/>
    <w:rsid w:val="00A94EC4"/>
    <w:rsid w:val="00A95304"/>
    <w:rsid w:val="00A95329"/>
    <w:rsid w:val="00A9535F"/>
    <w:rsid w:val="00A95446"/>
    <w:rsid w:val="00A955CF"/>
    <w:rsid w:val="00A9576A"/>
    <w:rsid w:val="00A9583C"/>
    <w:rsid w:val="00A95888"/>
    <w:rsid w:val="00A95A4A"/>
    <w:rsid w:val="00A95D3F"/>
    <w:rsid w:val="00A95D49"/>
    <w:rsid w:val="00A95DA1"/>
    <w:rsid w:val="00A95F6A"/>
    <w:rsid w:val="00A9609F"/>
    <w:rsid w:val="00A96140"/>
    <w:rsid w:val="00A9614D"/>
    <w:rsid w:val="00A9628C"/>
    <w:rsid w:val="00A962D2"/>
    <w:rsid w:val="00A963D2"/>
    <w:rsid w:val="00A964A3"/>
    <w:rsid w:val="00A96799"/>
    <w:rsid w:val="00A9679F"/>
    <w:rsid w:val="00A967A7"/>
    <w:rsid w:val="00A96A59"/>
    <w:rsid w:val="00A96AB8"/>
    <w:rsid w:val="00A96BA4"/>
    <w:rsid w:val="00A96BD7"/>
    <w:rsid w:val="00A96C22"/>
    <w:rsid w:val="00A96D10"/>
    <w:rsid w:val="00A96E00"/>
    <w:rsid w:val="00A9713E"/>
    <w:rsid w:val="00A97293"/>
    <w:rsid w:val="00A972D4"/>
    <w:rsid w:val="00A9737F"/>
    <w:rsid w:val="00A97574"/>
    <w:rsid w:val="00A9766C"/>
    <w:rsid w:val="00A97840"/>
    <w:rsid w:val="00A9797D"/>
    <w:rsid w:val="00A97A0A"/>
    <w:rsid w:val="00A97BEE"/>
    <w:rsid w:val="00A97C1A"/>
    <w:rsid w:val="00A97CEA"/>
    <w:rsid w:val="00A97DF1"/>
    <w:rsid w:val="00A97F37"/>
    <w:rsid w:val="00A97F4A"/>
    <w:rsid w:val="00A97F73"/>
    <w:rsid w:val="00A97FC0"/>
    <w:rsid w:val="00AA0026"/>
    <w:rsid w:val="00AA006B"/>
    <w:rsid w:val="00AA0088"/>
    <w:rsid w:val="00AA00FD"/>
    <w:rsid w:val="00AA012A"/>
    <w:rsid w:val="00AA01C0"/>
    <w:rsid w:val="00AA029E"/>
    <w:rsid w:val="00AA02A3"/>
    <w:rsid w:val="00AA0412"/>
    <w:rsid w:val="00AA0485"/>
    <w:rsid w:val="00AA04C7"/>
    <w:rsid w:val="00AA05CE"/>
    <w:rsid w:val="00AA099E"/>
    <w:rsid w:val="00AA09D9"/>
    <w:rsid w:val="00AA0BD8"/>
    <w:rsid w:val="00AA0D8A"/>
    <w:rsid w:val="00AA0D9E"/>
    <w:rsid w:val="00AA0DDF"/>
    <w:rsid w:val="00AA0F04"/>
    <w:rsid w:val="00AA0F67"/>
    <w:rsid w:val="00AA0FAB"/>
    <w:rsid w:val="00AA1096"/>
    <w:rsid w:val="00AA109A"/>
    <w:rsid w:val="00AA1368"/>
    <w:rsid w:val="00AA142A"/>
    <w:rsid w:val="00AA14A7"/>
    <w:rsid w:val="00AA155B"/>
    <w:rsid w:val="00AA1618"/>
    <w:rsid w:val="00AA1679"/>
    <w:rsid w:val="00AA1769"/>
    <w:rsid w:val="00AA17ED"/>
    <w:rsid w:val="00AA19A0"/>
    <w:rsid w:val="00AA1BB8"/>
    <w:rsid w:val="00AA1D7B"/>
    <w:rsid w:val="00AA1ED3"/>
    <w:rsid w:val="00AA1FF3"/>
    <w:rsid w:val="00AA2042"/>
    <w:rsid w:val="00AA2107"/>
    <w:rsid w:val="00AA22FB"/>
    <w:rsid w:val="00AA2303"/>
    <w:rsid w:val="00AA2A20"/>
    <w:rsid w:val="00AA2A9B"/>
    <w:rsid w:val="00AA2BA2"/>
    <w:rsid w:val="00AA2D89"/>
    <w:rsid w:val="00AA2E06"/>
    <w:rsid w:val="00AA3085"/>
    <w:rsid w:val="00AA308A"/>
    <w:rsid w:val="00AA31E0"/>
    <w:rsid w:val="00AA3369"/>
    <w:rsid w:val="00AA33CB"/>
    <w:rsid w:val="00AA3552"/>
    <w:rsid w:val="00AA3610"/>
    <w:rsid w:val="00AA36A0"/>
    <w:rsid w:val="00AA36C4"/>
    <w:rsid w:val="00AA36F9"/>
    <w:rsid w:val="00AA3753"/>
    <w:rsid w:val="00AA376E"/>
    <w:rsid w:val="00AA37AC"/>
    <w:rsid w:val="00AA38C1"/>
    <w:rsid w:val="00AA3936"/>
    <w:rsid w:val="00AA3975"/>
    <w:rsid w:val="00AA3980"/>
    <w:rsid w:val="00AA3A8D"/>
    <w:rsid w:val="00AA3BDB"/>
    <w:rsid w:val="00AA3C46"/>
    <w:rsid w:val="00AA3FD8"/>
    <w:rsid w:val="00AA4073"/>
    <w:rsid w:val="00AA40D4"/>
    <w:rsid w:val="00AA42F4"/>
    <w:rsid w:val="00AA4477"/>
    <w:rsid w:val="00AA45C2"/>
    <w:rsid w:val="00AA45E5"/>
    <w:rsid w:val="00AA460F"/>
    <w:rsid w:val="00AA4719"/>
    <w:rsid w:val="00AA4732"/>
    <w:rsid w:val="00AA4A9B"/>
    <w:rsid w:val="00AA4AE3"/>
    <w:rsid w:val="00AA4B18"/>
    <w:rsid w:val="00AA4BAD"/>
    <w:rsid w:val="00AA4BF0"/>
    <w:rsid w:val="00AA4CD2"/>
    <w:rsid w:val="00AA4EA7"/>
    <w:rsid w:val="00AA4FE7"/>
    <w:rsid w:val="00AA504C"/>
    <w:rsid w:val="00AA513D"/>
    <w:rsid w:val="00AA51F6"/>
    <w:rsid w:val="00AA521D"/>
    <w:rsid w:val="00AA5307"/>
    <w:rsid w:val="00AA54E3"/>
    <w:rsid w:val="00AA556B"/>
    <w:rsid w:val="00AA570F"/>
    <w:rsid w:val="00AA5796"/>
    <w:rsid w:val="00AA57B5"/>
    <w:rsid w:val="00AA57DC"/>
    <w:rsid w:val="00AA57FB"/>
    <w:rsid w:val="00AA58AE"/>
    <w:rsid w:val="00AA59A4"/>
    <w:rsid w:val="00AA59AB"/>
    <w:rsid w:val="00AA5A51"/>
    <w:rsid w:val="00AA5A67"/>
    <w:rsid w:val="00AA5AC1"/>
    <w:rsid w:val="00AA5B6E"/>
    <w:rsid w:val="00AA5C7D"/>
    <w:rsid w:val="00AA5D59"/>
    <w:rsid w:val="00AA5DA2"/>
    <w:rsid w:val="00AA5DA5"/>
    <w:rsid w:val="00AA6134"/>
    <w:rsid w:val="00AA637A"/>
    <w:rsid w:val="00AA638B"/>
    <w:rsid w:val="00AA63B6"/>
    <w:rsid w:val="00AA6425"/>
    <w:rsid w:val="00AA6440"/>
    <w:rsid w:val="00AA6655"/>
    <w:rsid w:val="00AA681D"/>
    <w:rsid w:val="00AA6BCD"/>
    <w:rsid w:val="00AA6D51"/>
    <w:rsid w:val="00AA6DD4"/>
    <w:rsid w:val="00AA6F07"/>
    <w:rsid w:val="00AA6F14"/>
    <w:rsid w:val="00AA6F60"/>
    <w:rsid w:val="00AA7047"/>
    <w:rsid w:val="00AA70E0"/>
    <w:rsid w:val="00AA718E"/>
    <w:rsid w:val="00AA7204"/>
    <w:rsid w:val="00AA73E8"/>
    <w:rsid w:val="00AA7598"/>
    <w:rsid w:val="00AA75BB"/>
    <w:rsid w:val="00AA75C8"/>
    <w:rsid w:val="00AA75E6"/>
    <w:rsid w:val="00AA7690"/>
    <w:rsid w:val="00AA76A3"/>
    <w:rsid w:val="00AA76D4"/>
    <w:rsid w:val="00AA76FE"/>
    <w:rsid w:val="00AA7727"/>
    <w:rsid w:val="00AA776E"/>
    <w:rsid w:val="00AA78D2"/>
    <w:rsid w:val="00AA7A28"/>
    <w:rsid w:val="00AA7AB0"/>
    <w:rsid w:val="00AA7AE2"/>
    <w:rsid w:val="00AA7B26"/>
    <w:rsid w:val="00AA7B59"/>
    <w:rsid w:val="00AA7C05"/>
    <w:rsid w:val="00AA7CC9"/>
    <w:rsid w:val="00AA7EF7"/>
    <w:rsid w:val="00AB0137"/>
    <w:rsid w:val="00AB018B"/>
    <w:rsid w:val="00AB01C8"/>
    <w:rsid w:val="00AB03C0"/>
    <w:rsid w:val="00AB0452"/>
    <w:rsid w:val="00AB0551"/>
    <w:rsid w:val="00AB056A"/>
    <w:rsid w:val="00AB058C"/>
    <w:rsid w:val="00AB08FF"/>
    <w:rsid w:val="00AB0999"/>
    <w:rsid w:val="00AB0AA6"/>
    <w:rsid w:val="00AB0C49"/>
    <w:rsid w:val="00AB0D72"/>
    <w:rsid w:val="00AB0EBA"/>
    <w:rsid w:val="00AB100B"/>
    <w:rsid w:val="00AB1077"/>
    <w:rsid w:val="00AB1338"/>
    <w:rsid w:val="00AB15F4"/>
    <w:rsid w:val="00AB1612"/>
    <w:rsid w:val="00AB166D"/>
    <w:rsid w:val="00AB1765"/>
    <w:rsid w:val="00AB18E8"/>
    <w:rsid w:val="00AB19F2"/>
    <w:rsid w:val="00AB1A01"/>
    <w:rsid w:val="00AB1B86"/>
    <w:rsid w:val="00AB1CD2"/>
    <w:rsid w:val="00AB1D9F"/>
    <w:rsid w:val="00AB1ED0"/>
    <w:rsid w:val="00AB1F52"/>
    <w:rsid w:val="00AB1F9F"/>
    <w:rsid w:val="00AB209C"/>
    <w:rsid w:val="00AB22C7"/>
    <w:rsid w:val="00AB2419"/>
    <w:rsid w:val="00AB2612"/>
    <w:rsid w:val="00AB27C4"/>
    <w:rsid w:val="00AB2893"/>
    <w:rsid w:val="00AB2A41"/>
    <w:rsid w:val="00AB2C7C"/>
    <w:rsid w:val="00AB2CF6"/>
    <w:rsid w:val="00AB2E44"/>
    <w:rsid w:val="00AB2F6E"/>
    <w:rsid w:val="00AB3005"/>
    <w:rsid w:val="00AB304C"/>
    <w:rsid w:val="00AB3291"/>
    <w:rsid w:val="00AB3347"/>
    <w:rsid w:val="00AB340F"/>
    <w:rsid w:val="00AB3411"/>
    <w:rsid w:val="00AB3506"/>
    <w:rsid w:val="00AB3514"/>
    <w:rsid w:val="00AB3657"/>
    <w:rsid w:val="00AB36BE"/>
    <w:rsid w:val="00AB36EC"/>
    <w:rsid w:val="00AB3820"/>
    <w:rsid w:val="00AB3874"/>
    <w:rsid w:val="00AB39BD"/>
    <w:rsid w:val="00AB3AAD"/>
    <w:rsid w:val="00AB3B9F"/>
    <w:rsid w:val="00AB3BD0"/>
    <w:rsid w:val="00AB3C27"/>
    <w:rsid w:val="00AB3F46"/>
    <w:rsid w:val="00AB3FE7"/>
    <w:rsid w:val="00AB3FEC"/>
    <w:rsid w:val="00AB3FFD"/>
    <w:rsid w:val="00AB4026"/>
    <w:rsid w:val="00AB4087"/>
    <w:rsid w:val="00AB40C8"/>
    <w:rsid w:val="00AB422C"/>
    <w:rsid w:val="00AB4249"/>
    <w:rsid w:val="00AB42DE"/>
    <w:rsid w:val="00AB4396"/>
    <w:rsid w:val="00AB43B4"/>
    <w:rsid w:val="00AB4481"/>
    <w:rsid w:val="00AB4547"/>
    <w:rsid w:val="00AB4688"/>
    <w:rsid w:val="00AB4756"/>
    <w:rsid w:val="00AB4834"/>
    <w:rsid w:val="00AB4911"/>
    <w:rsid w:val="00AB4B1D"/>
    <w:rsid w:val="00AB4B21"/>
    <w:rsid w:val="00AB4B6B"/>
    <w:rsid w:val="00AB4CC2"/>
    <w:rsid w:val="00AB4D91"/>
    <w:rsid w:val="00AB4DED"/>
    <w:rsid w:val="00AB4EC8"/>
    <w:rsid w:val="00AB4FFD"/>
    <w:rsid w:val="00AB5047"/>
    <w:rsid w:val="00AB5254"/>
    <w:rsid w:val="00AB53A3"/>
    <w:rsid w:val="00AB53D0"/>
    <w:rsid w:val="00AB562B"/>
    <w:rsid w:val="00AB5652"/>
    <w:rsid w:val="00AB5768"/>
    <w:rsid w:val="00AB5770"/>
    <w:rsid w:val="00AB57C8"/>
    <w:rsid w:val="00AB5846"/>
    <w:rsid w:val="00AB59A7"/>
    <w:rsid w:val="00AB5C23"/>
    <w:rsid w:val="00AB5C5C"/>
    <w:rsid w:val="00AB5C72"/>
    <w:rsid w:val="00AB5DAC"/>
    <w:rsid w:val="00AB5E32"/>
    <w:rsid w:val="00AB6273"/>
    <w:rsid w:val="00AB6324"/>
    <w:rsid w:val="00AB6348"/>
    <w:rsid w:val="00AB6370"/>
    <w:rsid w:val="00AB6372"/>
    <w:rsid w:val="00AB63E8"/>
    <w:rsid w:val="00AB6417"/>
    <w:rsid w:val="00AB643D"/>
    <w:rsid w:val="00AB6495"/>
    <w:rsid w:val="00AB64FB"/>
    <w:rsid w:val="00AB656E"/>
    <w:rsid w:val="00AB6623"/>
    <w:rsid w:val="00AB6661"/>
    <w:rsid w:val="00AB66EF"/>
    <w:rsid w:val="00AB6866"/>
    <w:rsid w:val="00AB68C9"/>
    <w:rsid w:val="00AB6A99"/>
    <w:rsid w:val="00AB6C8D"/>
    <w:rsid w:val="00AB6D55"/>
    <w:rsid w:val="00AB6E4B"/>
    <w:rsid w:val="00AB6EAA"/>
    <w:rsid w:val="00AB6F77"/>
    <w:rsid w:val="00AB7012"/>
    <w:rsid w:val="00AB713E"/>
    <w:rsid w:val="00AB7160"/>
    <w:rsid w:val="00AB7286"/>
    <w:rsid w:val="00AB738A"/>
    <w:rsid w:val="00AB7447"/>
    <w:rsid w:val="00AB74A4"/>
    <w:rsid w:val="00AB7544"/>
    <w:rsid w:val="00AB779E"/>
    <w:rsid w:val="00AB77C8"/>
    <w:rsid w:val="00AB7A4F"/>
    <w:rsid w:val="00AB7B07"/>
    <w:rsid w:val="00AB7BBC"/>
    <w:rsid w:val="00AB7BE9"/>
    <w:rsid w:val="00AB7C52"/>
    <w:rsid w:val="00AB7C86"/>
    <w:rsid w:val="00AB88C8"/>
    <w:rsid w:val="00AC00BD"/>
    <w:rsid w:val="00AC0251"/>
    <w:rsid w:val="00AC0266"/>
    <w:rsid w:val="00AC068C"/>
    <w:rsid w:val="00AC06B6"/>
    <w:rsid w:val="00AC071E"/>
    <w:rsid w:val="00AC0747"/>
    <w:rsid w:val="00AC07C3"/>
    <w:rsid w:val="00AC082D"/>
    <w:rsid w:val="00AC0B12"/>
    <w:rsid w:val="00AC0C4B"/>
    <w:rsid w:val="00AC0D34"/>
    <w:rsid w:val="00AC0DEE"/>
    <w:rsid w:val="00AC0E2C"/>
    <w:rsid w:val="00AC0E8A"/>
    <w:rsid w:val="00AC0E9F"/>
    <w:rsid w:val="00AC0F48"/>
    <w:rsid w:val="00AC0F76"/>
    <w:rsid w:val="00AC10A4"/>
    <w:rsid w:val="00AC111E"/>
    <w:rsid w:val="00AC1129"/>
    <w:rsid w:val="00AC11F3"/>
    <w:rsid w:val="00AC1303"/>
    <w:rsid w:val="00AC139F"/>
    <w:rsid w:val="00AC13F3"/>
    <w:rsid w:val="00AC143D"/>
    <w:rsid w:val="00AC1474"/>
    <w:rsid w:val="00AC14B1"/>
    <w:rsid w:val="00AC16DD"/>
    <w:rsid w:val="00AC1744"/>
    <w:rsid w:val="00AC176E"/>
    <w:rsid w:val="00AC17F4"/>
    <w:rsid w:val="00AC19B0"/>
    <w:rsid w:val="00AC1A0B"/>
    <w:rsid w:val="00AC1B36"/>
    <w:rsid w:val="00AC1C4D"/>
    <w:rsid w:val="00AC1D70"/>
    <w:rsid w:val="00AC1DEA"/>
    <w:rsid w:val="00AC1E17"/>
    <w:rsid w:val="00AC1E8D"/>
    <w:rsid w:val="00AC1EFE"/>
    <w:rsid w:val="00AC2083"/>
    <w:rsid w:val="00AC20F9"/>
    <w:rsid w:val="00AC211E"/>
    <w:rsid w:val="00AC22F0"/>
    <w:rsid w:val="00AC2320"/>
    <w:rsid w:val="00AC2374"/>
    <w:rsid w:val="00AC255A"/>
    <w:rsid w:val="00AC2598"/>
    <w:rsid w:val="00AC26B8"/>
    <w:rsid w:val="00AC2853"/>
    <w:rsid w:val="00AC291D"/>
    <w:rsid w:val="00AC2931"/>
    <w:rsid w:val="00AC2A72"/>
    <w:rsid w:val="00AC2B26"/>
    <w:rsid w:val="00AC2B2B"/>
    <w:rsid w:val="00AC2B36"/>
    <w:rsid w:val="00AC2B38"/>
    <w:rsid w:val="00AC2B7C"/>
    <w:rsid w:val="00AC2D47"/>
    <w:rsid w:val="00AC2D50"/>
    <w:rsid w:val="00AC2DC7"/>
    <w:rsid w:val="00AC2EAE"/>
    <w:rsid w:val="00AC3082"/>
    <w:rsid w:val="00AC31FC"/>
    <w:rsid w:val="00AC3225"/>
    <w:rsid w:val="00AC3243"/>
    <w:rsid w:val="00AC3258"/>
    <w:rsid w:val="00AC3287"/>
    <w:rsid w:val="00AC32E0"/>
    <w:rsid w:val="00AC33AD"/>
    <w:rsid w:val="00AC350E"/>
    <w:rsid w:val="00AC3510"/>
    <w:rsid w:val="00AC35C7"/>
    <w:rsid w:val="00AC3608"/>
    <w:rsid w:val="00AC363E"/>
    <w:rsid w:val="00AC382F"/>
    <w:rsid w:val="00AC3ACA"/>
    <w:rsid w:val="00AC3AD3"/>
    <w:rsid w:val="00AC3BDA"/>
    <w:rsid w:val="00AC3C3D"/>
    <w:rsid w:val="00AC3D7F"/>
    <w:rsid w:val="00AC3DBF"/>
    <w:rsid w:val="00AC3DC4"/>
    <w:rsid w:val="00AC3E4D"/>
    <w:rsid w:val="00AC3ECD"/>
    <w:rsid w:val="00AC3F9E"/>
    <w:rsid w:val="00AC4091"/>
    <w:rsid w:val="00AC4105"/>
    <w:rsid w:val="00AC41BC"/>
    <w:rsid w:val="00AC438D"/>
    <w:rsid w:val="00AC43B0"/>
    <w:rsid w:val="00AC4496"/>
    <w:rsid w:val="00AC44BA"/>
    <w:rsid w:val="00AC4506"/>
    <w:rsid w:val="00AC4524"/>
    <w:rsid w:val="00AC456D"/>
    <w:rsid w:val="00AC4713"/>
    <w:rsid w:val="00AC4891"/>
    <w:rsid w:val="00AC4956"/>
    <w:rsid w:val="00AC49FC"/>
    <w:rsid w:val="00AC4B45"/>
    <w:rsid w:val="00AC4B75"/>
    <w:rsid w:val="00AC4C25"/>
    <w:rsid w:val="00AC4D4D"/>
    <w:rsid w:val="00AC4DBC"/>
    <w:rsid w:val="00AC4E6E"/>
    <w:rsid w:val="00AC4ECC"/>
    <w:rsid w:val="00AC4FAE"/>
    <w:rsid w:val="00AC5063"/>
    <w:rsid w:val="00AC51D8"/>
    <w:rsid w:val="00AC5229"/>
    <w:rsid w:val="00AC52C9"/>
    <w:rsid w:val="00AC5353"/>
    <w:rsid w:val="00AC53FF"/>
    <w:rsid w:val="00AC5424"/>
    <w:rsid w:val="00AC5531"/>
    <w:rsid w:val="00AC5697"/>
    <w:rsid w:val="00AC57F7"/>
    <w:rsid w:val="00AC58D5"/>
    <w:rsid w:val="00AC5961"/>
    <w:rsid w:val="00AC5AD2"/>
    <w:rsid w:val="00AC5AE6"/>
    <w:rsid w:val="00AC5C4F"/>
    <w:rsid w:val="00AC5EC2"/>
    <w:rsid w:val="00AC612C"/>
    <w:rsid w:val="00AC6145"/>
    <w:rsid w:val="00AC61B4"/>
    <w:rsid w:val="00AC61C1"/>
    <w:rsid w:val="00AC62E8"/>
    <w:rsid w:val="00AC6366"/>
    <w:rsid w:val="00AC6610"/>
    <w:rsid w:val="00AC6670"/>
    <w:rsid w:val="00AC687C"/>
    <w:rsid w:val="00AC69AB"/>
    <w:rsid w:val="00AC6A20"/>
    <w:rsid w:val="00AC6A3E"/>
    <w:rsid w:val="00AC6B3C"/>
    <w:rsid w:val="00AC6B3F"/>
    <w:rsid w:val="00AC6BE4"/>
    <w:rsid w:val="00AC6D32"/>
    <w:rsid w:val="00AC6E00"/>
    <w:rsid w:val="00AC6E48"/>
    <w:rsid w:val="00AC6F9A"/>
    <w:rsid w:val="00AC7207"/>
    <w:rsid w:val="00AC7243"/>
    <w:rsid w:val="00AC72C7"/>
    <w:rsid w:val="00AC72DC"/>
    <w:rsid w:val="00AC73CF"/>
    <w:rsid w:val="00AC7438"/>
    <w:rsid w:val="00AC7451"/>
    <w:rsid w:val="00AC749B"/>
    <w:rsid w:val="00AC7611"/>
    <w:rsid w:val="00AC7632"/>
    <w:rsid w:val="00AC7791"/>
    <w:rsid w:val="00AC7848"/>
    <w:rsid w:val="00AC78AA"/>
    <w:rsid w:val="00AC78C7"/>
    <w:rsid w:val="00AC78EB"/>
    <w:rsid w:val="00AC79C2"/>
    <w:rsid w:val="00AC79E2"/>
    <w:rsid w:val="00AC7A3A"/>
    <w:rsid w:val="00AC7B11"/>
    <w:rsid w:val="00AC7B50"/>
    <w:rsid w:val="00AC7BF9"/>
    <w:rsid w:val="00AC7D13"/>
    <w:rsid w:val="00AC7F34"/>
    <w:rsid w:val="00AC7F68"/>
    <w:rsid w:val="00AD001D"/>
    <w:rsid w:val="00AD0118"/>
    <w:rsid w:val="00AD0187"/>
    <w:rsid w:val="00AD01AD"/>
    <w:rsid w:val="00AD02AE"/>
    <w:rsid w:val="00AD03CC"/>
    <w:rsid w:val="00AD0645"/>
    <w:rsid w:val="00AD0674"/>
    <w:rsid w:val="00AD07C5"/>
    <w:rsid w:val="00AD0834"/>
    <w:rsid w:val="00AD0889"/>
    <w:rsid w:val="00AD09C8"/>
    <w:rsid w:val="00AD0B52"/>
    <w:rsid w:val="00AD0B57"/>
    <w:rsid w:val="00AD0B7F"/>
    <w:rsid w:val="00AD0C1B"/>
    <w:rsid w:val="00AD0C4B"/>
    <w:rsid w:val="00AD0CC1"/>
    <w:rsid w:val="00AD0E25"/>
    <w:rsid w:val="00AD0F7C"/>
    <w:rsid w:val="00AD0FEB"/>
    <w:rsid w:val="00AD0FF8"/>
    <w:rsid w:val="00AD1208"/>
    <w:rsid w:val="00AD1B84"/>
    <w:rsid w:val="00AD1C20"/>
    <w:rsid w:val="00AD1E05"/>
    <w:rsid w:val="00AD1E67"/>
    <w:rsid w:val="00AD1E93"/>
    <w:rsid w:val="00AD1F02"/>
    <w:rsid w:val="00AD1FDA"/>
    <w:rsid w:val="00AD2260"/>
    <w:rsid w:val="00AD22C5"/>
    <w:rsid w:val="00AD27F6"/>
    <w:rsid w:val="00AD2A35"/>
    <w:rsid w:val="00AD2A99"/>
    <w:rsid w:val="00AD2AC7"/>
    <w:rsid w:val="00AD2AD5"/>
    <w:rsid w:val="00AD2CE4"/>
    <w:rsid w:val="00AD2CED"/>
    <w:rsid w:val="00AD2DE5"/>
    <w:rsid w:val="00AD2F4C"/>
    <w:rsid w:val="00AD2FD0"/>
    <w:rsid w:val="00AD2FD7"/>
    <w:rsid w:val="00AD2FEB"/>
    <w:rsid w:val="00AD30C8"/>
    <w:rsid w:val="00AD3174"/>
    <w:rsid w:val="00AD31CB"/>
    <w:rsid w:val="00AD31FB"/>
    <w:rsid w:val="00AD3279"/>
    <w:rsid w:val="00AD33E9"/>
    <w:rsid w:val="00AD3420"/>
    <w:rsid w:val="00AD3578"/>
    <w:rsid w:val="00AD3622"/>
    <w:rsid w:val="00AD38ED"/>
    <w:rsid w:val="00AD3A49"/>
    <w:rsid w:val="00AD3A98"/>
    <w:rsid w:val="00AD3B31"/>
    <w:rsid w:val="00AD3C06"/>
    <w:rsid w:val="00AD3C16"/>
    <w:rsid w:val="00AD3EFE"/>
    <w:rsid w:val="00AD3F94"/>
    <w:rsid w:val="00AD41EB"/>
    <w:rsid w:val="00AD42BB"/>
    <w:rsid w:val="00AD4320"/>
    <w:rsid w:val="00AD445C"/>
    <w:rsid w:val="00AD448B"/>
    <w:rsid w:val="00AD44B6"/>
    <w:rsid w:val="00AD45C2"/>
    <w:rsid w:val="00AD4847"/>
    <w:rsid w:val="00AD4A53"/>
    <w:rsid w:val="00AD4AF8"/>
    <w:rsid w:val="00AD4CBF"/>
    <w:rsid w:val="00AD4D2E"/>
    <w:rsid w:val="00AD4F5E"/>
    <w:rsid w:val="00AD4FB6"/>
    <w:rsid w:val="00AD5010"/>
    <w:rsid w:val="00AD5148"/>
    <w:rsid w:val="00AD51FF"/>
    <w:rsid w:val="00AD52AE"/>
    <w:rsid w:val="00AD52B7"/>
    <w:rsid w:val="00AD5357"/>
    <w:rsid w:val="00AD542A"/>
    <w:rsid w:val="00AD542D"/>
    <w:rsid w:val="00AD549C"/>
    <w:rsid w:val="00AD5525"/>
    <w:rsid w:val="00AD5608"/>
    <w:rsid w:val="00AD560C"/>
    <w:rsid w:val="00AD5641"/>
    <w:rsid w:val="00AD56BD"/>
    <w:rsid w:val="00AD56F7"/>
    <w:rsid w:val="00AD59C8"/>
    <w:rsid w:val="00AD5B26"/>
    <w:rsid w:val="00AD5C20"/>
    <w:rsid w:val="00AD60E1"/>
    <w:rsid w:val="00AD610A"/>
    <w:rsid w:val="00AD611D"/>
    <w:rsid w:val="00AD61B8"/>
    <w:rsid w:val="00AD647A"/>
    <w:rsid w:val="00AD64BA"/>
    <w:rsid w:val="00AD64FB"/>
    <w:rsid w:val="00AD6591"/>
    <w:rsid w:val="00AD6676"/>
    <w:rsid w:val="00AD6840"/>
    <w:rsid w:val="00AD68DB"/>
    <w:rsid w:val="00AD6903"/>
    <w:rsid w:val="00AD6905"/>
    <w:rsid w:val="00AD6998"/>
    <w:rsid w:val="00AD69F4"/>
    <w:rsid w:val="00AD6BCE"/>
    <w:rsid w:val="00AD6BDB"/>
    <w:rsid w:val="00AD6D94"/>
    <w:rsid w:val="00AD6FC2"/>
    <w:rsid w:val="00AD7013"/>
    <w:rsid w:val="00AD702E"/>
    <w:rsid w:val="00AD72F6"/>
    <w:rsid w:val="00AD734E"/>
    <w:rsid w:val="00AD7379"/>
    <w:rsid w:val="00AD7383"/>
    <w:rsid w:val="00AD73CD"/>
    <w:rsid w:val="00AD743A"/>
    <w:rsid w:val="00AD7522"/>
    <w:rsid w:val="00AD7602"/>
    <w:rsid w:val="00AD761C"/>
    <w:rsid w:val="00AD77D7"/>
    <w:rsid w:val="00AD7819"/>
    <w:rsid w:val="00AD7869"/>
    <w:rsid w:val="00AD789C"/>
    <w:rsid w:val="00AD78A5"/>
    <w:rsid w:val="00AD7903"/>
    <w:rsid w:val="00AD7A25"/>
    <w:rsid w:val="00AD7A4F"/>
    <w:rsid w:val="00AD7E20"/>
    <w:rsid w:val="00AD7E31"/>
    <w:rsid w:val="00AD7ED7"/>
    <w:rsid w:val="00AD7F9C"/>
    <w:rsid w:val="00AE01C7"/>
    <w:rsid w:val="00AE020E"/>
    <w:rsid w:val="00AE0392"/>
    <w:rsid w:val="00AE03DB"/>
    <w:rsid w:val="00AE0410"/>
    <w:rsid w:val="00AE048F"/>
    <w:rsid w:val="00AE0599"/>
    <w:rsid w:val="00AE068A"/>
    <w:rsid w:val="00AE06D4"/>
    <w:rsid w:val="00AE072A"/>
    <w:rsid w:val="00AE0876"/>
    <w:rsid w:val="00AE094F"/>
    <w:rsid w:val="00AE0958"/>
    <w:rsid w:val="00AE0A1E"/>
    <w:rsid w:val="00AE0B43"/>
    <w:rsid w:val="00AE0B56"/>
    <w:rsid w:val="00AE0B7D"/>
    <w:rsid w:val="00AE0DB8"/>
    <w:rsid w:val="00AE0E06"/>
    <w:rsid w:val="00AE0ED0"/>
    <w:rsid w:val="00AE1048"/>
    <w:rsid w:val="00AE10E8"/>
    <w:rsid w:val="00AE1313"/>
    <w:rsid w:val="00AE1362"/>
    <w:rsid w:val="00AE1432"/>
    <w:rsid w:val="00AE14A4"/>
    <w:rsid w:val="00AE1A80"/>
    <w:rsid w:val="00AE1B06"/>
    <w:rsid w:val="00AE1B49"/>
    <w:rsid w:val="00AE1B66"/>
    <w:rsid w:val="00AE1B80"/>
    <w:rsid w:val="00AE1C04"/>
    <w:rsid w:val="00AE1D33"/>
    <w:rsid w:val="00AE2103"/>
    <w:rsid w:val="00AE210A"/>
    <w:rsid w:val="00AE210B"/>
    <w:rsid w:val="00AE2250"/>
    <w:rsid w:val="00AE22CC"/>
    <w:rsid w:val="00AE2399"/>
    <w:rsid w:val="00AE23D3"/>
    <w:rsid w:val="00AE243A"/>
    <w:rsid w:val="00AE24A6"/>
    <w:rsid w:val="00AE2793"/>
    <w:rsid w:val="00AE27E6"/>
    <w:rsid w:val="00AE27E9"/>
    <w:rsid w:val="00AE285D"/>
    <w:rsid w:val="00AE28F2"/>
    <w:rsid w:val="00AE2950"/>
    <w:rsid w:val="00AE2A04"/>
    <w:rsid w:val="00AE2ACF"/>
    <w:rsid w:val="00AE2B51"/>
    <w:rsid w:val="00AE2BE7"/>
    <w:rsid w:val="00AE2CE9"/>
    <w:rsid w:val="00AE2CFE"/>
    <w:rsid w:val="00AE2D38"/>
    <w:rsid w:val="00AE2DC6"/>
    <w:rsid w:val="00AE2DF5"/>
    <w:rsid w:val="00AE2E6A"/>
    <w:rsid w:val="00AE2F2B"/>
    <w:rsid w:val="00AE2F46"/>
    <w:rsid w:val="00AE2FE8"/>
    <w:rsid w:val="00AE31A7"/>
    <w:rsid w:val="00AE3269"/>
    <w:rsid w:val="00AE330E"/>
    <w:rsid w:val="00AE335D"/>
    <w:rsid w:val="00AE34A8"/>
    <w:rsid w:val="00AE34E3"/>
    <w:rsid w:val="00AE350D"/>
    <w:rsid w:val="00AE3515"/>
    <w:rsid w:val="00AE35F9"/>
    <w:rsid w:val="00AE36E2"/>
    <w:rsid w:val="00AE380F"/>
    <w:rsid w:val="00AE385E"/>
    <w:rsid w:val="00AE38A3"/>
    <w:rsid w:val="00AE3955"/>
    <w:rsid w:val="00AE3A5B"/>
    <w:rsid w:val="00AE3AC2"/>
    <w:rsid w:val="00AE3B36"/>
    <w:rsid w:val="00AE3B41"/>
    <w:rsid w:val="00AE3B42"/>
    <w:rsid w:val="00AE3DF8"/>
    <w:rsid w:val="00AE3F3A"/>
    <w:rsid w:val="00AE3F46"/>
    <w:rsid w:val="00AE3FBC"/>
    <w:rsid w:val="00AE3FBD"/>
    <w:rsid w:val="00AE40C1"/>
    <w:rsid w:val="00AE4178"/>
    <w:rsid w:val="00AE41A6"/>
    <w:rsid w:val="00AE4276"/>
    <w:rsid w:val="00AE42B1"/>
    <w:rsid w:val="00AE42CB"/>
    <w:rsid w:val="00AE42D9"/>
    <w:rsid w:val="00AE4571"/>
    <w:rsid w:val="00AE45C1"/>
    <w:rsid w:val="00AE461F"/>
    <w:rsid w:val="00AE46D7"/>
    <w:rsid w:val="00AE471F"/>
    <w:rsid w:val="00AE476E"/>
    <w:rsid w:val="00AE488A"/>
    <w:rsid w:val="00AE48D6"/>
    <w:rsid w:val="00AE4982"/>
    <w:rsid w:val="00AE49AB"/>
    <w:rsid w:val="00AE49C8"/>
    <w:rsid w:val="00AE4BD2"/>
    <w:rsid w:val="00AE4CB6"/>
    <w:rsid w:val="00AE4CE8"/>
    <w:rsid w:val="00AE4F78"/>
    <w:rsid w:val="00AE4F7D"/>
    <w:rsid w:val="00AE501A"/>
    <w:rsid w:val="00AE5052"/>
    <w:rsid w:val="00AE5132"/>
    <w:rsid w:val="00AE515D"/>
    <w:rsid w:val="00AE5495"/>
    <w:rsid w:val="00AE54D5"/>
    <w:rsid w:val="00AE54F6"/>
    <w:rsid w:val="00AE559B"/>
    <w:rsid w:val="00AE5682"/>
    <w:rsid w:val="00AE570D"/>
    <w:rsid w:val="00AE575C"/>
    <w:rsid w:val="00AE586F"/>
    <w:rsid w:val="00AE5A4D"/>
    <w:rsid w:val="00AE5B7D"/>
    <w:rsid w:val="00AE5BAA"/>
    <w:rsid w:val="00AE5C27"/>
    <w:rsid w:val="00AE5C2C"/>
    <w:rsid w:val="00AE5C63"/>
    <w:rsid w:val="00AE5C8B"/>
    <w:rsid w:val="00AE5FEE"/>
    <w:rsid w:val="00AE6096"/>
    <w:rsid w:val="00AE60C9"/>
    <w:rsid w:val="00AE60FC"/>
    <w:rsid w:val="00AE6115"/>
    <w:rsid w:val="00AE6131"/>
    <w:rsid w:val="00AE64CF"/>
    <w:rsid w:val="00AE65CB"/>
    <w:rsid w:val="00AE6636"/>
    <w:rsid w:val="00AE6777"/>
    <w:rsid w:val="00AE67CF"/>
    <w:rsid w:val="00AE67FE"/>
    <w:rsid w:val="00AE6BAB"/>
    <w:rsid w:val="00AE6BC4"/>
    <w:rsid w:val="00AE6E3C"/>
    <w:rsid w:val="00AE6E76"/>
    <w:rsid w:val="00AE6EE7"/>
    <w:rsid w:val="00AE6FC3"/>
    <w:rsid w:val="00AE7009"/>
    <w:rsid w:val="00AE71F9"/>
    <w:rsid w:val="00AE75DD"/>
    <w:rsid w:val="00AE76E6"/>
    <w:rsid w:val="00AE7790"/>
    <w:rsid w:val="00AE77EB"/>
    <w:rsid w:val="00AE785A"/>
    <w:rsid w:val="00AE7916"/>
    <w:rsid w:val="00AE7AEF"/>
    <w:rsid w:val="00AE7BC7"/>
    <w:rsid w:val="00AE7C77"/>
    <w:rsid w:val="00AE7D19"/>
    <w:rsid w:val="00AE7D5C"/>
    <w:rsid w:val="00AE7DA1"/>
    <w:rsid w:val="00AF02B5"/>
    <w:rsid w:val="00AF02CE"/>
    <w:rsid w:val="00AF0475"/>
    <w:rsid w:val="00AF04AC"/>
    <w:rsid w:val="00AF05D5"/>
    <w:rsid w:val="00AF062C"/>
    <w:rsid w:val="00AF07AB"/>
    <w:rsid w:val="00AF07E1"/>
    <w:rsid w:val="00AF0A3A"/>
    <w:rsid w:val="00AF0A95"/>
    <w:rsid w:val="00AF0A9E"/>
    <w:rsid w:val="00AF0B26"/>
    <w:rsid w:val="00AF0B61"/>
    <w:rsid w:val="00AF0BCF"/>
    <w:rsid w:val="00AF0C5A"/>
    <w:rsid w:val="00AF0E3F"/>
    <w:rsid w:val="00AF0EBE"/>
    <w:rsid w:val="00AF0F6C"/>
    <w:rsid w:val="00AF125A"/>
    <w:rsid w:val="00AF12F1"/>
    <w:rsid w:val="00AF132B"/>
    <w:rsid w:val="00AF1380"/>
    <w:rsid w:val="00AF13C0"/>
    <w:rsid w:val="00AF1401"/>
    <w:rsid w:val="00AF186A"/>
    <w:rsid w:val="00AF19EB"/>
    <w:rsid w:val="00AF1A94"/>
    <w:rsid w:val="00AF1BB0"/>
    <w:rsid w:val="00AF1C16"/>
    <w:rsid w:val="00AF1D47"/>
    <w:rsid w:val="00AF1DE4"/>
    <w:rsid w:val="00AF1F31"/>
    <w:rsid w:val="00AF209C"/>
    <w:rsid w:val="00AF21BF"/>
    <w:rsid w:val="00AF21D3"/>
    <w:rsid w:val="00AF23A8"/>
    <w:rsid w:val="00AF23CF"/>
    <w:rsid w:val="00AF23F7"/>
    <w:rsid w:val="00AF265D"/>
    <w:rsid w:val="00AF293D"/>
    <w:rsid w:val="00AF299F"/>
    <w:rsid w:val="00AF29E3"/>
    <w:rsid w:val="00AF2A43"/>
    <w:rsid w:val="00AF2A47"/>
    <w:rsid w:val="00AF2C77"/>
    <w:rsid w:val="00AF2C9B"/>
    <w:rsid w:val="00AF2DB7"/>
    <w:rsid w:val="00AF2EC2"/>
    <w:rsid w:val="00AF2F4E"/>
    <w:rsid w:val="00AF304A"/>
    <w:rsid w:val="00AF31B5"/>
    <w:rsid w:val="00AF335E"/>
    <w:rsid w:val="00AF340B"/>
    <w:rsid w:val="00AF354F"/>
    <w:rsid w:val="00AF390C"/>
    <w:rsid w:val="00AF3AFB"/>
    <w:rsid w:val="00AF3BCA"/>
    <w:rsid w:val="00AF3BF5"/>
    <w:rsid w:val="00AF3C4D"/>
    <w:rsid w:val="00AF3DBB"/>
    <w:rsid w:val="00AF3FC5"/>
    <w:rsid w:val="00AF4080"/>
    <w:rsid w:val="00AF43F9"/>
    <w:rsid w:val="00AF4565"/>
    <w:rsid w:val="00AF45E2"/>
    <w:rsid w:val="00AF460A"/>
    <w:rsid w:val="00AF4630"/>
    <w:rsid w:val="00AF4754"/>
    <w:rsid w:val="00AF47AA"/>
    <w:rsid w:val="00AF48B2"/>
    <w:rsid w:val="00AF4C0B"/>
    <w:rsid w:val="00AF4C2E"/>
    <w:rsid w:val="00AF4D7F"/>
    <w:rsid w:val="00AF4E33"/>
    <w:rsid w:val="00AF4EC2"/>
    <w:rsid w:val="00AF5090"/>
    <w:rsid w:val="00AF5147"/>
    <w:rsid w:val="00AF522D"/>
    <w:rsid w:val="00AF5380"/>
    <w:rsid w:val="00AF539B"/>
    <w:rsid w:val="00AF53FD"/>
    <w:rsid w:val="00AF5499"/>
    <w:rsid w:val="00AF549D"/>
    <w:rsid w:val="00AF5538"/>
    <w:rsid w:val="00AF55AC"/>
    <w:rsid w:val="00AF56BD"/>
    <w:rsid w:val="00AF58AA"/>
    <w:rsid w:val="00AF592C"/>
    <w:rsid w:val="00AF5AE7"/>
    <w:rsid w:val="00AF5B77"/>
    <w:rsid w:val="00AF5BE6"/>
    <w:rsid w:val="00AF5C42"/>
    <w:rsid w:val="00AF5E0F"/>
    <w:rsid w:val="00AF5EE3"/>
    <w:rsid w:val="00AF5F18"/>
    <w:rsid w:val="00AF5F37"/>
    <w:rsid w:val="00AF6207"/>
    <w:rsid w:val="00AF6464"/>
    <w:rsid w:val="00AF6496"/>
    <w:rsid w:val="00AF64E2"/>
    <w:rsid w:val="00AF6702"/>
    <w:rsid w:val="00AF67CF"/>
    <w:rsid w:val="00AF6962"/>
    <w:rsid w:val="00AF69A4"/>
    <w:rsid w:val="00AF6B2E"/>
    <w:rsid w:val="00AF6B3A"/>
    <w:rsid w:val="00AF6C77"/>
    <w:rsid w:val="00AF6D6C"/>
    <w:rsid w:val="00AF6E21"/>
    <w:rsid w:val="00AF6EAF"/>
    <w:rsid w:val="00AF6F0E"/>
    <w:rsid w:val="00AF6FE8"/>
    <w:rsid w:val="00AF7035"/>
    <w:rsid w:val="00AF7205"/>
    <w:rsid w:val="00AF74D2"/>
    <w:rsid w:val="00AF7530"/>
    <w:rsid w:val="00AF756B"/>
    <w:rsid w:val="00AF759F"/>
    <w:rsid w:val="00AF75C6"/>
    <w:rsid w:val="00AF76F1"/>
    <w:rsid w:val="00AF77FB"/>
    <w:rsid w:val="00AF7843"/>
    <w:rsid w:val="00AF7867"/>
    <w:rsid w:val="00AF78BE"/>
    <w:rsid w:val="00AF7AF4"/>
    <w:rsid w:val="00AF7BAC"/>
    <w:rsid w:val="00AF7BCD"/>
    <w:rsid w:val="00AF7CA9"/>
    <w:rsid w:val="00AF7EEE"/>
    <w:rsid w:val="00AF7F63"/>
    <w:rsid w:val="00AF7FF3"/>
    <w:rsid w:val="00B000B8"/>
    <w:rsid w:val="00B00112"/>
    <w:rsid w:val="00B0016F"/>
    <w:rsid w:val="00B0025F"/>
    <w:rsid w:val="00B002AD"/>
    <w:rsid w:val="00B003B7"/>
    <w:rsid w:val="00B00403"/>
    <w:rsid w:val="00B00461"/>
    <w:rsid w:val="00B0069A"/>
    <w:rsid w:val="00B006B8"/>
    <w:rsid w:val="00B006BA"/>
    <w:rsid w:val="00B00737"/>
    <w:rsid w:val="00B00769"/>
    <w:rsid w:val="00B007C3"/>
    <w:rsid w:val="00B00812"/>
    <w:rsid w:val="00B0098A"/>
    <w:rsid w:val="00B009ED"/>
    <w:rsid w:val="00B00A80"/>
    <w:rsid w:val="00B00B30"/>
    <w:rsid w:val="00B00B60"/>
    <w:rsid w:val="00B00C45"/>
    <w:rsid w:val="00B00CD9"/>
    <w:rsid w:val="00B00D80"/>
    <w:rsid w:val="00B01138"/>
    <w:rsid w:val="00B01143"/>
    <w:rsid w:val="00B0124B"/>
    <w:rsid w:val="00B012CF"/>
    <w:rsid w:val="00B01466"/>
    <w:rsid w:val="00B01490"/>
    <w:rsid w:val="00B014F5"/>
    <w:rsid w:val="00B01524"/>
    <w:rsid w:val="00B01533"/>
    <w:rsid w:val="00B015A1"/>
    <w:rsid w:val="00B01620"/>
    <w:rsid w:val="00B01776"/>
    <w:rsid w:val="00B017DA"/>
    <w:rsid w:val="00B0183C"/>
    <w:rsid w:val="00B018C0"/>
    <w:rsid w:val="00B01B69"/>
    <w:rsid w:val="00B01B8D"/>
    <w:rsid w:val="00B01BA6"/>
    <w:rsid w:val="00B01BC2"/>
    <w:rsid w:val="00B01F5F"/>
    <w:rsid w:val="00B01F84"/>
    <w:rsid w:val="00B01FB6"/>
    <w:rsid w:val="00B02357"/>
    <w:rsid w:val="00B0236C"/>
    <w:rsid w:val="00B0254D"/>
    <w:rsid w:val="00B02559"/>
    <w:rsid w:val="00B02561"/>
    <w:rsid w:val="00B026B1"/>
    <w:rsid w:val="00B02754"/>
    <w:rsid w:val="00B02788"/>
    <w:rsid w:val="00B028DA"/>
    <w:rsid w:val="00B02940"/>
    <w:rsid w:val="00B02979"/>
    <w:rsid w:val="00B02A3D"/>
    <w:rsid w:val="00B02A41"/>
    <w:rsid w:val="00B02AD0"/>
    <w:rsid w:val="00B02B05"/>
    <w:rsid w:val="00B02C36"/>
    <w:rsid w:val="00B02C90"/>
    <w:rsid w:val="00B02CDF"/>
    <w:rsid w:val="00B03259"/>
    <w:rsid w:val="00B0326B"/>
    <w:rsid w:val="00B0327E"/>
    <w:rsid w:val="00B0336F"/>
    <w:rsid w:val="00B03375"/>
    <w:rsid w:val="00B03407"/>
    <w:rsid w:val="00B03498"/>
    <w:rsid w:val="00B036DE"/>
    <w:rsid w:val="00B0374E"/>
    <w:rsid w:val="00B0376F"/>
    <w:rsid w:val="00B037E6"/>
    <w:rsid w:val="00B03814"/>
    <w:rsid w:val="00B03970"/>
    <w:rsid w:val="00B03ACE"/>
    <w:rsid w:val="00B03B05"/>
    <w:rsid w:val="00B03B20"/>
    <w:rsid w:val="00B03BDF"/>
    <w:rsid w:val="00B03DF4"/>
    <w:rsid w:val="00B03ECB"/>
    <w:rsid w:val="00B03F12"/>
    <w:rsid w:val="00B03FF1"/>
    <w:rsid w:val="00B04089"/>
    <w:rsid w:val="00B0412B"/>
    <w:rsid w:val="00B0414C"/>
    <w:rsid w:val="00B041D1"/>
    <w:rsid w:val="00B04282"/>
    <w:rsid w:val="00B0429A"/>
    <w:rsid w:val="00B042CA"/>
    <w:rsid w:val="00B04335"/>
    <w:rsid w:val="00B043B6"/>
    <w:rsid w:val="00B04400"/>
    <w:rsid w:val="00B04411"/>
    <w:rsid w:val="00B0446F"/>
    <w:rsid w:val="00B04495"/>
    <w:rsid w:val="00B044FB"/>
    <w:rsid w:val="00B04635"/>
    <w:rsid w:val="00B049BA"/>
    <w:rsid w:val="00B04BA4"/>
    <w:rsid w:val="00B04C6D"/>
    <w:rsid w:val="00B04CFE"/>
    <w:rsid w:val="00B04D40"/>
    <w:rsid w:val="00B04D71"/>
    <w:rsid w:val="00B04D8E"/>
    <w:rsid w:val="00B04F57"/>
    <w:rsid w:val="00B0500E"/>
    <w:rsid w:val="00B050D0"/>
    <w:rsid w:val="00B0534A"/>
    <w:rsid w:val="00B05385"/>
    <w:rsid w:val="00B05449"/>
    <w:rsid w:val="00B054C9"/>
    <w:rsid w:val="00B05569"/>
    <w:rsid w:val="00B055E9"/>
    <w:rsid w:val="00B0561B"/>
    <w:rsid w:val="00B0568A"/>
    <w:rsid w:val="00B0583C"/>
    <w:rsid w:val="00B05996"/>
    <w:rsid w:val="00B059D4"/>
    <w:rsid w:val="00B05A4D"/>
    <w:rsid w:val="00B05B81"/>
    <w:rsid w:val="00B05B97"/>
    <w:rsid w:val="00B05BA5"/>
    <w:rsid w:val="00B05C47"/>
    <w:rsid w:val="00B05C5C"/>
    <w:rsid w:val="00B05D29"/>
    <w:rsid w:val="00B05D3F"/>
    <w:rsid w:val="00B05D6C"/>
    <w:rsid w:val="00B05E54"/>
    <w:rsid w:val="00B05E79"/>
    <w:rsid w:val="00B0607D"/>
    <w:rsid w:val="00B060AE"/>
    <w:rsid w:val="00B060F2"/>
    <w:rsid w:val="00B062FC"/>
    <w:rsid w:val="00B062FE"/>
    <w:rsid w:val="00B063EC"/>
    <w:rsid w:val="00B065B5"/>
    <w:rsid w:val="00B06683"/>
    <w:rsid w:val="00B06711"/>
    <w:rsid w:val="00B0684B"/>
    <w:rsid w:val="00B06970"/>
    <w:rsid w:val="00B06986"/>
    <w:rsid w:val="00B069F5"/>
    <w:rsid w:val="00B06A92"/>
    <w:rsid w:val="00B06B34"/>
    <w:rsid w:val="00B06B5C"/>
    <w:rsid w:val="00B06CF0"/>
    <w:rsid w:val="00B06D91"/>
    <w:rsid w:val="00B06DBF"/>
    <w:rsid w:val="00B06DE7"/>
    <w:rsid w:val="00B06F8A"/>
    <w:rsid w:val="00B0708A"/>
    <w:rsid w:val="00B070B8"/>
    <w:rsid w:val="00B07193"/>
    <w:rsid w:val="00B07220"/>
    <w:rsid w:val="00B07316"/>
    <w:rsid w:val="00B07479"/>
    <w:rsid w:val="00B07516"/>
    <w:rsid w:val="00B075E4"/>
    <w:rsid w:val="00B075FB"/>
    <w:rsid w:val="00B0766D"/>
    <w:rsid w:val="00B07682"/>
    <w:rsid w:val="00B07790"/>
    <w:rsid w:val="00B07843"/>
    <w:rsid w:val="00B07866"/>
    <w:rsid w:val="00B07BA1"/>
    <w:rsid w:val="00B07BAF"/>
    <w:rsid w:val="00B07C96"/>
    <w:rsid w:val="00B07C9C"/>
    <w:rsid w:val="00B07CD0"/>
    <w:rsid w:val="00B07D60"/>
    <w:rsid w:val="00B07F89"/>
    <w:rsid w:val="00B10038"/>
    <w:rsid w:val="00B10069"/>
    <w:rsid w:val="00B101A6"/>
    <w:rsid w:val="00B102B7"/>
    <w:rsid w:val="00B10371"/>
    <w:rsid w:val="00B103D1"/>
    <w:rsid w:val="00B10595"/>
    <w:rsid w:val="00B10633"/>
    <w:rsid w:val="00B1068B"/>
    <w:rsid w:val="00B106C8"/>
    <w:rsid w:val="00B1071E"/>
    <w:rsid w:val="00B1081E"/>
    <w:rsid w:val="00B10840"/>
    <w:rsid w:val="00B1084D"/>
    <w:rsid w:val="00B10872"/>
    <w:rsid w:val="00B1094C"/>
    <w:rsid w:val="00B10A37"/>
    <w:rsid w:val="00B10B3B"/>
    <w:rsid w:val="00B10CB8"/>
    <w:rsid w:val="00B10D71"/>
    <w:rsid w:val="00B10E8B"/>
    <w:rsid w:val="00B10F48"/>
    <w:rsid w:val="00B11255"/>
    <w:rsid w:val="00B112A8"/>
    <w:rsid w:val="00B112E5"/>
    <w:rsid w:val="00B114F9"/>
    <w:rsid w:val="00B115AE"/>
    <w:rsid w:val="00B115BB"/>
    <w:rsid w:val="00B115C1"/>
    <w:rsid w:val="00B118C8"/>
    <w:rsid w:val="00B11932"/>
    <w:rsid w:val="00B11A80"/>
    <w:rsid w:val="00B11B1B"/>
    <w:rsid w:val="00B11C30"/>
    <w:rsid w:val="00B11C94"/>
    <w:rsid w:val="00B11CAF"/>
    <w:rsid w:val="00B11DFC"/>
    <w:rsid w:val="00B11E52"/>
    <w:rsid w:val="00B11EAF"/>
    <w:rsid w:val="00B11F72"/>
    <w:rsid w:val="00B120DB"/>
    <w:rsid w:val="00B121DB"/>
    <w:rsid w:val="00B122A3"/>
    <w:rsid w:val="00B122E8"/>
    <w:rsid w:val="00B12385"/>
    <w:rsid w:val="00B123EC"/>
    <w:rsid w:val="00B126B9"/>
    <w:rsid w:val="00B126C1"/>
    <w:rsid w:val="00B12725"/>
    <w:rsid w:val="00B12969"/>
    <w:rsid w:val="00B12A78"/>
    <w:rsid w:val="00B12B90"/>
    <w:rsid w:val="00B12BE2"/>
    <w:rsid w:val="00B12C12"/>
    <w:rsid w:val="00B12CAF"/>
    <w:rsid w:val="00B12D26"/>
    <w:rsid w:val="00B12DAB"/>
    <w:rsid w:val="00B12DC0"/>
    <w:rsid w:val="00B1302A"/>
    <w:rsid w:val="00B13093"/>
    <w:rsid w:val="00B13137"/>
    <w:rsid w:val="00B13148"/>
    <w:rsid w:val="00B132B1"/>
    <w:rsid w:val="00B133A3"/>
    <w:rsid w:val="00B133FF"/>
    <w:rsid w:val="00B13421"/>
    <w:rsid w:val="00B13431"/>
    <w:rsid w:val="00B13586"/>
    <w:rsid w:val="00B13588"/>
    <w:rsid w:val="00B1358D"/>
    <w:rsid w:val="00B13605"/>
    <w:rsid w:val="00B136D2"/>
    <w:rsid w:val="00B1378D"/>
    <w:rsid w:val="00B139F0"/>
    <w:rsid w:val="00B13CA1"/>
    <w:rsid w:val="00B13D5E"/>
    <w:rsid w:val="00B13E04"/>
    <w:rsid w:val="00B13E57"/>
    <w:rsid w:val="00B13FD7"/>
    <w:rsid w:val="00B13FF9"/>
    <w:rsid w:val="00B140B9"/>
    <w:rsid w:val="00B14139"/>
    <w:rsid w:val="00B14155"/>
    <w:rsid w:val="00B14177"/>
    <w:rsid w:val="00B14183"/>
    <w:rsid w:val="00B141AE"/>
    <w:rsid w:val="00B14224"/>
    <w:rsid w:val="00B144B9"/>
    <w:rsid w:val="00B144CF"/>
    <w:rsid w:val="00B145AF"/>
    <w:rsid w:val="00B147EA"/>
    <w:rsid w:val="00B14882"/>
    <w:rsid w:val="00B14883"/>
    <w:rsid w:val="00B14A74"/>
    <w:rsid w:val="00B14AB1"/>
    <w:rsid w:val="00B14B7C"/>
    <w:rsid w:val="00B14BAD"/>
    <w:rsid w:val="00B14C10"/>
    <w:rsid w:val="00B14C40"/>
    <w:rsid w:val="00B14CC8"/>
    <w:rsid w:val="00B14CD9"/>
    <w:rsid w:val="00B14DB9"/>
    <w:rsid w:val="00B14E50"/>
    <w:rsid w:val="00B14F78"/>
    <w:rsid w:val="00B15096"/>
    <w:rsid w:val="00B1517E"/>
    <w:rsid w:val="00B1563F"/>
    <w:rsid w:val="00B156D2"/>
    <w:rsid w:val="00B15766"/>
    <w:rsid w:val="00B1579A"/>
    <w:rsid w:val="00B159C4"/>
    <w:rsid w:val="00B15AB8"/>
    <w:rsid w:val="00B15AD5"/>
    <w:rsid w:val="00B15B09"/>
    <w:rsid w:val="00B15ECE"/>
    <w:rsid w:val="00B15EEC"/>
    <w:rsid w:val="00B15F1C"/>
    <w:rsid w:val="00B165C4"/>
    <w:rsid w:val="00B1662C"/>
    <w:rsid w:val="00B16657"/>
    <w:rsid w:val="00B1667B"/>
    <w:rsid w:val="00B166A2"/>
    <w:rsid w:val="00B16737"/>
    <w:rsid w:val="00B167C0"/>
    <w:rsid w:val="00B16813"/>
    <w:rsid w:val="00B1682F"/>
    <w:rsid w:val="00B16A1A"/>
    <w:rsid w:val="00B16A39"/>
    <w:rsid w:val="00B16A5B"/>
    <w:rsid w:val="00B16A88"/>
    <w:rsid w:val="00B16AC1"/>
    <w:rsid w:val="00B16B38"/>
    <w:rsid w:val="00B16C6A"/>
    <w:rsid w:val="00B16E1E"/>
    <w:rsid w:val="00B16E6C"/>
    <w:rsid w:val="00B16E79"/>
    <w:rsid w:val="00B16F3D"/>
    <w:rsid w:val="00B17029"/>
    <w:rsid w:val="00B17357"/>
    <w:rsid w:val="00B17445"/>
    <w:rsid w:val="00B174A5"/>
    <w:rsid w:val="00B174DD"/>
    <w:rsid w:val="00B1756C"/>
    <w:rsid w:val="00B1757D"/>
    <w:rsid w:val="00B175C8"/>
    <w:rsid w:val="00B1774F"/>
    <w:rsid w:val="00B1791D"/>
    <w:rsid w:val="00B17A1D"/>
    <w:rsid w:val="00B17BC0"/>
    <w:rsid w:val="00B17C3E"/>
    <w:rsid w:val="00B17D43"/>
    <w:rsid w:val="00B17E69"/>
    <w:rsid w:val="00B17E94"/>
    <w:rsid w:val="00B17FD4"/>
    <w:rsid w:val="00B1F317"/>
    <w:rsid w:val="00B201F9"/>
    <w:rsid w:val="00B202E4"/>
    <w:rsid w:val="00B20346"/>
    <w:rsid w:val="00B2034D"/>
    <w:rsid w:val="00B20451"/>
    <w:rsid w:val="00B204C8"/>
    <w:rsid w:val="00B20525"/>
    <w:rsid w:val="00B2072E"/>
    <w:rsid w:val="00B2075E"/>
    <w:rsid w:val="00B20814"/>
    <w:rsid w:val="00B208D7"/>
    <w:rsid w:val="00B209B7"/>
    <w:rsid w:val="00B20A0C"/>
    <w:rsid w:val="00B20C7D"/>
    <w:rsid w:val="00B20FE4"/>
    <w:rsid w:val="00B2100D"/>
    <w:rsid w:val="00B2101C"/>
    <w:rsid w:val="00B21146"/>
    <w:rsid w:val="00B213EF"/>
    <w:rsid w:val="00B21418"/>
    <w:rsid w:val="00B21591"/>
    <w:rsid w:val="00B215CD"/>
    <w:rsid w:val="00B2164E"/>
    <w:rsid w:val="00B21853"/>
    <w:rsid w:val="00B218AE"/>
    <w:rsid w:val="00B218D3"/>
    <w:rsid w:val="00B21944"/>
    <w:rsid w:val="00B21A70"/>
    <w:rsid w:val="00B21ACA"/>
    <w:rsid w:val="00B21B09"/>
    <w:rsid w:val="00B21C18"/>
    <w:rsid w:val="00B21D06"/>
    <w:rsid w:val="00B21D8D"/>
    <w:rsid w:val="00B21DA9"/>
    <w:rsid w:val="00B21EC7"/>
    <w:rsid w:val="00B2207A"/>
    <w:rsid w:val="00B22381"/>
    <w:rsid w:val="00B22443"/>
    <w:rsid w:val="00B22468"/>
    <w:rsid w:val="00B224E2"/>
    <w:rsid w:val="00B224E6"/>
    <w:rsid w:val="00B22654"/>
    <w:rsid w:val="00B226F5"/>
    <w:rsid w:val="00B229B0"/>
    <w:rsid w:val="00B229C1"/>
    <w:rsid w:val="00B22AD4"/>
    <w:rsid w:val="00B22BE8"/>
    <w:rsid w:val="00B22CCA"/>
    <w:rsid w:val="00B22E1F"/>
    <w:rsid w:val="00B230CC"/>
    <w:rsid w:val="00B2320E"/>
    <w:rsid w:val="00B232CA"/>
    <w:rsid w:val="00B23372"/>
    <w:rsid w:val="00B2377B"/>
    <w:rsid w:val="00B237A4"/>
    <w:rsid w:val="00B23930"/>
    <w:rsid w:val="00B23A33"/>
    <w:rsid w:val="00B23B3D"/>
    <w:rsid w:val="00B23C99"/>
    <w:rsid w:val="00B23CC0"/>
    <w:rsid w:val="00B23D2F"/>
    <w:rsid w:val="00B23D64"/>
    <w:rsid w:val="00B23D7B"/>
    <w:rsid w:val="00B23FCA"/>
    <w:rsid w:val="00B240A4"/>
    <w:rsid w:val="00B240AF"/>
    <w:rsid w:val="00B240FE"/>
    <w:rsid w:val="00B2412D"/>
    <w:rsid w:val="00B2422E"/>
    <w:rsid w:val="00B24250"/>
    <w:rsid w:val="00B24386"/>
    <w:rsid w:val="00B243B5"/>
    <w:rsid w:val="00B24401"/>
    <w:rsid w:val="00B245AC"/>
    <w:rsid w:val="00B2469D"/>
    <w:rsid w:val="00B246B9"/>
    <w:rsid w:val="00B2471E"/>
    <w:rsid w:val="00B24794"/>
    <w:rsid w:val="00B24866"/>
    <w:rsid w:val="00B248C6"/>
    <w:rsid w:val="00B24933"/>
    <w:rsid w:val="00B249C2"/>
    <w:rsid w:val="00B24AAC"/>
    <w:rsid w:val="00B24B41"/>
    <w:rsid w:val="00B24C99"/>
    <w:rsid w:val="00B24CB8"/>
    <w:rsid w:val="00B24CF3"/>
    <w:rsid w:val="00B24D33"/>
    <w:rsid w:val="00B24D73"/>
    <w:rsid w:val="00B24DC7"/>
    <w:rsid w:val="00B24EFE"/>
    <w:rsid w:val="00B24F15"/>
    <w:rsid w:val="00B24FD4"/>
    <w:rsid w:val="00B250BE"/>
    <w:rsid w:val="00B252DC"/>
    <w:rsid w:val="00B254CE"/>
    <w:rsid w:val="00B254FA"/>
    <w:rsid w:val="00B2560A"/>
    <w:rsid w:val="00B25670"/>
    <w:rsid w:val="00B2578F"/>
    <w:rsid w:val="00B257B6"/>
    <w:rsid w:val="00B25817"/>
    <w:rsid w:val="00B258FA"/>
    <w:rsid w:val="00B25942"/>
    <w:rsid w:val="00B2599B"/>
    <w:rsid w:val="00B25AF0"/>
    <w:rsid w:val="00B25B82"/>
    <w:rsid w:val="00B25CD6"/>
    <w:rsid w:val="00B25FE7"/>
    <w:rsid w:val="00B26015"/>
    <w:rsid w:val="00B2617D"/>
    <w:rsid w:val="00B26309"/>
    <w:rsid w:val="00B26342"/>
    <w:rsid w:val="00B26361"/>
    <w:rsid w:val="00B26432"/>
    <w:rsid w:val="00B26550"/>
    <w:rsid w:val="00B26759"/>
    <w:rsid w:val="00B26789"/>
    <w:rsid w:val="00B267E7"/>
    <w:rsid w:val="00B26848"/>
    <w:rsid w:val="00B2684E"/>
    <w:rsid w:val="00B26A68"/>
    <w:rsid w:val="00B26AFF"/>
    <w:rsid w:val="00B26BD5"/>
    <w:rsid w:val="00B26CAA"/>
    <w:rsid w:val="00B26D32"/>
    <w:rsid w:val="00B26EA6"/>
    <w:rsid w:val="00B26FAC"/>
    <w:rsid w:val="00B2715B"/>
    <w:rsid w:val="00B271F6"/>
    <w:rsid w:val="00B27375"/>
    <w:rsid w:val="00B2774D"/>
    <w:rsid w:val="00B2790C"/>
    <w:rsid w:val="00B27D70"/>
    <w:rsid w:val="00B30143"/>
    <w:rsid w:val="00B3014B"/>
    <w:rsid w:val="00B301AC"/>
    <w:rsid w:val="00B30248"/>
    <w:rsid w:val="00B3026D"/>
    <w:rsid w:val="00B303DE"/>
    <w:rsid w:val="00B30531"/>
    <w:rsid w:val="00B30550"/>
    <w:rsid w:val="00B305D7"/>
    <w:rsid w:val="00B306EE"/>
    <w:rsid w:val="00B30920"/>
    <w:rsid w:val="00B309F8"/>
    <w:rsid w:val="00B30B95"/>
    <w:rsid w:val="00B30BA4"/>
    <w:rsid w:val="00B30CC5"/>
    <w:rsid w:val="00B30D2B"/>
    <w:rsid w:val="00B30FBC"/>
    <w:rsid w:val="00B3106F"/>
    <w:rsid w:val="00B311E0"/>
    <w:rsid w:val="00B31698"/>
    <w:rsid w:val="00B318DA"/>
    <w:rsid w:val="00B31919"/>
    <w:rsid w:val="00B3195A"/>
    <w:rsid w:val="00B319D2"/>
    <w:rsid w:val="00B31A86"/>
    <w:rsid w:val="00B31AD6"/>
    <w:rsid w:val="00B31CBC"/>
    <w:rsid w:val="00B31CE1"/>
    <w:rsid w:val="00B31E31"/>
    <w:rsid w:val="00B31E38"/>
    <w:rsid w:val="00B32156"/>
    <w:rsid w:val="00B3222A"/>
    <w:rsid w:val="00B324B6"/>
    <w:rsid w:val="00B32645"/>
    <w:rsid w:val="00B32722"/>
    <w:rsid w:val="00B32949"/>
    <w:rsid w:val="00B329C9"/>
    <w:rsid w:val="00B32A27"/>
    <w:rsid w:val="00B32A70"/>
    <w:rsid w:val="00B32AC5"/>
    <w:rsid w:val="00B32B7A"/>
    <w:rsid w:val="00B32D7B"/>
    <w:rsid w:val="00B32D90"/>
    <w:rsid w:val="00B32DD9"/>
    <w:rsid w:val="00B32F54"/>
    <w:rsid w:val="00B32F8C"/>
    <w:rsid w:val="00B3302B"/>
    <w:rsid w:val="00B331EE"/>
    <w:rsid w:val="00B33330"/>
    <w:rsid w:val="00B33516"/>
    <w:rsid w:val="00B3351F"/>
    <w:rsid w:val="00B3388D"/>
    <w:rsid w:val="00B33A10"/>
    <w:rsid w:val="00B33AA7"/>
    <w:rsid w:val="00B33AEE"/>
    <w:rsid w:val="00B33B79"/>
    <w:rsid w:val="00B33BE7"/>
    <w:rsid w:val="00B33D5B"/>
    <w:rsid w:val="00B33F15"/>
    <w:rsid w:val="00B33F58"/>
    <w:rsid w:val="00B33FD7"/>
    <w:rsid w:val="00B34038"/>
    <w:rsid w:val="00B34056"/>
    <w:rsid w:val="00B340B1"/>
    <w:rsid w:val="00B340F1"/>
    <w:rsid w:val="00B342A6"/>
    <w:rsid w:val="00B343BE"/>
    <w:rsid w:val="00B343FA"/>
    <w:rsid w:val="00B345AB"/>
    <w:rsid w:val="00B34671"/>
    <w:rsid w:val="00B34779"/>
    <w:rsid w:val="00B34A3E"/>
    <w:rsid w:val="00B34A79"/>
    <w:rsid w:val="00B34B6D"/>
    <w:rsid w:val="00B34BDD"/>
    <w:rsid w:val="00B34C53"/>
    <w:rsid w:val="00B34C6F"/>
    <w:rsid w:val="00B34D22"/>
    <w:rsid w:val="00B34DEE"/>
    <w:rsid w:val="00B34E6F"/>
    <w:rsid w:val="00B35033"/>
    <w:rsid w:val="00B35099"/>
    <w:rsid w:val="00B3509D"/>
    <w:rsid w:val="00B35102"/>
    <w:rsid w:val="00B35282"/>
    <w:rsid w:val="00B352AE"/>
    <w:rsid w:val="00B35315"/>
    <w:rsid w:val="00B353DA"/>
    <w:rsid w:val="00B3544D"/>
    <w:rsid w:val="00B354D5"/>
    <w:rsid w:val="00B3557C"/>
    <w:rsid w:val="00B3572C"/>
    <w:rsid w:val="00B35886"/>
    <w:rsid w:val="00B358A5"/>
    <w:rsid w:val="00B35914"/>
    <w:rsid w:val="00B35A07"/>
    <w:rsid w:val="00B35B13"/>
    <w:rsid w:val="00B35E04"/>
    <w:rsid w:val="00B35E28"/>
    <w:rsid w:val="00B360E3"/>
    <w:rsid w:val="00B362C3"/>
    <w:rsid w:val="00B364D8"/>
    <w:rsid w:val="00B364F1"/>
    <w:rsid w:val="00B365EC"/>
    <w:rsid w:val="00B3664B"/>
    <w:rsid w:val="00B36697"/>
    <w:rsid w:val="00B3670C"/>
    <w:rsid w:val="00B367F1"/>
    <w:rsid w:val="00B368AF"/>
    <w:rsid w:val="00B368BD"/>
    <w:rsid w:val="00B3690A"/>
    <w:rsid w:val="00B36949"/>
    <w:rsid w:val="00B36A27"/>
    <w:rsid w:val="00B36AB9"/>
    <w:rsid w:val="00B36AEB"/>
    <w:rsid w:val="00B36B6D"/>
    <w:rsid w:val="00B36BBF"/>
    <w:rsid w:val="00B36C89"/>
    <w:rsid w:val="00B36CB6"/>
    <w:rsid w:val="00B36D62"/>
    <w:rsid w:val="00B36D87"/>
    <w:rsid w:val="00B36EB5"/>
    <w:rsid w:val="00B36FB0"/>
    <w:rsid w:val="00B37021"/>
    <w:rsid w:val="00B3729B"/>
    <w:rsid w:val="00B37313"/>
    <w:rsid w:val="00B37330"/>
    <w:rsid w:val="00B373C0"/>
    <w:rsid w:val="00B373D0"/>
    <w:rsid w:val="00B374F2"/>
    <w:rsid w:val="00B37587"/>
    <w:rsid w:val="00B376F0"/>
    <w:rsid w:val="00B377DB"/>
    <w:rsid w:val="00B378F6"/>
    <w:rsid w:val="00B37AC7"/>
    <w:rsid w:val="00B37BA8"/>
    <w:rsid w:val="00B37F38"/>
    <w:rsid w:val="00B37F72"/>
    <w:rsid w:val="00B400B3"/>
    <w:rsid w:val="00B400DB"/>
    <w:rsid w:val="00B404E2"/>
    <w:rsid w:val="00B404FB"/>
    <w:rsid w:val="00B4058D"/>
    <w:rsid w:val="00B407EE"/>
    <w:rsid w:val="00B4085E"/>
    <w:rsid w:val="00B408AE"/>
    <w:rsid w:val="00B40988"/>
    <w:rsid w:val="00B409F2"/>
    <w:rsid w:val="00B40A4D"/>
    <w:rsid w:val="00B40B9D"/>
    <w:rsid w:val="00B40BEA"/>
    <w:rsid w:val="00B40CD4"/>
    <w:rsid w:val="00B40D31"/>
    <w:rsid w:val="00B40F76"/>
    <w:rsid w:val="00B40FB7"/>
    <w:rsid w:val="00B40FD9"/>
    <w:rsid w:val="00B40FF8"/>
    <w:rsid w:val="00B41108"/>
    <w:rsid w:val="00B411AF"/>
    <w:rsid w:val="00B41261"/>
    <w:rsid w:val="00B413B8"/>
    <w:rsid w:val="00B413BD"/>
    <w:rsid w:val="00B41413"/>
    <w:rsid w:val="00B414CF"/>
    <w:rsid w:val="00B414EE"/>
    <w:rsid w:val="00B4154D"/>
    <w:rsid w:val="00B415FD"/>
    <w:rsid w:val="00B41657"/>
    <w:rsid w:val="00B417FD"/>
    <w:rsid w:val="00B419C0"/>
    <w:rsid w:val="00B41A9A"/>
    <w:rsid w:val="00B41B35"/>
    <w:rsid w:val="00B41BA7"/>
    <w:rsid w:val="00B420C2"/>
    <w:rsid w:val="00B42258"/>
    <w:rsid w:val="00B4234C"/>
    <w:rsid w:val="00B423A6"/>
    <w:rsid w:val="00B423DB"/>
    <w:rsid w:val="00B42527"/>
    <w:rsid w:val="00B425A0"/>
    <w:rsid w:val="00B42679"/>
    <w:rsid w:val="00B426C8"/>
    <w:rsid w:val="00B42729"/>
    <w:rsid w:val="00B42964"/>
    <w:rsid w:val="00B429C4"/>
    <w:rsid w:val="00B42A4F"/>
    <w:rsid w:val="00B42A5C"/>
    <w:rsid w:val="00B42ABA"/>
    <w:rsid w:val="00B42AD6"/>
    <w:rsid w:val="00B42B8C"/>
    <w:rsid w:val="00B42CEB"/>
    <w:rsid w:val="00B42D67"/>
    <w:rsid w:val="00B42F10"/>
    <w:rsid w:val="00B4301B"/>
    <w:rsid w:val="00B43051"/>
    <w:rsid w:val="00B43093"/>
    <w:rsid w:val="00B4312F"/>
    <w:rsid w:val="00B4321A"/>
    <w:rsid w:val="00B43237"/>
    <w:rsid w:val="00B4345D"/>
    <w:rsid w:val="00B4348B"/>
    <w:rsid w:val="00B43494"/>
    <w:rsid w:val="00B4349A"/>
    <w:rsid w:val="00B434B4"/>
    <w:rsid w:val="00B4374D"/>
    <w:rsid w:val="00B43963"/>
    <w:rsid w:val="00B43A66"/>
    <w:rsid w:val="00B43B9F"/>
    <w:rsid w:val="00B43C4A"/>
    <w:rsid w:val="00B43F97"/>
    <w:rsid w:val="00B4405E"/>
    <w:rsid w:val="00B44115"/>
    <w:rsid w:val="00B4413B"/>
    <w:rsid w:val="00B44237"/>
    <w:rsid w:val="00B4424B"/>
    <w:rsid w:val="00B443B4"/>
    <w:rsid w:val="00B444CF"/>
    <w:rsid w:val="00B44548"/>
    <w:rsid w:val="00B447AE"/>
    <w:rsid w:val="00B44895"/>
    <w:rsid w:val="00B44948"/>
    <w:rsid w:val="00B44BBF"/>
    <w:rsid w:val="00B44C2D"/>
    <w:rsid w:val="00B44C5E"/>
    <w:rsid w:val="00B44F2A"/>
    <w:rsid w:val="00B44F7B"/>
    <w:rsid w:val="00B4542B"/>
    <w:rsid w:val="00B455D5"/>
    <w:rsid w:val="00B45644"/>
    <w:rsid w:val="00B4592B"/>
    <w:rsid w:val="00B45A71"/>
    <w:rsid w:val="00B45B1B"/>
    <w:rsid w:val="00B45B56"/>
    <w:rsid w:val="00B45D04"/>
    <w:rsid w:val="00B45D52"/>
    <w:rsid w:val="00B45D90"/>
    <w:rsid w:val="00B45F24"/>
    <w:rsid w:val="00B46038"/>
    <w:rsid w:val="00B4605E"/>
    <w:rsid w:val="00B460A8"/>
    <w:rsid w:val="00B461CD"/>
    <w:rsid w:val="00B462FA"/>
    <w:rsid w:val="00B46324"/>
    <w:rsid w:val="00B464F5"/>
    <w:rsid w:val="00B46591"/>
    <w:rsid w:val="00B4679A"/>
    <w:rsid w:val="00B467B6"/>
    <w:rsid w:val="00B4680A"/>
    <w:rsid w:val="00B468C2"/>
    <w:rsid w:val="00B46903"/>
    <w:rsid w:val="00B46967"/>
    <w:rsid w:val="00B46A7B"/>
    <w:rsid w:val="00B46AE6"/>
    <w:rsid w:val="00B46AF0"/>
    <w:rsid w:val="00B46B70"/>
    <w:rsid w:val="00B46B91"/>
    <w:rsid w:val="00B46BCD"/>
    <w:rsid w:val="00B46C0B"/>
    <w:rsid w:val="00B46CF8"/>
    <w:rsid w:val="00B46EA0"/>
    <w:rsid w:val="00B47019"/>
    <w:rsid w:val="00B4704B"/>
    <w:rsid w:val="00B470DA"/>
    <w:rsid w:val="00B47127"/>
    <w:rsid w:val="00B4723E"/>
    <w:rsid w:val="00B472CA"/>
    <w:rsid w:val="00B47321"/>
    <w:rsid w:val="00B4738D"/>
    <w:rsid w:val="00B4741C"/>
    <w:rsid w:val="00B474F0"/>
    <w:rsid w:val="00B475CD"/>
    <w:rsid w:val="00B4761A"/>
    <w:rsid w:val="00B47684"/>
    <w:rsid w:val="00B47735"/>
    <w:rsid w:val="00B477A8"/>
    <w:rsid w:val="00B47826"/>
    <w:rsid w:val="00B47854"/>
    <w:rsid w:val="00B478FC"/>
    <w:rsid w:val="00B4799B"/>
    <w:rsid w:val="00B47A04"/>
    <w:rsid w:val="00B47B51"/>
    <w:rsid w:val="00B47B63"/>
    <w:rsid w:val="00B47B69"/>
    <w:rsid w:val="00B47BF6"/>
    <w:rsid w:val="00B47C07"/>
    <w:rsid w:val="00B47CE2"/>
    <w:rsid w:val="00B47DD8"/>
    <w:rsid w:val="00B50180"/>
    <w:rsid w:val="00B501C3"/>
    <w:rsid w:val="00B502EF"/>
    <w:rsid w:val="00B50482"/>
    <w:rsid w:val="00B5054A"/>
    <w:rsid w:val="00B50574"/>
    <w:rsid w:val="00B50645"/>
    <w:rsid w:val="00B50648"/>
    <w:rsid w:val="00B5071D"/>
    <w:rsid w:val="00B507DC"/>
    <w:rsid w:val="00B508BA"/>
    <w:rsid w:val="00B50A6C"/>
    <w:rsid w:val="00B50AAD"/>
    <w:rsid w:val="00B50AF7"/>
    <w:rsid w:val="00B50B07"/>
    <w:rsid w:val="00B50B2E"/>
    <w:rsid w:val="00B50BBA"/>
    <w:rsid w:val="00B50BCE"/>
    <w:rsid w:val="00B50C0E"/>
    <w:rsid w:val="00B50D1D"/>
    <w:rsid w:val="00B50D92"/>
    <w:rsid w:val="00B50DE8"/>
    <w:rsid w:val="00B50DFC"/>
    <w:rsid w:val="00B50E3D"/>
    <w:rsid w:val="00B50E42"/>
    <w:rsid w:val="00B50EBD"/>
    <w:rsid w:val="00B50F55"/>
    <w:rsid w:val="00B5148D"/>
    <w:rsid w:val="00B515CC"/>
    <w:rsid w:val="00B516AA"/>
    <w:rsid w:val="00B517D7"/>
    <w:rsid w:val="00B51802"/>
    <w:rsid w:val="00B51AD2"/>
    <w:rsid w:val="00B51BCF"/>
    <w:rsid w:val="00B51C03"/>
    <w:rsid w:val="00B51C20"/>
    <w:rsid w:val="00B51E07"/>
    <w:rsid w:val="00B521A3"/>
    <w:rsid w:val="00B5233A"/>
    <w:rsid w:val="00B5258B"/>
    <w:rsid w:val="00B525E7"/>
    <w:rsid w:val="00B525E9"/>
    <w:rsid w:val="00B52745"/>
    <w:rsid w:val="00B5286A"/>
    <w:rsid w:val="00B52971"/>
    <w:rsid w:val="00B52A0C"/>
    <w:rsid w:val="00B52AB5"/>
    <w:rsid w:val="00B52AED"/>
    <w:rsid w:val="00B52B20"/>
    <w:rsid w:val="00B52DDF"/>
    <w:rsid w:val="00B52F08"/>
    <w:rsid w:val="00B530D3"/>
    <w:rsid w:val="00B530E3"/>
    <w:rsid w:val="00B530F1"/>
    <w:rsid w:val="00B5314B"/>
    <w:rsid w:val="00B532CE"/>
    <w:rsid w:val="00B532E3"/>
    <w:rsid w:val="00B53356"/>
    <w:rsid w:val="00B5338D"/>
    <w:rsid w:val="00B533DC"/>
    <w:rsid w:val="00B534B5"/>
    <w:rsid w:val="00B534EE"/>
    <w:rsid w:val="00B5361C"/>
    <w:rsid w:val="00B5364F"/>
    <w:rsid w:val="00B53686"/>
    <w:rsid w:val="00B538B2"/>
    <w:rsid w:val="00B53A7A"/>
    <w:rsid w:val="00B53AAD"/>
    <w:rsid w:val="00B53B88"/>
    <w:rsid w:val="00B53C69"/>
    <w:rsid w:val="00B53DCF"/>
    <w:rsid w:val="00B53E37"/>
    <w:rsid w:val="00B53ED7"/>
    <w:rsid w:val="00B53F2D"/>
    <w:rsid w:val="00B54054"/>
    <w:rsid w:val="00B540F8"/>
    <w:rsid w:val="00B541A5"/>
    <w:rsid w:val="00B542DF"/>
    <w:rsid w:val="00B54332"/>
    <w:rsid w:val="00B5437B"/>
    <w:rsid w:val="00B5442B"/>
    <w:rsid w:val="00B5446E"/>
    <w:rsid w:val="00B545D0"/>
    <w:rsid w:val="00B54645"/>
    <w:rsid w:val="00B54700"/>
    <w:rsid w:val="00B547C2"/>
    <w:rsid w:val="00B547C6"/>
    <w:rsid w:val="00B5487A"/>
    <w:rsid w:val="00B5492B"/>
    <w:rsid w:val="00B54A91"/>
    <w:rsid w:val="00B54BD0"/>
    <w:rsid w:val="00B54CFA"/>
    <w:rsid w:val="00B54F42"/>
    <w:rsid w:val="00B54FFD"/>
    <w:rsid w:val="00B550C8"/>
    <w:rsid w:val="00B550FD"/>
    <w:rsid w:val="00B55157"/>
    <w:rsid w:val="00B552ED"/>
    <w:rsid w:val="00B553A3"/>
    <w:rsid w:val="00B553CC"/>
    <w:rsid w:val="00B553E6"/>
    <w:rsid w:val="00B553EF"/>
    <w:rsid w:val="00B55465"/>
    <w:rsid w:val="00B554A6"/>
    <w:rsid w:val="00B555CA"/>
    <w:rsid w:val="00B5563F"/>
    <w:rsid w:val="00B55739"/>
    <w:rsid w:val="00B5590D"/>
    <w:rsid w:val="00B55B1E"/>
    <w:rsid w:val="00B55BD5"/>
    <w:rsid w:val="00B55C49"/>
    <w:rsid w:val="00B55DCB"/>
    <w:rsid w:val="00B55F8B"/>
    <w:rsid w:val="00B55FD5"/>
    <w:rsid w:val="00B5601E"/>
    <w:rsid w:val="00B5619A"/>
    <w:rsid w:val="00B56246"/>
    <w:rsid w:val="00B56473"/>
    <w:rsid w:val="00B565A4"/>
    <w:rsid w:val="00B5675C"/>
    <w:rsid w:val="00B5679D"/>
    <w:rsid w:val="00B568D6"/>
    <w:rsid w:val="00B568E3"/>
    <w:rsid w:val="00B56935"/>
    <w:rsid w:val="00B56A15"/>
    <w:rsid w:val="00B56A6F"/>
    <w:rsid w:val="00B56AD4"/>
    <w:rsid w:val="00B56B0C"/>
    <w:rsid w:val="00B56BAD"/>
    <w:rsid w:val="00B56BB8"/>
    <w:rsid w:val="00B56DB5"/>
    <w:rsid w:val="00B56E16"/>
    <w:rsid w:val="00B56EBF"/>
    <w:rsid w:val="00B5702E"/>
    <w:rsid w:val="00B571AF"/>
    <w:rsid w:val="00B57278"/>
    <w:rsid w:val="00B57483"/>
    <w:rsid w:val="00B575F0"/>
    <w:rsid w:val="00B5762D"/>
    <w:rsid w:val="00B576D3"/>
    <w:rsid w:val="00B5772D"/>
    <w:rsid w:val="00B5779B"/>
    <w:rsid w:val="00B577B5"/>
    <w:rsid w:val="00B579C6"/>
    <w:rsid w:val="00B57A28"/>
    <w:rsid w:val="00B57A8F"/>
    <w:rsid w:val="00B57ABD"/>
    <w:rsid w:val="00B57B80"/>
    <w:rsid w:val="00B57CB9"/>
    <w:rsid w:val="00B57D64"/>
    <w:rsid w:val="00B57D8E"/>
    <w:rsid w:val="00B60182"/>
    <w:rsid w:val="00B60230"/>
    <w:rsid w:val="00B60404"/>
    <w:rsid w:val="00B6047B"/>
    <w:rsid w:val="00B60485"/>
    <w:rsid w:val="00B604B5"/>
    <w:rsid w:val="00B60694"/>
    <w:rsid w:val="00B60695"/>
    <w:rsid w:val="00B606C7"/>
    <w:rsid w:val="00B60709"/>
    <w:rsid w:val="00B607B2"/>
    <w:rsid w:val="00B607E7"/>
    <w:rsid w:val="00B60893"/>
    <w:rsid w:val="00B608F9"/>
    <w:rsid w:val="00B609EE"/>
    <w:rsid w:val="00B60B94"/>
    <w:rsid w:val="00B60BAE"/>
    <w:rsid w:val="00B60DE3"/>
    <w:rsid w:val="00B60E1A"/>
    <w:rsid w:val="00B60EE7"/>
    <w:rsid w:val="00B61022"/>
    <w:rsid w:val="00B6108F"/>
    <w:rsid w:val="00B612C8"/>
    <w:rsid w:val="00B61508"/>
    <w:rsid w:val="00B6154F"/>
    <w:rsid w:val="00B61566"/>
    <w:rsid w:val="00B617B7"/>
    <w:rsid w:val="00B6182B"/>
    <w:rsid w:val="00B6192F"/>
    <w:rsid w:val="00B61A5E"/>
    <w:rsid w:val="00B61A8F"/>
    <w:rsid w:val="00B61AAA"/>
    <w:rsid w:val="00B61E8B"/>
    <w:rsid w:val="00B620FD"/>
    <w:rsid w:val="00B62147"/>
    <w:rsid w:val="00B62191"/>
    <w:rsid w:val="00B6222A"/>
    <w:rsid w:val="00B6234C"/>
    <w:rsid w:val="00B62354"/>
    <w:rsid w:val="00B623A3"/>
    <w:rsid w:val="00B62416"/>
    <w:rsid w:val="00B6241D"/>
    <w:rsid w:val="00B6252A"/>
    <w:rsid w:val="00B62533"/>
    <w:rsid w:val="00B625FD"/>
    <w:rsid w:val="00B628C1"/>
    <w:rsid w:val="00B62916"/>
    <w:rsid w:val="00B62A8C"/>
    <w:rsid w:val="00B62AA6"/>
    <w:rsid w:val="00B62B1B"/>
    <w:rsid w:val="00B62BB7"/>
    <w:rsid w:val="00B62BCB"/>
    <w:rsid w:val="00B62C44"/>
    <w:rsid w:val="00B62D24"/>
    <w:rsid w:val="00B62F7D"/>
    <w:rsid w:val="00B63079"/>
    <w:rsid w:val="00B630FB"/>
    <w:rsid w:val="00B6338E"/>
    <w:rsid w:val="00B633F7"/>
    <w:rsid w:val="00B63412"/>
    <w:rsid w:val="00B634EB"/>
    <w:rsid w:val="00B63525"/>
    <w:rsid w:val="00B635FA"/>
    <w:rsid w:val="00B6388B"/>
    <w:rsid w:val="00B63A26"/>
    <w:rsid w:val="00B63AB9"/>
    <w:rsid w:val="00B63B2F"/>
    <w:rsid w:val="00B63C7E"/>
    <w:rsid w:val="00B63CAD"/>
    <w:rsid w:val="00B63D3E"/>
    <w:rsid w:val="00B63D4D"/>
    <w:rsid w:val="00B63F7C"/>
    <w:rsid w:val="00B63F80"/>
    <w:rsid w:val="00B643AF"/>
    <w:rsid w:val="00B643E5"/>
    <w:rsid w:val="00B644AB"/>
    <w:rsid w:val="00B644BF"/>
    <w:rsid w:val="00B645A9"/>
    <w:rsid w:val="00B645D7"/>
    <w:rsid w:val="00B64657"/>
    <w:rsid w:val="00B64700"/>
    <w:rsid w:val="00B64863"/>
    <w:rsid w:val="00B648F8"/>
    <w:rsid w:val="00B64A21"/>
    <w:rsid w:val="00B64A9B"/>
    <w:rsid w:val="00B64AC1"/>
    <w:rsid w:val="00B64AEF"/>
    <w:rsid w:val="00B64E0A"/>
    <w:rsid w:val="00B64FC6"/>
    <w:rsid w:val="00B65110"/>
    <w:rsid w:val="00B651D4"/>
    <w:rsid w:val="00B65230"/>
    <w:rsid w:val="00B653F7"/>
    <w:rsid w:val="00B6549B"/>
    <w:rsid w:val="00B65858"/>
    <w:rsid w:val="00B65B53"/>
    <w:rsid w:val="00B65B8E"/>
    <w:rsid w:val="00B65D0D"/>
    <w:rsid w:val="00B65DCB"/>
    <w:rsid w:val="00B66458"/>
    <w:rsid w:val="00B6654B"/>
    <w:rsid w:val="00B6662B"/>
    <w:rsid w:val="00B66665"/>
    <w:rsid w:val="00B6668C"/>
    <w:rsid w:val="00B666D5"/>
    <w:rsid w:val="00B6672A"/>
    <w:rsid w:val="00B6677A"/>
    <w:rsid w:val="00B66807"/>
    <w:rsid w:val="00B6684D"/>
    <w:rsid w:val="00B668D1"/>
    <w:rsid w:val="00B66971"/>
    <w:rsid w:val="00B66999"/>
    <w:rsid w:val="00B669B6"/>
    <w:rsid w:val="00B66A65"/>
    <w:rsid w:val="00B66CAF"/>
    <w:rsid w:val="00B66E28"/>
    <w:rsid w:val="00B66EE4"/>
    <w:rsid w:val="00B670D6"/>
    <w:rsid w:val="00B6718C"/>
    <w:rsid w:val="00B67225"/>
    <w:rsid w:val="00B67237"/>
    <w:rsid w:val="00B672A6"/>
    <w:rsid w:val="00B673EE"/>
    <w:rsid w:val="00B675B3"/>
    <w:rsid w:val="00B676B4"/>
    <w:rsid w:val="00B677BD"/>
    <w:rsid w:val="00B6789B"/>
    <w:rsid w:val="00B67920"/>
    <w:rsid w:val="00B679BC"/>
    <w:rsid w:val="00B679D4"/>
    <w:rsid w:val="00B67CDB"/>
    <w:rsid w:val="00B67E3D"/>
    <w:rsid w:val="00B67E72"/>
    <w:rsid w:val="00B67ED4"/>
    <w:rsid w:val="00B70131"/>
    <w:rsid w:val="00B7017F"/>
    <w:rsid w:val="00B70365"/>
    <w:rsid w:val="00B7037D"/>
    <w:rsid w:val="00B703AA"/>
    <w:rsid w:val="00B70488"/>
    <w:rsid w:val="00B7049B"/>
    <w:rsid w:val="00B704BC"/>
    <w:rsid w:val="00B705E3"/>
    <w:rsid w:val="00B7061B"/>
    <w:rsid w:val="00B706A7"/>
    <w:rsid w:val="00B70703"/>
    <w:rsid w:val="00B70855"/>
    <w:rsid w:val="00B70886"/>
    <w:rsid w:val="00B709F6"/>
    <w:rsid w:val="00B70CC5"/>
    <w:rsid w:val="00B70D20"/>
    <w:rsid w:val="00B70EB8"/>
    <w:rsid w:val="00B71013"/>
    <w:rsid w:val="00B71053"/>
    <w:rsid w:val="00B71082"/>
    <w:rsid w:val="00B712FD"/>
    <w:rsid w:val="00B715BC"/>
    <w:rsid w:val="00B715D2"/>
    <w:rsid w:val="00B71766"/>
    <w:rsid w:val="00B71920"/>
    <w:rsid w:val="00B71A37"/>
    <w:rsid w:val="00B71AF1"/>
    <w:rsid w:val="00B71B0F"/>
    <w:rsid w:val="00B71B69"/>
    <w:rsid w:val="00B71CC2"/>
    <w:rsid w:val="00B71E20"/>
    <w:rsid w:val="00B71EA7"/>
    <w:rsid w:val="00B71F20"/>
    <w:rsid w:val="00B71F59"/>
    <w:rsid w:val="00B71FA0"/>
    <w:rsid w:val="00B72108"/>
    <w:rsid w:val="00B72127"/>
    <w:rsid w:val="00B72136"/>
    <w:rsid w:val="00B72151"/>
    <w:rsid w:val="00B722AF"/>
    <w:rsid w:val="00B723FF"/>
    <w:rsid w:val="00B7244A"/>
    <w:rsid w:val="00B72637"/>
    <w:rsid w:val="00B7263E"/>
    <w:rsid w:val="00B7266A"/>
    <w:rsid w:val="00B726CE"/>
    <w:rsid w:val="00B726FB"/>
    <w:rsid w:val="00B7280E"/>
    <w:rsid w:val="00B7292E"/>
    <w:rsid w:val="00B72A67"/>
    <w:rsid w:val="00B72B1F"/>
    <w:rsid w:val="00B72B88"/>
    <w:rsid w:val="00B72BA7"/>
    <w:rsid w:val="00B72C86"/>
    <w:rsid w:val="00B72F29"/>
    <w:rsid w:val="00B72FBF"/>
    <w:rsid w:val="00B72FE6"/>
    <w:rsid w:val="00B73584"/>
    <w:rsid w:val="00B735E3"/>
    <w:rsid w:val="00B736B8"/>
    <w:rsid w:val="00B737A3"/>
    <w:rsid w:val="00B73858"/>
    <w:rsid w:val="00B73994"/>
    <w:rsid w:val="00B73A69"/>
    <w:rsid w:val="00B73A83"/>
    <w:rsid w:val="00B73AE2"/>
    <w:rsid w:val="00B73CD9"/>
    <w:rsid w:val="00B73D04"/>
    <w:rsid w:val="00B73DC4"/>
    <w:rsid w:val="00B73F34"/>
    <w:rsid w:val="00B74005"/>
    <w:rsid w:val="00B7417A"/>
    <w:rsid w:val="00B743AD"/>
    <w:rsid w:val="00B7446B"/>
    <w:rsid w:val="00B744E1"/>
    <w:rsid w:val="00B74507"/>
    <w:rsid w:val="00B745F3"/>
    <w:rsid w:val="00B74631"/>
    <w:rsid w:val="00B74684"/>
    <w:rsid w:val="00B74871"/>
    <w:rsid w:val="00B74990"/>
    <w:rsid w:val="00B749AA"/>
    <w:rsid w:val="00B74A05"/>
    <w:rsid w:val="00B74A62"/>
    <w:rsid w:val="00B74A6E"/>
    <w:rsid w:val="00B74C13"/>
    <w:rsid w:val="00B74C3D"/>
    <w:rsid w:val="00B74C8B"/>
    <w:rsid w:val="00B74DF5"/>
    <w:rsid w:val="00B74EC8"/>
    <w:rsid w:val="00B74F30"/>
    <w:rsid w:val="00B7500B"/>
    <w:rsid w:val="00B752E4"/>
    <w:rsid w:val="00B7540E"/>
    <w:rsid w:val="00B754A4"/>
    <w:rsid w:val="00B75576"/>
    <w:rsid w:val="00B75670"/>
    <w:rsid w:val="00B7569C"/>
    <w:rsid w:val="00B7576A"/>
    <w:rsid w:val="00B758BA"/>
    <w:rsid w:val="00B75944"/>
    <w:rsid w:val="00B7598E"/>
    <w:rsid w:val="00B75AEF"/>
    <w:rsid w:val="00B75B07"/>
    <w:rsid w:val="00B75B2F"/>
    <w:rsid w:val="00B75CF4"/>
    <w:rsid w:val="00B75D46"/>
    <w:rsid w:val="00B75F31"/>
    <w:rsid w:val="00B7605A"/>
    <w:rsid w:val="00B76086"/>
    <w:rsid w:val="00B760C4"/>
    <w:rsid w:val="00B76147"/>
    <w:rsid w:val="00B76277"/>
    <w:rsid w:val="00B762B3"/>
    <w:rsid w:val="00B76455"/>
    <w:rsid w:val="00B7648C"/>
    <w:rsid w:val="00B76564"/>
    <w:rsid w:val="00B7657C"/>
    <w:rsid w:val="00B76636"/>
    <w:rsid w:val="00B766B5"/>
    <w:rsid w:val="00B767BA"/>
    <w:rsid w:val="00B76934"/>
    <w:rsid w:val="00B76AB6"/>
    <w:rsid w:val="00B76ACA"/>
    <w:rsid w:val="00B76BC8"/>
    <w:rsid w:val="00B76BD2"/>
    <w:rsid w:val="00B76C9D"/>
    <w:rsid w:val="00B76D98"/>
    <w:rsid w:val="00B76DA5"/>
    <w:rsid w:val="00B76E13"/>
    <w:rsid w:val="00B76F7D"/>
    <w:rsid w:val="00B76FD5"/>
    <w:rsid w:val="00B76FD8"/>
    <w:rsid w:val="00B7700F"/>
    <w:rsid w:val="00B77056"/>
    <w:rsid w:val="00B772C5"/>
    <w:rsid w:val="00B772FD"/>
    <w:rsid w:val="00B775B5"/>
    <w:rsid w:val="00B775F1"/>
    <w:rsid w:val="00B77715"/>
    <w:rsid w:val="00B7773F"/>
    <w:rsid w:val="00B77811"/>
    <w:rsid w:val="00B778EC"/>
    <w:rsid w:val="00B77914"/>
    <w:rsid w:val="00B7797A"/>
    <w:rsid w:val="00B77A23"/>
    <w:rsid w:val="00B77A32"/>
    <w:rsid w:val="00B77AA5"/>
    <w:rsid w:val="00B77B5F"/>
    <w:rsid w:val="00B77D64"/>
    <w:rsid w:val="00B77E11"/>
    <w:rsid w:val="00B77E67"/>
    <w:rsid w:val="00B77E97"/>
    <w:rsid w:val="00B77F16"/>
    <w:rsid w:val="00B77FBB"/>
    <w:rsid w:val="00B77FCF"/>
    <w:rsid w:val="00B77FFC"/>
    <w:rsid w:val="00B80075"/>
    <w:rsid w:val="00B801E5"/>
    <w:rsid w:val="00B802B6"/>
    <w:rsid w:val="00B803B4"/>
    <w:rsid w:val="00B803E6"/>
    <w:rsid w:val="00B804B5"/>
    <w:rsid w:val="00B80521"/>
    <w:rsid w:val="00B805B3"/>
    <w:rsid w:val="00B8061D"/>
    <w:rsid w:val="00B806A3"/>
    <w:rsid w:val="00B8074E"/>
    <w:rsid w:val="00B808CA"/>
    <w:rsid w:val="00B80940"/>
    <w:rsid w:val="00B8097A"/>
    <w:rsid w:val="00B80A60"/>
    <w:rsid w:val="00B80A7C"/>
    <w:rsid w:val="00B80B36"/>
    <w:rsid w:val="00B80B59"/>
    <w:rsid w:val="00B80B66"/>
    <w:rsid w:val="00B80CEC"/>
    <w:rsid w:val="00B80DAD"/>
    <w:rsid w:val="00B80FC1"/>
    <w:rsid w:val="00B80FC6"/>
    <w:rsid w:val="00B81059"/>
    <w:rsid w:val="00B810E2"/>
    <w:rsid w:val="00B811B0"/>
    <w:rsid w:val="00B812F8"/>
    <w:rsid w:val="00B8130F"/>
    <w:rsid w:val="00B81324"/>
    <w:rsid w:val="00B8169A"/>
    <w:rsid w:val="00B8169C"/>
    <w:rsid w:val="00B8180D"/>
    <w:rsid w:val="00B81966"/>
    <w:rsid w:val="00B819B8"/>
    <w:rsid w:val="00B819C4"/>
    <w:rsid w:val="00B81AF0"/>
    <w:rsid w:val="00B81BAD"/>
    <w:rsid w:val="00B81C0B"/>
    <w:rsid w:val="00B81C19"/>
    <w:rsid w:val="00B81E08"/>
    <w:rsid w:val="00B81E90"/>
    <w:rsid w:val="00B8203C"/>
    <w:rsid w:val="00B82225"/>
    <w:rsid w:val="00B82280"/>
    <w:rsid w:val="00B824AB"/>
    <w:rsid w:val="00B8254C"/>
    <w:rsid w:val="00B825C0"/>
    <w:rsid w:val="00B82679"/>
    <w:rsid w:val="00B827F7"/>
    <w:rsid w:val="00B82846"/>
    <w:rsid w:val="00B82950"/>
    <w:rsid w:val="00B82A7B"/>
    <w:rsid w:val="00B82A8E"/>
    <w:rsid w:val="00B82B06"/>
    <w:rsid w:val="00B82B88"/>
    <w:rsid w:val="00B82D67"/>
    <w:rsid w:val="00B82E6E"/>
    <w:rsid w:val="00B82F5F"/>
    <w:rsid w:val="00B82F77"/>
    <w:rsid w:val="00B830E8"/>
    <w:rsid w:val="00B83114"/>
    <w:rsid w:val="00B8340D"/>
    <w:rsid w:val="00B83442"/>
    <w:rsid w:val="00B834A1"/>
    <w:rsid w:val="00B8389C"/>
    <w:rsid w:val="00B838D8"/>
    <w:rsid w:val="00B8396F"/>
    <w:rsid w:val="00B83AEF"/>
    <w:rsid w:val="00B83AF4"/>
    <w:rsid w:val="00B83CFF"/>
    <w:rsid w:val="00B83D34"/>
    <w:rsid w:val="00B83D53"/>
    <w:rsid w:val="00B83DA1"/>
    <w:rsid w:val="00B83EBF"/>
    <w:rsid w:val="00B84000"/>
    <w:rsid w:val="00B8415C"/>
    <w:rsid w:val="00B8416B"/>
    <w:rsid w:val="00B84214"/>
    <w:rsid w:val="00B8431D"/>
    <w:rsid w:val="00B8432F"/>
    <w:rsid w:val="00B8439C"/>
    <w:rsid w:val="00B84439"/>
    <w:rsid w:val="00B84764"/>
    <w:rsid w:val="00B8484B"/>
    <w:rsid w:val="00B84A03"/>
    <w:rsid w:val="00B84A16"/>
    <w:rsid w:val="00B84A5F"/>
    <w:rsid w:val="00B84A83"/>
    <w:rsid w:val="00B84D05"/>
    <w:rsid w:val="00B84D24"/>
    <w:rsid w:val="00B84D41"/>
    <w:rsid w:val="00B84D87"/>
    <w:rsid w:val="00B84E1F"/>
    <w:rsid w:val="00B8505C"/>
    <w:rsid w:val="00B850C4"/>
    <w:rsid w:val="00B851C9"/>
    <w:rsid w:val="00B8520D"/>
    <w:rsid w:val="00B8528D"/>
    <w:rsid w:val="00B85354"/>
    <w:rsid w:val="00B8538C"/>
    <w:rsid w:val="00B853F7"/>
    <w:rsid w:val="00B8547D"/>
    <w:rsid w:val="00B854CC"/>
    <w:rsid w:val="00B85513"/>
    <w:rsid w:val="00B85594"/>
    <w:rsid w:val="00B85619"/>
    <w:rsid w:val="00B856F9"/>
    <w:rsid w:val="00B85750"/>
    <w:rsid w:val="00B85B0E"/>
    <w:rsid w:val="00B85BBE"/>
    <w:rsid w:val="00B85BF7"/>
    <w:rsid w:val="00B85C4C"/>
    <w:rsid w:val="00B85E46"/>
    <w:rsid w:val="00B85E83"/>
    <w:rsid w:val="00B85EC0"/>
    <w:rsid w:val="00B85F2C"/>
    <w:rsid w:val="00B861BC"/>
    <w:rsid w:val="00B86255"/>
    <w:rsid w:val="00B862BA"/>
    <w:rsid w:val="00B86305"/>
    <w:rsid w:val="00B8631F"/>
    <w:rsid w:val="00B86531"/>
    <w:rsid w:val="00B865B6"/>
    <w:rsid w:val="00B866BA"/>
    <w:rsid w:val="00B866FF"/>
    <w:rsid w:val="00B86766"/>
    <w:rsid w:val="00B868A1"/>
    <w:rsid w:val="00B8691E"/>
    <w:rsid w:val="00B869F1"/>
    <w:rsid w:val="00B86A48"/>
    <w:rsid w:val="00B86BA0"/>
    <w:rsid w:val="00B86C39"/>
    <w:rsid w:val="00B86DAF"/>
    <w:rsid w:val="00B87037"/>
    <w:rsid w:val="00B87064"/>
    <w:rsid w:val="00B87089"/>
    <w:rsid w:val="00B8709D"/>
    <w:rsid w:val="00B87132"/>
    <w:rsid w:val="00B87191"/>
    <w:rsid w:val="00B871CC"/>
    <w:rsid w:val="00B873F9"/>
    <w:rsid w:val="00B87432"/>
    <w:rsid w:val="00B8748E"/>
    <w:rsid w:val="00B87692"/>
    <w:rsid w:val="00B87ABE"/>
    <w:rsid w:val="00B87CD6"/>
    <w:rsid w:val="00B87DF8"/>
    <w:rsid w:val="00B87E78"/>
    <w:rsid w:val="00B87E91"/>
    <w:rsid w:val="00B87EDA"/>
    <w:rsid w:val="00B9038B"/>
    <w:rsid w:val="00B90716"/>
    <w:rsid w:val="00B907E0"/>
    <w:rsid w:val="00B907E9"/>
    <w:rsid w:val="00B90868"/>
    <w:rsid w:val="00B90979"/>
    <w:rsid w:val="00B90A14"/>
    <w:rsid w:val="00B90D0D"/>
    <w:rsid w:val="00B90E39"/>
    <w:rsid w:val="00B90E85"/>
    <w:rsid w:val="00B91081"/>
    <w:rsid w:val="00B910A8"/>
    <w:rsid w:val="00B91113"/>
    <w:rsid w:val="00B91125"/>
    <w:rsid w:val="00B91179"/>
    <w:rsid w:val="00B9129D"/>
    <w:rsid w:val="00B91323"/>
    <w:rsid w:val="00B91354"/>
    <w:rsid w:val="00B9143C"/>
    <w:rsid w:val="00B91446"/>
    <w:rsid w:val="00B91585"/>
    <w:rsid w:val="00B91758"/>
    <w:rsid w:val="00B917E2"/>
    <w:rsid w:val="00B918B1"/>
    <w:rsid w:val="00B919A9"/>
    <w:rsid w:val="00B91B98"/>
    <w:rsid w:val="00B91BEF"/>
    <w:rsid w:val="00B91D66"/>
    <w:rsid w:val="00B91DD7"/>
    <w:rsid w:val="00B91DE7"/>
    <w:rsid w:val="00B91E04"/>
    <w:rsid w:val="00B9203E"/>
    <w:rsid w:val="00B9208D"/>
    <w:rsid w:val="00B9226A"/>
    <w:rsid w:val="00B92456"/>
    <w:rsid w:val="00B92498"/>
    <w:rsid w:val="00B927BC"/>
    <w:rsid w:val="00B92B35"/>
    <w:rsid w:val="00B92BB7"/>
    <w:rsid w:val="00B92D6B"/>
    <w:rsid w:val="00B92E4E"/>
    <w:rsid w:val="00B92EDF"/>
    <w:rsid w:val="00B92F88"/>
    <w:rsid w:val="00B92FAD"/>
    <w:rsid w:val="00B93029"/>
    <w:rsid w:val="00B93030"/>
    <w:rsid w:val="00B9329B"/>
    <w:rsid w:val="00B932FB"/>
    <w:rsid w:val="00B93381"/>
    <w:rsid w:val="00B93411"/>
    <w:rsid w:val="00B9373D"/>
    <w:rsid w:val="00B9375A"/>
    <w:rsid w:val="00B937EE"/>
    <w:rsid w:val="00B93844"/>
    <w:rsid w:val="00B93873"/>
    <w:rsid w:val="00B938BD"/>
    <w:rsid w:val="00B939D0"/>
    <w:rsid w:val="00B939E3"/>
    <w:rsid w:val="00B939F1"/>
    <w:rsid w:val="00B93A70"/>
    <w:rsid w:val="00B94038"/>
    <w:rsid w:val="00B940E9"/>
    <w:rsid w:val="00B941E7"/>
    <w:rsid w:val="00B94251"/>
    <w:rsid w:val="00B944D4"/>
    <w:rsid w:val="00B94500"/>
    <w:rsid w:val="00B94657"/>
    <w:rsid w:val="00B947D8"/>
    <w:rsid w:val="00B94816"/>
    <w:rsid w:val="00B94925"/>
    <w:rsid w:val="00B9493A"/>
    <w:rsid w:val="00B94B86"/>
    <w:rsid w:val="00B94B8A"/>
    <w:rsid w:val="00B94C06"/>
    <w:rsid w:val="00B94C4F"/>
    <w:rsid w:val="00B94C69"/>
    <w:rsid w:val="00B94C73"/>
    <w:rsid w:val="00B94CFD"/>
    <w:rsid w:val="00B94EB2"/>
    <w:rsid w:val="00B94F33"/>
    <w:rsid w:val="00B94FD5"/>
    <w:rsid w:val="00B950C1"/>
    <w:rsid w:val="00B951E9"/>
    <w:rsid w:val="00B953C3"/>
    <w:rsid w:val="00B9556C"/>
    <w:rsid w:val="00B95687"/>
    <w:rsid w:val="00B956A6"/>
    <w:rsid w:val="00B95733"/>
    <w:rsid w:val="00B95776"/>
    <w:rsid w:val="00B95861"/>
    <w:rsid w:val="00B9594A"/>
    <w:rsid w:val="00B959E1"/>
    <w:rsid w:val="00B95BE7"/>
    <w:rsid w:val="00B95C6F"/>
    <w:rsid w:val="00B95CD3"/>
    <w:rsid w:val="00B95E4F"/>
    <w:rsid w:val="00B95FAF"/>
    <w:rsid w:val="00B95FD3"/>
    <w:rsid w:val="00B96077"/>
    <w:rsid w:val="00B96092"/>
    <w:rsid w:val="00B960AC"/>
    <w:rsid w:val="00B96299"/>
    <w:rsid w:val="00B96322"/>
    <w:rsid w:val="00B96334"/>
    <w:rsid w:val="00B96485"/>
    <w:rsid w:val="00B96550"/>
    <w:rsid w:val="00B965CC"/>
    <w:rsid w:val="00B966AE"/>
    <w:rsid w:val="00B96794"/>
    <w:rsid w:val="00B9696B"/>
    <w:rsid w:val="00B96988"/>
    <w:rsid w:val="00B969DF"/>
    <w:rsid w:val="00B96A6C"/>
    <w:rsid w:val="00B96B3C"/>
    <w:rsid w:val="00B96D81"/>
    <w:rsid w:val="00B96D8C"/>
    <w:rsid w:val="00B96E51"/>
    <w:rsid w:val="00B96E8C"/>
    <w:rsid w:val="00B97114"/>
    <w:rsid w:val="00B97206"/>
    <w:rsid w:val="00B97252"/>
    <w:rsid w:val="00B9728C"/>
    <w:rsid w:val="00B9734C"/>
    <w:rsid w:val="00B973BC"/>
    <w:rsid w:val="00B9762E"/>
    <w:rsid w:val="00B9765F"/>
    <w:rsid w:val="00B9784F"/>
    <w:rsid w:val="00B978D5"/>
    <w:rsid w:val="00B97951"/>
    <w:rsid w:val="00B979FF"/>
    <w:rsid w:val="00B97A34"/>
    <w:rsid w:val="00B97B97"/>
    <w:rsid w:val="00B97BAE"/>
    <w:rsid w:val="00B97E81"/>
    <w:rsid w:val="00B97F93"/>
    <w:rsid w:val="00B989AB"/>
    <w:rsid w:val="00BA0028"/>
    <w:rsid w:val="00BA0035"/>
    <w:rsid w:val="00BA020E"/>
    <w:rsid w:val="00BA03D0"/>
    <w:rsid w:val="00BA046E"/>
    <w:rsid w:val="00BA0508"/>
    <w:rsid w:val="00BA0514"/>
    <w:rsid w:val="00BA051F"/>
    <w:rsid w:val="00BA06D9"/>
    <w:rsid w:val="00BA0851"/>
    <w:rsid w:val="00BA0B19"/>
    <w:rsid w:val="00BA0BAC"/>
    <w:rsid w:val="00BA0BC9"/>
    <w:rsid w:val="00BA0BDC"/>
    <w:rsid w:val="00BA0C6D"/>
    <w:rsid w:val="00BA0FCA"/>
    <w:rsid w:val="00BA103E"/>
    <w:rsid w:val="00BA12DE"/>
    <w:rsid w:val="00BA1347"/>
    <w:rsid w:val="00BA15D2"/>
    <w:rsid w:val="00BA15E7"/>
    <w:rsid w:val="00BA160C"/>
    <w:rsid w:val="00BA16C3"/>
    <w:rsid w:val="00BA16CF"/>
    <w:rsid w:val="00BA1960"/>
    <w:rsid w:val="00BA19D7"/>
    <w:rsid w:val="00BA1BD7"/>
    <w:rsid w:val="00BA1D1D"/>
    <w:rsid w:val="00BA1E35"/>
    <w:rsid w:val="00BA1FD1"/>
    <w:rsid w:val="00BA203E"/>
    <w:rsid w:val="00BA231C"/>
    <w:rsid w:val="00BA245A"/>
    <w:rsid w:val="00BA2522"/>
    <w:rsid w:val="00BA254D"/>
    <w:rsid w:val="00BA25E8"/>
    <w:rsid w:val="00BA279B"/>
    <w:rsid w:val="00BA27A9"/>
    <w:rsid w:val="00BA29DB"/>
    <w:rsid w:val="00BA2A50"/>
    <w:rsid w:val="00BA2CE1"/>
    <w:rsid w:val="00BA2CF6"/>
    <w:rsid w:val="00BA2D1C"/>
    <w:rsid w:val="00BA2EDB"/>
    <w:rsid w:val="00BA2FBC"/>
    <w:rsid w:val="00BA2FCC"/>
    <w:rsid w:val="00BA30D7"/>
    <w:rsid w:val="00BA3100"/>
    <w:rsid w:val="00BA3127"/>
    <w:rsid w:val="00BA349F"/>
    <w:rsid w:val="00BA3526"/>
    <w:rsid w:val="00BA3687"/>
    <w:rsid w:val="00BA36DC"/>
    <w:rsid w:val="00BA3738"/>
    <w:rsid w:val="00BA375C"/>
    <w:rsid w:val="00BA37CA"/>
    <w:rsid w:val="00BA37D8"/>
    <w:rsid w:val="00BA392A"/>
    <w:rsid w:val="00BA3933"/>
    <w:rsid w:val="00BA3A1E"/>
    <w:rsid w:val="00BA3AA9"/>
    <w:rsid w:val="00BA3B37"/>
    <w:rsid w:val="00BA3C40"/>
    <w:rsid w:val="00BA3C7B"/>
    <w:rsid w:val="00BA3D11"/>
    <w:rsid w:val="00BA3DC0"/>
    <w:rsid w:val="00BA3E86"/>
    <w:rsid w:val="00BA4038"/>
    <w:rsid w:val="00BA41DB"/>
    <w:rsid w:val="00BA42D3"/>
    <w:rsid w:val="00BA4327"/>
    <w:rsid w:val="00BA43BC"/>
    <w:rsid w:val="00BA445F"/>
    <w:rsid w:val="00BA4759"/>
    <w:rsid w:val="00BA47FC"/>
    <w:rsid w:val="00BA4859"/>
    <w:rsid w:val="00BA4972"/>
    <w:rsid w:val="00BA49EF"/>
    <w:rsid w:val="00BA4AFF"/>
    <w:rsid w:val="00BA4BCB"/>
    <w:rsid w:val="00BA4C8F"/>
    <w:rsid w:val="00BA4CE1"/>
    <w:rsid w:val="00BA4CE4"/>
    <w:rsid w:val="00BA4D04"/>
    <w:rsid w:val="00BA4D6D"/>
    <w:rsid w:val="00BA5059"/>
    <w:rsid w:val="00BA538B"/>
    <w:rsid w:val="00BA53FB"/>
    <w:rsid w:val="00BA5474"/>
    <w:rsid w:val="00BA5477"/>
    <w:rsid w:val="00BA569F"/>
    <w:rsid w:val="00BA571E"/>
    <w:rsid w:val="00BA5750"/>
    <w:rsid w:val="00BA587A"/>
    <w:rsid w:val="00BA597C"/>
    <w:rsid w:val="00BA5AC3"/>
    <w:rsid w:val="00BA5D12"/>
    <w:rsid w:val="00BA5D3B"/>
    <w:rsid w:val="00BA5F48"/>
    <w:rsid w:val="00BA6019"/>
    <w:rsid w:val="00BA6045"/>
    <w:rsid w:val="00BA60F3"/>
    <w:rsid w:val="00BA6127"/>
    <w:rsid w:val="00BA6133"/>
    <w:rsid w:val="00BA617E"/>
    <w:rsid w:val="00BA61E0"/>
    <w:rsid w:val="00BA62D0"/>
    <w:rsid w:val="00BA62EA"/>
    <w:rsid w:val="00BA639B"/>
    <w:rsid w:val="00BA6773"/>
    <w:rsid w:val="00BA6791"/>
    <w:rsid w:val="00BA67E8"/>
    <w:rsid w:val="00BA688D"/>
    <w:rsid w:val="00BA6ACC"/>
    <w:rsid w:val="00BA6EF2"/>
    <w:rsid w:val="00BA6F4D"/>
    <w:rsid w:val="00BA6F70"/>
    <w:rsid w:val="00BA700A"/>
    <w:rsid w:val="00BA7163"/>
    <w:rsid w:val="00BA71C3"/>
    <w:rsid w:val="00BA72AD"/>
    <w:rsid w:val="00BA72DD"/>
    <w:rsid w:val="00BA7354"/>
    <w:rsid w:val="00BA75A9"/>
    <w:rsid w:val="00BA7640"/>
    <w:rsid w:val="00BA7672"/>
    <w:rsid w:val="00BA781F"/>
    <w:rsid w:val="00BA7862"/>
    <w:rsid w:val="00BA7995"/>
    <w:rsid w:val="00BA7A21"/>
    <w:rsid w:val="00BA7A46"/>
    <w:rsid w:val="00BA7AB1"/>
    <w:rsid w:val="00BA7BC2"/>
    <w:rsid w:val="00BA7E09"/>
    <w:rsid w:val="00BA7E86"/>
    <w:rsid w:val="00BA7EC7"/>
    <w:rsid w:val="00BA7F01"/>
    <w:rsid w:val="00BA7F1E"/>
    <w:rsid w:val="00BA7F28"/>
    <w:rsid w:val="00BA7F98"/>
    <w:rsid w:val="00BB0182"/>
    <w:rsid w:val="00BB01B3"/>
    <w:rsid w:val="00BB0217"/>
    <w:rsid w:val="00BB0224"/>
    <w:rsid w:val="00BB0235"/>
    <w:rsid w:val="00BB03E0"/>
    <w:rsid w:val="00BB03FB"/>
    <w:rsid w:val="00BB05D8"/>
    <w:rsid w:val="00BB061D"/>
    <w:rsid w:val="00BB06A8"/>
    <w:rsid w:val="00BB0702"/>
    <w:rsid w:val="00BB096D"/>
    <w:rsid w:val="00BB0B9C"/>
    <w:rsid w:val="00BB0D06"/>
    <w:rsid w:val="00BB0DD9"/>
    <w:rsid w:val="00BB0E29"/>
    <w:rsid w:val="00BB0E7D"/>
    <w:rsid w:val="00BB0F2D"/>
    <w:rsid w:val="00BB1047"/>
    <w:rsid w:val="00BB112F"/>
    <w:rsid w:val="00BB11F1"/>
    <w:rsid w:val="00BB12C0"/>
    <w:rsid w:val="00BB1336"/>
    <w:rsid w:val="00BB1403"/>
    <w:rsid w:val="00BB1427"/>
    <w:rsid w:val="00BB14E3"/>
    <w:rsid w:val="00BB15CD"/>
    <w:rsid w:val="00BB16A9"/>
    <w:rsid w:val="00BB18D6"/>
    <w:rsid w:val="00BB1960"/>
    <w:rsid w:val="00BB1A2A"/>
    <w:rsid w:val="00BB1B57"/>
    <w:rsid w:val="00BB1B80"/>
    <w:rsid w:val="00BB1C5E"/>
    <w:rsid w:val="00BB1C8D"/>
    <w:rsid w:val="00BB1D4F"/>
    <w:rsid w:val="00BB1E4C"/>
    <w:rsid w:val="00BB1FAB"/>
    <w:rsid w:val="00BB22D4"/>
    <w:rsid w:val="00BB2402"/>
    <w:rsid w:val="00BB248D"/>
    <w:rsid w:val="00BB2515"/>
    <w:rsid w:val="00BB259F"/>
    <w:rsid w:val="00BB2756"/>
    <w:rsid w:val="00BB27C3"/>
    <w:rsid w:val="00BB27CC"/>
    <w:rsid w:val="00BB27E4"/>
    <w:rsid w:val="00BB28EB"/>
    <w:rsid w:val="00BB2988"/>
    <w:rsid w:val="00BB2A9C"/>
    <w:rsid w:val="00BB2AAB"/>
    <w:rsid w:val="00BB2F60"/>
    <w:rsid w:val="00BB3007"/>
    <w:rsid w:val="00BB3066"/>
    <w:rsid w:val="00BB308F"/>
    <w:rsid w:val="00BB347A"/>
    <w:rsid w:val="00BB34C8"/>
    <w:rsid w:val="00BB34FF"/>
    <w:rsid w:val="00BB3510"/>
    <w:rsid w:val="00BB3603"/>
    <w:rsid w:val="00BB3755"/>
    <w:rsid w:val="00BB3843"/>
    <w:rsid w:val="00BB3A14"/>
    <w:rsid w:val="00BB3B50"/>
    <w:rsid w:val="00BB3B51"/>
    <w:rsid w:val="00BB3CD6"/>
    <w:rsid w:val="00BB3CED"/>
    <w:rsid w:val="00BB3D02"/>
    <w:rsid w:val="00BB3F6E"/>
    <w:rsid w:val="00BB40CC"/>
    <w:rsid w:val="00BB41F0"/>
    <w:rsid w:val="00BB424E"/>
    <w:rsid w:val="00BB42A8"/>
    <w:rsid w:val="00BB4472"/>
    <w:rsid w:val="00BB44B4"/>
    <w:rsid w:val="00BB459D"/>
    <w:rsid w:val="00BB45DA"/>
    <w:rsid w:val="00BB4680"/>
    <w:rsid w:val="00BB494D"/>
    <w:rsid w:val="00BB4A3F"/>
    <w:rsid w:val="00BB4AFD"/>
    <w:rsid w:val="00BB4B61"/>
    <w:rsid w:val="00BB4BC0"/>
    <w:rsid w:val="00BB4BF7"/>
    <w:rsid w:val="00BB4C3C"/>
    <w:rsid w:val="00BB4C8B"/>
    <w:rsid w:val="00BB4C91"/>
    <w:rsid w:val="00BB4E18"/>
    <w:rsid w:val="00BB4E1E"/>
    <w:rsid w:val="00BB4E2F"/>
    <w:rsid w:val="00BB4E40"/>
    <w:rsid w:val="00BB4E4C"/>
    <w:rsid w:val="00BB500B"/>
    <w:rsid w:val="00BB50DC"/>
    <w:rsid w:val="00BB5110"/>
    <w:rsid w:val="00BB5151"/>
    <w:rsid w:val="00BB518A"/>
    <w:rsid w:val="00BB524A"/>
    <w:rsid w:val="00BB5412"/>
    <w:rsid w:val="00BB5426"/>
    <w:rsid w:val="00BB54E1"/>
    <w:rsid w:val="00BB55CD"/>
    <w:rsid w:val="00BB5753"/>
    <w:rsid w:val="00BB5803"/>
    <w:rsid w:val="00BB5995"/>
    <w:rsid w:val="00BB5A77"/>
    <w:rsid w:val="00BB5AF1"/>
    <w:rsid w:val="00BB5B4A"/>
    <w:rsid w:val="00BB5B8F"/>
    <w:rsid w:val="00BB5BDD"/>
    <w:rsid w:val="00BB5C41"/>
    <w:rsid w:val="00BB5C61"/>
    <w:rsid w:val="00BB5D59"/>
    <w:rsid w:val="00BB5DE0"/>
    <w:rsid w:val="00BB5F43"/>
    <w:rsid w:val="00BB6093"/>
    <w:rsid w:val="00BB60C1"/>
    <w:rsid w:val="00BB60FF"/>
    <w:rsid w:val="00BB6272"/>
    <w:rsid w:val="00BB62E6"/>
    <w:rsid w:val="00BB64DD"/>
    <w:rsid w:val="00BB64FD"/>
    <w:rsid w:val="00BB6519"/>
    <w:rsid w:val="00BB659F"/>
    <w:rsid w:val="00BB66AD"/>
    <w:rsid w:val="00BB682F"/>
    <w:rsid w:val="00BB68E0"/>
    <w:rsid w:val="00BB6919"/>
    <w:rsid w:val="00BB69CD"/>
    <w:rsid w:val="00BB6A0F"/>
    <w:rsid w:val="00BB6A5B"/>
    <w:rsid w:val="00BB6B71"/>
    <w:rsid w:val="00BB6BE5"/>
    <w:rsid w:val="00BB6BE7"/>
    <w:rsid w:val="00BB6CD3"/>
    <w:rsid w:val="00BB6DE9"/>
    <w:rsid w:val="00BB6F1D"/>
    <w:rsid w:val="00BB701C"/>
    <w:rsid w:val="00BB7042"/>
    <w:rsid w:val="00BB7051"/>
    <w:rsid w:val="00BB719E"/>
    <w:rsid w:val="00BB71F2"/>
    <w:rsid w:val="00BB72A1"/>
    <w:rsid w:val="00BB7489"/>
    <w:rsid w:val="00BB7501"/>
    <w:rsid w:val="00BB7638"/>
    <w:rsid w:val="00BB77C6"/>
    <w:rsid w:val="00BB77F1"/>
    <w:rsid w:val="00BB7801"/>
    <w:rsid w:val="00BB7832"/>
    <w:rsid w:val="00BB7842"/>
    <w:rsid w:val="00BB7AA7"/>
    <w:rsid w:val="00BB7AB7"/>
    <w:rsid w:val="00BB7BC6"/>
    <w:rsid w:val="00BB7BD0"/>
    <w:rsid w:val="00BB7BF1"/>
    <w:rsid w:val="00BB7C48"/>
    <w:rsid w:val="00BB7DD8"/>
    <w:rsid w:val="00BB7E1C"/>
    <w:rsid w:val="00BB7EF1"/>
    <w:rsid w:val="00BC0063"/>
    <w:rsid w:val="00BC0084"/>
    <w:rsid w:val="00BC00BB"/>
    <w:rsid w:val="00BC012B"/>
    <w:rsid w:val="00BC01FD"/>
    <w:rsid w:val="00BC02A1"/>
    <w:rsid w:val="00BC03BC"/>
    <w:rsid w:val="00BC0638"/>
    <w:rsid w:val="00BC0684"/>
    <w:rsid w:val="00BC06AE"/>
    <w:rsid w:val="00BC0765"/>
    <w:rsid w:val="00BC0811"/>
    <w:rsid w:val="00BC0866"/>
    <w:rsid w:val="00BC0A29"/>
    <w:rsid w:val="00BC0B23"/>
    <w:rsid w:val="00BC0D98"/>
    <w:rsid w:val="00BC0ECA"/>
    <w:rsid w:val="00BC1016"/>
    <w:rsid w:val="00BC1029"/>
    <w:rsid w:val="00BC1050"/>
    <w:rsid w:val="00BC117C"/>
    <w:rsid w:val="00BC1254"/>
    <w:rsid w:val="00BC14D8"/>
    <w:rsid w:val="00BC1512"/>
    <w:rsid w:val="00BC157C"/>
    <w:rsid w:val="00BC15AC"/>
    <w:rsid w:val="00BC1602"/>
    <w:rsid w:val="00BC1690"/>
    <w:rsid w:val="00BC17A6"/>
    <w:rsid w:val="00BC17E6"/>
    <w:rsid w:val="00BC193D"/>
    <w:rsid w:val="00BC1B8F"/>
    <w:rsid w:val="00BC1C20"/>
    <w:rsid w:val="00BC1D9C"/>
    <w:rsid w:val="00BC1DBF"/>
    <w:rsid w:val="00BC1E79"/>
    <w:rsid w:val="00BC1F12"/>
    <w:rsid w:val="00BC2012"/>
    <w:rsid w:val="00BC233B"/>
    <w:rsid w:val="00BC236F"/>
    <w:rsid w:val="00BC2474"/>
    <w:rsid w:val="00BC25A9"/>
    <w:rsid w:val="00BC25DF"/>
    <w:rsid w:val="00BC26F4"/>
    <w:rsid w:val="00BC29F2"/>
    <w:rsid w:val="00BC2A18"/>
    <w:rsid w:val="00BC2C8E"/>
    <w:rsid w:val="00BC2D32"/>
    <w:rsid w:val="00BC2E6C"/>
    <w:rsid w:val="00BC2F6C"/>
    <w:rsid w:val="00BC301D"/>
    <w:rsid w:val="00BC3069"/>
    <w:rsid w:val="00BC3118"/>
    <w:rsid w:val="00BC3244"/>
    <w:rsid w:val="00BC3304"/>
    <w:rsid w:val="00BC350C"/>
    <w:rsid w:val="00BC3552"/>
    <w:rsid w:val="00BC3618"/>
    <w:rsid w:val="00BC36AD"/>
    <w:rsid w:val="00BC370E"/>
    <w:rsid w:val="00BC3937"/>
    <w:rsid w:val="00BC3A1F"/>
    <w:rsid w:val="00BC3C3C"/>
    <w:rsid w:val="00BC3CF9"/>
    <w:rsid w:val="00BC406F"/>
    <w:rsid w:val="00BC409C"/>
    <w:rsid w:val="00BC40E4"/>
    <w:rsid w:val="00BC4285"/>
    <w:rsid w:val="00BC42A6"/>
    <w:rsid w:val="00BC4386"/>
    <w:rsid w:val="00BC438F"/>
    <w:rsid w:val="00BC43F9"/>
    <w:rsid w:val="00BC4534"/>
    <w:rsid w:val="00BC4692"/>
    <w:rsid w:val="00BC46C6"/>
    <w:rsid w:val="00BC4A72"/>
    <w:rsid w:val="00BC4A8F"/>
    <w:rsid w:val="00BC4AA6"/>
    <w:rsid w:val="00BC4B0A"/>
    <w:rsid w:val="00BC4BF9"/>
    <w:rsid w:val="00BC4D7D"/>
    <w:rsid w:val="00BC4E24"/>
    <w:rsid w:val="00BC4EE5"/>
    <w:rsid w:val="00BC5284"/>
    <w:rsid w:val="00BC52AD"/>
    <w:rsid w:val="00BC5377"/>
    <w:rsid w:val="00BC53D4"/>
    <w:rsid w:val="00BC5531"/>
    <w:rsid w:val="00BC5572"/>
    <w:rsid w:val="00BC559B"/>
    <w:rsid w:val="00BC55C0"/>
    <w:rsid w:val="00BC55EB"/>
    <w:rsid w:val="00BC5605"/>
    <w:rsid w:val="00BC578A"/>
    <w:rsid w:val="00BC57BC"/>
    <w:rsid w:val="00BC58CC"/>
    <w:rsid w:val="00BC5915"/>
    <w:rsid w:val="00BC5ABE"/>
    <w:rsid w:val="00BC5BEC"/>
    <w:rsid w:val="00BC5E44"/>
    <w:rsid w:val="00BC6042"/>
    <w:rsid w:val="00BC645E"/>
    <w:rsid w:val="00BC64C9"/>
    <w:rsid w:val="00BC658A"/>
    <w:rsid w:val="00BC65D3"/>
    <w:rsid w:val="00BC662E"/>
    <w:rsid w:val="00BC664D"/>
    <w:rsid w:val="00BC6662"/>
    <w:rsid w:val="00BC667F"/>
    <w:rsid w:val="00BC673A"/>
    <w:rsid w:val="00BC6770"/>
    <w:rsid w:val="00BC67A2"/>
    <w:rsid w:val="00BC696B"/>
    <w:rsid w:val="00BC6B9D"/>
    <w:rsid w:val="00BC6BDD"/>
    <w:rsid w:val="00BC6D04"/>
    <w:rsid w:val="00BC6DBC"/>
    <w:rsid w:val="00BC6F4F"/>
    <w:rsid w:val="00BC7000"/>
    <w:rsid w:val="00BC701E"/>
    <w:rsid w:val="00BC7127"/>
    <w:rsid w:val="00BC725D"/>
    <w:rsid w:val="00BC7329"/>
    <w:rsid w:val="00BC7552"/>
    <w:rsid w:val="00BC75A1"/>
    <w:rsid w:val="00BC75CE"/>
    <w:rsid w:val="00BC76B0"/>
    <w:rsid w:val="00BC7747"/>
    <w:rsid w:val="00BC77B1"/>
    <w:rsid w:val="00BC77F2"/>
    <w:rsid w:val="00BC781B"/>
    <w:rsid w:val="00BC78DE"/>
    <w:rsid w:val="00BC7953"/>
    <w:rsid w:val="00BC7969"/>
    <w:rsid w:val="00BC797A"/>
    <w:rsid w:val="00BC79D7"/>
    <w:rsid w:val="00BC7B2D"/>
    <w:rsid w:val="00BC7B6B"/>
    <w:rsid w:val="00BC7C9A"/>
    <w:rsid w:val="00BC7DF8"/>
    <w:rsid w:val="00BC7E56"/>
    <w:rsid w:val="00BC7F75"/>
    <w:rsid w:val="00BD0057"/>
    <w:rsid w:val="00BD01D1"/>
    <w:rsid w:val="00BD01E9"/>
    <w:rsid w:val="00BD026E"/>
    <w:rsid w:val="00BD0430"/>
    <w:rsid w:val="00BD0434"/>
    <w:rsid w:val="00BD0489"/>
    <w:rsid w:val="00BD0540"/>
    <w:rsid w:val="00BD08FA"/>
    <w:rsid w:val="00BD090D"/>
    <w:rsid w:val="00BD0985"/>
    <w:rsid w:val="00BD0BD1"/>
    <w:rsid w:val="00BD0D54"/>
    <w:rsid w:val="00BD0DEB"/>
    <w:rsid w:val="00BD0E5C"/>
    <w:rsid w:val="00BD0FB3"/>
    <w:rsid w:val="00BD0FC3"/>
    <w:rsid w:val="00BD1000"/>
    <w:rsid w:val="00BD109F"/>
    <w:rsid w:val="00BD10BE"/>
    <w:rsid w:val="00BD12F8"/>
    <w:rsid w:val="00BD12FF"/>
    <w:rsid w:val="00BD132E"/>
    <w:rsid w:val="00BD13A4"/>
    <w:rsid w:val="00BD13B6"/>
    <w:rsid w:val="00BD1494"/>
    <w:rsid w:val="00BD15E6"/>
    <w:rsid w:val="00BD166A"/>
    <w:rsid w:val="00BD18EA"/>
    <w:rsid w:val="00BD1909"/>
    <w:rsid w:val="00BD19C0"/>
    <w:rsid w:val="00BD1B9F"/>
    <w:rsid w:val="00BD1C09"/>
    <w:rsid w:val="00BD1DD0"/>
    <w:rsid w:val="00BD1DDB"/>
    <w:rsid w:val="00BD1E91"/>
    <w:rsid w:val="00BD1EED"/>
    <w:rsid w:val="00BD1FB1"/>
    <w:rsid w:val="00BD2064"/>
    <w:rsid w:val="00BD2078"/>
    <w:rsid w:val="00BD209D"/>
    <w:rsid w:val="00BD2114"/>
    <w:rsid w:val="00BD2246"/>
    <w:rsid w:val="00BD2285"/>
    <w:rsid w:val="00BD2507"/>
    <w:rsid w:val="00BD26F2"/>
    <w:rsid w:val="00BD27DC"/>
    <w:rsid w:val="00BD28D2"/>
    <w:rsid w:val="00BD2904"/>
    <w:rsid w:val="00BD295A"/>
    <w:rsid w:val="00BD2A1B"/>
    <w:rsid w:val="00BD2A88"/>
    <w:rsid w:val="00BD2BE5"/>
    <w:rsid w:val="00BD2C4F"/>
    <w:rsid w:val="00BD2CBB"/>
    <w:rsid w:val="00BD2F6D"/>
    <w:rsid w:val="00BD315C"/>
    <w:rsid w:val="00BD3311"/>
    <w:rsid w:val="00BD3480"/>
    <w:rsid w:val="00BD35F8"/>
    <w:rsid w:val="00BD39BF"/>
    <w:rsid w:val="00BD3A66"/>
    <w:rsid w:val="00BD3A83"/>
    <w:rsid w:val="00BD3AA2"/>
    <w:rsid w:val="00BD3E2D"/>
    <w:rsid w:val="00BD3E5F"/>
    <w:rsid w:val="00BD405A"/>
    <w:rsid w:val="00BD42BF"/>
    <w:rsid w:val="00BD4466"/>
    <w:rsid w:val="00BD44FD"/>
    <w:rsid w:val="00BD457C"/>
    <w:rsid w:val="00BD45AB"/>
    <w:rsid w:val="00BD462A"/>
    <w:rsid w:val="00BD467D"/>
    <w:rsid w:val="00BD4766"/>
    <w:rsid w:val="00BD47FE"/>
    <w:rsid w:val="00BD480A"/>
    <w:rsid w:val="00BD4874"/>
    <w:rsid w:val="00BD4910"/>
    <w:rsid w:val="00BD4B85"/>
    <w:rsid w:val="00BD4BC7"/>
    <w:rsid w:val="00BD4C38"/>
    <w:rsid w:val="00BD4E21"/>
    <w:rsid w:val="00BD4F2A"/>
    <w:rsid w:val="00BD5075"/>
    <w:rsid w:val="00BD52D5"/>
    <w:rsid w:val="00BD55CE"/>
    <w:rsid w:val="00BD5772"/>
    <w:rsid w:val="00BD57A0"/>
    <w:rsid w:val="00BD5942"/>
    <w:rsid w:val="00BD59AE"/>
    <w:rsid w:val="00BD59EF"/>
    <w:rsid w:val="00BD5A66"/>
    <w:rsid w:val="00BD5D59"/>
    <w:rsid w:val="00BD5D7A"/>
    <w:rsid w:val="00BD5D7C"/>
    <w:rsid w:val="00BD5E30"/>
    <w:rsid w:val="00BD5E6E"/>
    <w:rsid w:val="00BD5E95"/>
    <w:rsid w:val="00BD6093"/>
    <w:rsid w:val="00BD60F7"/>
    <w:rsid w:val="00BD6335"/>
    <w:rsid w:val="00BD6347"/>
    <w:rsid w:val="00BD64A8"/>
    <w:rsid w:val="00BD651E"/>
    <w:rsid w:val="00BD658C"/>
    <w:rsid w:val="00BD6655"/>
    <w:rsid w:val="00BD68F0"/>
    <w:rsid w:val="00BD6951"/>
    <w:rsid w:val="00BD6A98"/>
    <w:rsid w:val="00BD6B73"/>
    <w:rsid w:val="00BD6D4B"/>
    <w:rsid w:val="00BD6D6D"/>
    <w:rsid w:val="00BD6F3F"/>
    <w:rsid w:val="00BD6FA8"/>
    <w:rsid w:val="00BD6FB7"/>
    <w:rsid w:val="00BD7091"/>
    <w:rsid w:val="00BD72A0"/>
    <w:rsid w:val="00BD731F"/>
    <w:rsid w:val="00BD740B"/>
    <w:rsid w:val="00BD754C"/>
    <w:rsid w:val="00BD76E1"/>
    <w:rsid w:val="00BD7744"/>
    <w:rsid w:val="00BD776C"/>
    <w:rsid w:val="00BD7863"/>
    <w:rsid w:val="00BD79CD"/>
    <w:rsid w:val="00BD7A88"/>
    <w:rsid w:val="00BD7B47"/>
    <w:rsid w:val="00BD7B50"/>
    <w:rsid w:val="00BD7C8A"/>
    <w:rsid w:val="00BD7CF7"/>
    <w:rsid w:val="00BD7E87"/>
    <w:rsid w:val="00BD7FAA"/>
    <w:rsid w:val="00BE03A8"/>
    <w:rsid w:val="00BE04B8"/>
    <w:rsid w:val="00BE076B"/>
    <w:rsid w:val="00BE076F"/>
    <w:rsid w:val="00BE081A"/>
    <w:rsid w:val="00BE0973"/>
    <w:rsid w:val="00BE0A23"/>
    <w:rsid w:val="00BE0AEE"/>
    <w:rsid w:val="00BE0B79"/>
    <w:rsid w:val="00BE0C2B"/>
    <w:rsid w:val="00BE0CCF"/>
    <w:rsid w:val="00BE0D6A"/>
    <w:rsid w:val="00BE0D88"/>
    <w:rsid w:val="00BE0E35"/>
    <w:rsid w:val="00BE0E7E"/>
    <w:rsid w:val="00BE0F5A"/>
    <w:rsid w:val="00BE109C"/>
    <w:rsid w:val="00BE10B1"/>
    <w:rsid w:val="00BE117A"/>
    <w:rsid w:val="00BE1231"/>
    <w:rsid w:val="00BE134D"/>
    <w:rsid w:val="00BE1516"/>
    <w:rsid w:val="00BE1536"/>
    <w:rsid w:val="00BE16F9"/>
    <w:rsid w:val="00BE1B89"/>
    <w:rsid w:val="00BE1DFC"/>
    <w:rsid w:val="00BE209A"/>
    <w:rsid w:val="00BE20B4"/>
    <w:rsid w:val="00BE20D0"/>
    <w:rsid w:val="00BE2113"/>
    <w:rsid w:val="00BE2342"/>
    <w:rsid w:val="00BE24D0"/>
    <w:rsid w:val="00BE2555"/>
    <w:rsid w:val="00BE275F"/>
    <w:rsid w:val="00BE29CE"/>
    <w:rsid w:val="00BE2AE3"/>
    <w:rsid w:val="00BE2B6F"/>
    <w:rsid w:val="00BE2BD9"/>
    <w:rsid w:val="00BE2CF6"/>
    <w:rsid w:val="00BE2D7D"/>
    <w:rsid w:val="00BE2E3F"/>
    <w:rsid w:val="00BE2E6E"/>
    <w:rsid w:val="00BE2F8D"/>
    <w:rsid w:val="00BE30B6"/>
    <w:rsid w:val="00BE30D8"/>
    <w:rsid w:val="00BE349D"/>
    <w:rsid w:val="00BE3535"/>
    <w:rsid w:val="00BE3577"/>
    <w:rsid w:val="00BE35B6"/>
    <w:rsid w:val="00BE365C"/>
    <w:rsid w:val="00BE374A"/>
    <w:rsid w:val="00BE3AF7"/>
    <w:rsid w:val="00BE3BDE"/>
    <w:rsid w:val="00BE3CF0"/>
    <w:rsid w:val="00BE3D09"/>
    <w:rsid w:val="00BE3F24"/>
    <w:rsid w:val="00BE427D"/>
    <w:rsid w:val="00BE42A3"/>
    <w:rsid w:val="00BE432D"/>
    <w:rsid w:val="00BE4381"/>
    <w:rsid w:val="00BE47BD"/>
    <w:rsid w:val="00BE47D4"/>
    <w:rsid w:val="00BE4890"/>
    <w:rsid w:val="00BE4B98"/>
    <w:rsid w:val="00BE4BF6"/>
    <w:rsid w:val="00BE4CC3"/>
    <w:rsid w:val="00BE4CFC"/>
    <w:rsid w:val="00BE4D78"/>
    <w:rsid w:val="00BE4DAB"/>
    <w:rsid w:val="00BE4DE6"/>
    <w:rsid w:val="00BE4E89"/>
    <w:rsid w:val="00BE519B"/>
    <w:rsid w:val="00BE51B2"/>
    <w:rsid w:val="00BE51D2"/>
    <w:rsid w:val="00BE52C6"/>
    <w:rsid w:val="00BE5304"/>
    <w:rsid w:val="00BE5356"/>
    <w:rsid w:val="00BE5372"/>
    <w:rsid w:val="00BE556F"/>
    <w:rsid w:val="00BE58C5"/>
    <w:rsid w:val="00BE5B1F"/>
    <w:rsid w:val="00BE5C38"/>
    <w:rsid w:val="00BE5C40"/>
    <w:rsid w:val="00BE5CDC"/>
    <w:rsid w:val="00BE5D50"/>
    <w:rsid w:val="00BE5E63"/>
    <w:rsid w:val="00BE5E7F"/>
    <w:rsid w:val="00BE5EB9"/>
    <w:rsid w:val="00BE614F"/>
    <w:rsid w:val="00BE617A"/>
    <w:rsid w:val="00BE6205"/>
    <w:rsid w:val="00BE6236"/>
    <w:rsid w:val="00BE6389"/>
    <w:rsid w:val="00BE64D9"/>
    <w:rsid w:val="00BE65C6"/>
    <w:rsid w:val="00BE6674"/>
    <w:rsid w:val="00BE67A1"/>
    <w:rsid w:val="00BE6999"/>
    <w:rsid w:val="00BE6C74"/>
    <w:rsid w:val="00BE6D12"/>
    <w:rsid w:val="00BE6D7B"/>
    <w:rsid w:val="00BE6D84"/>
    <w:rsid w:val="00BE6DFB"/>
    <w:rsid w:val="00BE6EAB"/>
    <w:rsid w:val="00BE70A1"/>
    <w:rsid w:val="00BE71B9"/>
    <w:rsid w:val="00BE735D"/>
    <w:rsid w:val="00BE7377"/>
    <w:rsid w:val="00BE7543"/>
    <w:rsid w:val="00BE75B9"/>
    <w:rsid w:val="00BE77EC"/>
    <w:rsid w:val="00BE782F"/>
    <w:rsid w:val="00BE788D"/>
    <w:rsid w:val="00BE78B2"/>
    <w:rsid w:val="00BE7AA2"/>
    <w:rsid w:val="00BE7AC0"/>
    <w:rsid w:val="00BE7B9B"/>
    <w:rsid w:val="00BE7C9D"/>
    <w:rsid w:val="00BE7CE7"/>
    <w:rsid w:val="00BE7CFE"/>
    <w:rsid w:val="00BE7DB6"/>
    <w:rsid w:val="00BE7DF9"/>
    <w:rsid w:val="00BE7FB0"/>
    <w:rsid w:val="00BE7FE4"/>
    <w:rsid w:val="00BF008E"/>
    <w:rsid w:val="00BF00FF"/>
    <w:rsid w:val="00BF0103"/>
    <w:rsid w:val="00BF01E1"/>
    <w:rsid w:val="00BF03C6"/>
    <w:rsid w:val="00BF03EF"/>
    <w:rsid w:val="00BF0401"/>
    <w:rsid w:val="00BF0496"/>
    <w:rsid w:val="00BF04BD"/>
    <w:rsid w:val="00BF0690"/>
    <w:rsid w:val="00BF0744"/>
    <w:rsid w:val="00BF077B"/>
    <w:rsid w:val="00BF07F5"/>
    <w:rsid w:val="00BF0B22"/>
    <w:rsid w:val="00BF0D89"/>
    <w:rsid w:val="00BF0DF0"/>
    <w:rsid w:val="00BF0E21"/>
    <w:rsid w:val="00BF0EC5"/>
    <w:rsid w:val="00BF0EDE"/>
    <w:rsid w:val="00BF0FF1"/>
    <w:rsid w:val="00BF13F1"/>
    <w:rsid w:val="00BF14FD"/>
    <w:rsid w:val="00BF15D5"/>
    <w:rsid w:val="00BF1735"/>
    <w:rsid w:val="00BF1753"/>
    <w:rsid w:val="00BF1894"/>
    <w:rsid w:val="00BF1936"/>
    <w:rsid w:val="00BF194B"/>
    <w:rsid w:val="00BF1A4C"/>
    <w:rsid w:val="00BF1B00"/>
    <w:rsid w:val="00BF1B72"/>
    <w:rsid w:val="00BF1B8C"/>
    <w:rsid w:val="00BF1C6D"/>
    <w:rsid w:val="00BF1CA5"/>
    <w:rsid w:val="00BF1D76"/>
    <w:rsid w:val="00BF1ED3"/>
    <w:rsid w:val="00BF1F74"/>
    <w:rsid w:val="00BF1F79"/>
    <w:rsid w:val="00BF1FA5"/>
    <w:rsid w:val="00BF2072"/>
    <w:rsid w:val="00BF20C6"/>
    <w:rsid w:val="00BF2197"/>
    <w:rsid w:val="00BF21AB"/>
    <w:rsid w:val="00BF22C3"/>
    <w:rsid w:val="00BF23C5"/>
    <w:rsid w:val="00BF2462"/>
    <w:rsid w:val="00BF2500"/>
    <w:rsid w:val="00BF251C"/>
    <w:rsid w:val="00BF25FA"/>
    <w:rsid w:val="00BF2620"/>
    <w:rsid w:val="00BF262A"/>
    <w:rsid w:val="00BF2679"/>
    <w:rsid w:val="00BF2963"/>
    <w:rsid w:val="00BF2A41"/>
    <w:rsid w:val="00BF2CF5"/>
    <w:rsid w:val="00BF2E75"/>
    <w:rsid w:val="00BF2ED1"/>
    <w:rsid w:val="00BF3100"/>
    <w:rsid w:val="00BF324E"/>
    <w:rsid w:val="00BF3420"/>
    <w:rsid w:val="00BF35E1"/>
    <w:rsid w:val="00BF35EA"/>
    <w:rsid w:val="00BF3627"/>
    <w:rsid w:val="00BF3646"/>
    <w:rsid w:val="00BF36B5"/>
    <w:rsid w:val="00BF385E"/>
    <w:rsid w:val="00BF396D"/>
    <w:rsid w:val="00BF3A1D"/>
    <w:rsid w:val="00BF3AB9"/>
    <w:rsid w:val="00BF3AEF"/>
    <w:rsid w:val="00BF3B1C"/>
    <w:rsid w:val="00BF3BF9"/>
    <w:rsid w:val="00BF3C54"/>
    <w:rsid w:val="00BF3D8D"/>
    <w:rsid w:val="00BF3DE5"/>
    <w:rsid w:val="00BF3F37"/>
    <w:rsid w:val="00BF402F"/>
    <w:rsid w:val="00BF4052"/>
    <w:rsid w:val="00BF426A"/>
    <w:rsid w:val="00BF4304"/>
    <w:rsid w:val="00BF4347"/>
    <w:rsid w:val="00BF44DA"/>
    <w:rsid w:val="00BF4526"/>
    <w:rsid w:val="00BF4777"/>
    <w:rsid w:val="00BF4847"/>
    <w:rsid w:val="00BF486E"/>
    <w:rsid w:val="00BF48AE"/>
    <w:rsid w:val="00BF4AB3"/>
    <w:rsid w:val="00BF4B29"/>
    <w:rsid w:val="00BF4B2C"/>
    <w:rsid w:val="00BF4C01"/>
    <w:rsid w:val="00BF4CC8"/>
    <w:rsid w:val="00BF4EF7"/>
    <w:rsid w:val="00BF5069"/>
    <w:rsid w:val="00BF5155"/>
    <w:rsid w:val="00BF5188"/>
    <w:rsid w:val="00BF51AA"/>
    <w:rsid w:val="00BF531F"/>
    <w:rsid w:val="00BF53FC"/>
    <w:rsid w:val="00BF5584"/>
    <w:rsid w:val="00BF5737"/>
    <w:rsid w:val="00BF588D"/>
    <w:rsid w:val="00BF5919"/>
    <w:rsid w:val="00BF59B2"/>
    <w:rsid w:val="00BF5A65"/>
    <w:rsid w:val="00BF5AE3"/>
    <w:rsid w:val="00BF5B55"/>
    <w:rsid w:val="00BF5BCF"/>
    <w:rsid w:val="00BF5E23"/>
    <w:rsid w:val="00BF5E64"/>
    <w:rsid w:val="00BF5EAC"/>
    <w:rsid w:val="00BF5F1F"/>
    <w:rsid w:val="00BF5FF5"/>
    <w:rsid w:val="00BF5FF7"/>
    <w:rsid w:val="00BF60F5"/>
    <w:rsid w:val="00BF612C"/>
    <w:rsid w:val="00BF638E"/>
    <w:rsid w:val="00BF66B6"/>
    <w:rsid w:val="00BF66DD"/>
    <w:rsid w:val="00BF67FB"/>
    <w:rsid w:val="00BF6825"/>
    <w:rsid w:val="00BF6864"/>
    <w:rsid w:val="00BF689A"/>
    <w:rsid w:val="00BF68C2"/>
    <w:rsid w:val="00BF6917"/>
    <w:rsid w:val="00BF6983"/>
    <w:rsid w:val="00BF6A09"/>
    <w:rsid w:val="00BF6AA5"/>
    <w:rsid w:val="00BF6ACF"/>
    <w:rsid w:val="00BF6B99"/>
    <w:rsid w:val="00BF6BD5"/>
    <w:rsid w:val="00BF6CD7"/>
    <w:rsid w:val="00BF6CFC"/>
    <w:rsid w:val="00BF6D26"/>
    <w:rsid w:val="00BF6E12"/>
    <w:rsid w:val="00BF6F0C"/>
    <w:rsid w:val="00BF7096"/>
    <w:rsid w:val="00BF7407"/>
    <w:rsid w:val="00BF7505"/>
    <w:rsid w:val="00BF7515"/>
    <w:rsid w:val="00BF7559"/>
    <w:rsid w:val="00BF7570"/>
    <w:rsid w:val="00BF7661"/>
    <w:rsid w:val="00BF7713"/>
    <w:rsid w:val="00BF78AE"/>
    <w:rsid w:val="00BF79BC"/>
    <w:rsid w:val="00BF7A3F"/>
    <w:rsid w:val="00BF7AC7"/>
    <w:rsid w:val="00BF7B6F"/>
    <w:rsid w:val="00BF7C7D"/>
    <w:rsid w:val="00BF7CF3"/>
    <w:rsid w:val="00BF7D89"/>
    <w:rsid w:val="00BF7DC9"/>
    <w:rsid w:val="00BF7E3B"/>
    <w:rsid w:val="00BF7ED7"/>
    <w:rsid w:val="00BF7F43"/>
    <w:rsid w:val="00BF7F53"/>
    <w:rsid w:val="00BF7F63"/>
    <w:rsid w:val="00C000C3"/>
    <w:rsid w:val="00C0017E"/>
    <w:rsid w:val="00C0040A"/>
    <w:rsid w:val="00C0042A"/>
    <w:rsid w:val="00C0050F"/>
    <w:rsid w:val="00C005C8"/>
    <w:rsid w:val="00C00627"/>
    <w:rsid w:val="00C00680"/>
    <w:rsid w:val="00C0073E"/>
    <w:rsid w:val="00C007F7"/>
    <w:rsid w:val="00C00871"/>
    <w:rsid w:val="00C00951"/>
    <w:rsid w:val="00C0097C"/>
    <w:rsid w:val="00C00992"/>
    <w:rsid w:val="00C009D8"/>
    <w:rsid w:val="00C00A02"/>
    <w:rsid w:val="00C00B65"/>
    <w:rsid w:val="00C00BEE"/>
    <w:rsid w:val="00C00CAF"/>
    <w:rsid w:val="00C00D27"/>
    <w:rsid w:val="00C00DA0"/>
    <w:rsid w:val="00C00E63"/>
    <w:rsid w:val="00C00E66"/>
    <w:rsid w:val="00C00FEE"/>
    <w:rsid w:val="00C01146"/>
    <w:rsid w:val="00C011C1"/>
    <w:rsid w:val="00C011FB"/>
    <w:rsid w:val="00C01352"/>
    <w:rsid w:val="00C014AF"/>
    <w:rsid w:val="00C015A4"/>
    <w:rsid w:val="00C0166D"/>
    <w:rsid w:val="00C016D1"/>
    <w:rsid w:val="00C016D7"/>
    <w:rsid w:val="00C0179B"/>
    <w:rsid w:val="00C01898"/>
    <w:rsid w:val="00C01A77"/>
    <w:rsid w:val="00C01B58"/>
    <w:rsid w:val="00C01BE9"/>
    <w:rsid w:val="00C01C95"/>
    <w:rsid w:val="00C01D82"/>
    <w:rsid w:val="00C01E3E"/>
    <w:rsid w:val="00C01EFE"/>
    <w:rsid w:val="00C0211B"/>
    <w:rsid w:val="00C02279"/>
    <w:rsid w:val="00C023C8"/>
    <w:rsid w:val="00C02418"/>
    <w:rsid w:val="00C02521"/>
    <w:rsid w:val="00C0259B"/>
    <w:rsid w:val="00C02BE5"/>
    <w:rsid w:val="00C02CD0"/>
    <w:rsid w:val="00C02D40"/>
    <w:rsid w:val="00C02DCC"/>
    <w:rsid w:val="00C02FEA"/>
    <w:rsid w:val="00C03060"/>
    <w:rsid w:val="00C030BE"/>
    <w:rsid w:val="00C030CE"/>
    <w:rsid w:val="00C03138"/>
    <w:rsid w:val="00C03167"/>
    <w:rsid w:val="00C031B1"/>
    <w:rsid w:val="00C0321D"/>
    <w:rsid w:val="00C032C1"/>
    <w:rsid w:val="00C032E0"/>
    <w:rsid w:val="00C033C7"/>
    <w:rsid w:val="00C03468"/>
    <w:rsid w:val="00C03493"/>
    <w:rsid w:val="00C035BE"/>
    <w:rsid w:val="00C035FB"/>
    <w:rsid w:val="00C03602"/>
    <w:rsid w:val="00C0385A"/>
    <w:rsid w:val="00C0385F"/>
    <w:rsid w:val="00C038EE"/>
    <w:rsid w:val="00C0394B"/>
    <w:rsid w:val="00C03A42"/>
    <w:rsid w:val="00C03A87"/>
    <w:rsid w:val="00C03AE4"/>
    <w:rsid w:val="00C03BC6"/>
    <w:rsid w:val="00C03C0F"/>
    <w:rsid w:val="00C03D47"/>
    <w:rsid w:val="00C03E02"/>
    <w:rsid w:val="00C03E3E"/>
    <w:rsid w:val="00C03EC7"/>
    <w:rsid w:val="00C03F24"/>
    <w:rsid w:val="00C03F7A"/>
    <w:rsid w:val="00C04169"/>
    <w:rsid w:val="00C0421E"/>
    <w:rsid w:val="00C0421F"/>
    <w:rsid w:val="00C0425E"/>
    <w:rsid w:val="00C04266"/>
    <w:rsid w:val="00C04270"/>
    <w:rsid w:val="00C042BE"/>
    <w:rsid w:val="00C042CE"/>
    <w:rsid w:val="00C042EF"/>
    <w:rsid w:val="00C04470"/>
    <w:rsid w:val="00C04506"/>
    <w:rsid w:val="00C0463D"/>
    <w:rsid w:val="00C047ED"/>
    <w:rsid w:val="00C04B33"/>
    <w:rsid w:val="00C04B42"/>
    <w:rsid w:val="00C04C4D"/>
    <w:rsid w:val="00C04C99"/>
    <w:rsid w:val="00C04CD0"/>
    <w:rsid w:val="00C04CFF"/>
    <w:rsid w:val="00C04E64"/>
    <w:rsid w:val="00C04FD5"/>
    <w:rsid w:val="00C050E3"/>
    <w:rsid w:val="00C0511D"/>
    <w:rsid w:val="00C05227"/>
    <w:rsid w:val="00C052A1"/>
    <w:rsid w:val="00C052EE"/>
    <w:rsid w:val="00C053D4"/>
    <w:rsid w:val="00C05501"/>
    <w:rsid w:val="00C0580F"/>
    <w:rsid w:val="00C058C1"/>
    <w:rsid w:val="00C05ADE"/>
    <w:rsid w:val="00C05B86"/>
    <w:rsid w:val="00C05DB8"/>
    <w:rsid w:val="00C05DBB"/>
    <w:rsid w:val="00C05E04"/>
    <w:rsid w:val="00C05FA0"/>
    <w:rsid w:val="00C05FE6"/>
    <w:rsid w:val="00C06067"/>
    <w:rsid w:val="00C06085"/>
    <w:rsid w:val="00C0625A"/>
    <w:rsid w:val="00C062AD"/>
    <w:rsid w:val="00C063AB"/>
    <w:rsid w:val="00C064F9"/>
    <w:rsid w:val="00C064FB"/>
    <w:rsid w:val="00C065C9"/>
    <w:rsid w:val="00C06726"/>
    <w:rsid w:val="00C067F8"/>
    <w:rsid w:val="00C068A0"/>
    <w:rsid w:val="00C069FB"/>
    <w:rsid w:val="00C06DAA"/>
    <w:rsid w:val="00C06E3C"/>
    <w:rsid w:val="00C06E58"/>
    <w:rsid w:val="00C06EFB"/>
    <w:rsid w:val="00C06F61"/>
    <w:rsid w:val="00C06FBF"/>
    <w:rsid w:val="00C07043"/>
    <w:rsid w:val="00C07045"/>
    <w:rsid w:val="00C07138"/>
    <w:rsid w:val="00C072D3"/>
    <w:rsid w:val="00C07365"/>
    <w:rsid w:val="00C07539"/>
    <w:rsid w:val="00C07666"/>
    <w:rsid w:val="00C0785F"/>
    <w:rsid w:val="00C0789C"/>
    <w:rsid w:val="00C07934"/>
    <w:rsid w:val="00C07974"/>
    <w:rsid w:val="00C07A2B"/>
    <w:rsid w:val="00C07AB5"/>
    <w:rsid w:val="00C07BDA"/>
    <w:rsid w:val="00C07C3B"/>
    <w:rsid w:val="00C07D0F"/>
    <w:rsid w:val="00C07E49"/>
    <w:rsid w:val="00C07EDC"/>
    <w:rsid w:val="00C07F0D"/>
    <w:rsid w:val="00C07F97"/>
    <w:rsid w:val="00C100C5"/>
    <w:rsid w:val="00C100ED"/>
    <w:rsid w:val="00C101BB"/>
    <w:rsid w:val="00C101CF"/>
    <w:rsid w:val="00C10269"/>
    <w:rsid w:val="00C10332"/>
    <w:rsid w:val="00C1035E"/>
    <w:rsid w:val="00C10498"/>
    <w:rsid w:val="00C104AC"/>
    <w:rsid w:val="00C10574"/>
    <w:rsid w:val="00C1065A"/>
    <w:rsid w:val="00C1068E"/>
    <w:rsid w:val="00C10968"/>
    <w:rsid w:val="00C1099E"/>
    <w:rsid w:val="00C10A14"/>
    <w:rsid w:val="00C10A4A"/>
    <w:rsid w:val="00C10A5E"/>
    <w:rsid w:val="00C10A7C"/>
    <w:rsid w:val="00C10B4B"/>
    <w:rsid w:val="00C10C3C"/>
    <w:rsid w:val="00C10F05"/>
    <w:rsid w:val="00C10FA1"/>
    <w:rsid w:val="00C111FE"/>
    <w:rsid w:val="00C1144F"/>
    <w:rsid w:val="00C11461"/>
    <w:rsid w:val="00C11475"/>
    <w:rsid w:val="00C114C5"/>
    <w:rsid w:val="00C11645"/>
    <w:rsid w:val="00C11647"/>
    <w:rsid w:val="00C1170D"/>
    <w:rsid w:val="00C119A8"/>
    <w:rsid w:val="00C119D8"/>
    <w:rsid w:val="00C11C2E"/>
    <w:rsid w:val="00C11C69"/>
    <w:rsid w:val="00C11C71"/>
    <w:rsid w:val="00C11CB5"/>
    <w:rsid w:val="00C11E6C"/>
    <w:rsid w:val="00C11E79"/>
    <w:rsid w:val="00C11F1D"/>
    <w:rsid w:val="00C11F87"/>
    <w:rsid w:val="00C11F9C"/>
    <w:rsid w:val="00C12015"/>
    <w:rsid w:val="00C12083"/>
    <w:rsid w:val="00C1209C"/>
    <w:rsid w:val="00C120FC"/>
    <w:rsid w:val="00C1210E"/>
    <w:rsid w:val="00C1212D"/>
    <w:rsid w:val="00C121A4"/>
    <w:rsid w:val="00C12256"/>
    <w:rsid w:val="00C12257"/>
    <w:rsid w:val="00C12259"/>
    <w:rsid w:val="00C123FE"/>
    <w:rsid w:val="00C12419"/>
    <w:rsid w:val="00C12536"/>
    <w:rsid w:val="00C12563"/>
    <w:rsid w:val="00C125D2"/>
    <w:rsid w:val="00C126F7"/>
    <w:rsid w:val="00C1289B"/>
    <w:rsid w:val="00C12A7E"/>
    <w:rsid w:val="00C12B82"/>
    <w:rsid w:val="00C12BAE"/>
    <w:rsid w:val="00C12D21"/>
    <w:rsid w:val="00C12D4E"/>
    <w:rsid w:val="00C12EDB"/>
    <w:rsid w:val="00C12F1A"/>
    <w:rsid w:val="00C12F5E"/>
    <w:rsid w:val="00C12F6C"/>
    <w:rsid w:val="00C12F74"/>
    <w:rsid w:val="00C13051"/>
    <w:rsid w:val="00C130B2"/>
    <w:rsid w:val="00C1318A"/>
    <w:rsid w:val="00C131B9"/>
    <w:rsid w:val="00C131F7"/>
    <w:rsid w:val="00C131F9"/>
    <w:rsid w:val="00C133EA"/>
    <w:rsid w:val="00C13512"/>
    <w:rsid w:val="00C13646"/>
    <w:rsid w:val="00C13855"/>
    <w:rsid w:val="00C13874"/>
    <w:rsid w:val="00C138F6"/>
    <w:rsid w:val="00C13A1A"/>
    <w:rsid w:val="00C13AFC"/>
    <w:rsid w:val="00C13B53"/>
    <w:rsid w:val="00C13CE4"/>
    <w:rsid w:val="00C13EA7"/>
    <w:rsid w:val="00C14011"/>
    <w:rsid w:val="00C1409E"/>
    <w:rsid w:val="00C140E3"/>
    <w:rsid w:val="00C14315"/>
    <w:rsid w:val="00C14352"/>
    <w:rsid w:val="00C143EA"/>
    <w:rsid w:val="00C1441E"/>
    <w:rsid w:val="00C1452E"/>
    <w:rsid w:val="00C146D7"/>
    <w:rsid w:val="00C14779"/>
    <w:rsid w:val="00C149F8"/>
    <w:rsid w:val="00C14A24"/>
    <w:rsid w:val="00C14A4E"/>
    <w:rsid w:val="00C14ADE"/>
    <w:rsid w:val="00C14D39"/>
    <w:rsid w:val="00C14E25"/>
    <w:rsid w:val="00C15019"/>
    <w:rsid w:val="00C150D4"/>
    <w:rsid w:val="00C15205"/>
    <w:rsid w:val="00C15259"/>
    <w:rsid w:val="00C152EB"/>
    <w:rsid w:val="00C153F9"/>
    <w:rsid w:val="00C154A7"/>
    <w:rsid w:val="00C15523"/>
    <w:rsid w:val="00C15559"/>
    <w:rsid w:val="00C155B0"/>
    <w:rsid w:val="00C15726"/>
    <w:rsid w:val="00C1587C"/>
    <w:rsid w:val="00C1593F"/>
    <w:rsid w:val="00C159B4"/>
    <w:rsid w:val="00C15A76"/>
    <w:rsid w:val="00C15A82"/>
    <w:rsid w:val="00C15B7C"/>
    <w:rsid w:val="00C15CF4"/>
    <w:rsid w:val="00C15D16"/>
    <w:rsid w:val="00C15DDA"/>
    <w:rsid w:val="00C15EBC"/>
    <w:rsid w:val="00C16015"/>
    <w:rsid w:val="00C16046"/>
    <w:rsid w:val="00C16276"/>
    <w:rsid w:val="00C1637B"/>
    <w:rsid w:val="00C164A9"/>
    <w:rsid w:val="00C16583"/>
    <w:rsid w:val="00C16693"/>
    <w:rsid w:val="00C16724"/>
    <w:rsid w:val="00C16805"/>
    <w:rsid w:val="00C16852"/>
    <w:rsid w:val="00C1689B"/>
    <w:rsid w:val="00C168E8"/>
    <w:rsid w:val="00C16A37"/>
    <w:rsid w:val="00C16B40"/>
    <w:rsid w:val="00C16BA5"/>
    <w:rsid w:val="00C16D50"/>
    <w:rsid w:val="00C17030"/>
    <w:rsid w:val="00C1713E"/>
    <w:rsid w:val="00C17256"/>
    <w:rsid w:val="00C1733B"/>
    <w:rsid w:val="00C1744C"/>
    <w:rsid w:val="00C17638"/>
    <w:rsid w:val="00C1777D"/>
    <w:rsid w:val="00C17880"/>
    <w:rsid w:val="00C17931"/>
    <w:rsid w:val="00C179AA"/>
    <w:rsid w:val="00C179D4"/>
    <w:rsid w:val="00C179E3"/>
    <w:rsid w:val="00C17A30"/>
    <w:rsid w:val="00C17A76"/>
    <w:rsid w:val="00C17B3B"/>
    <w:rsid w:val="00C17BAA"/>
    <w:rsid w:val="00C17BB1"/>
    <w:rsid w:val="00C17CA9"/>
    <w:rsid w:val="00C17CC8"/>
    <w:rsid w:val="00C17DD2"/>
    <w:rsid w:val="00C17E08"/>
    <w:rsid w:val="00C17E56"/>
    <w:rsid w:val="00C17EA4"/>
    <w:rsid w:val="00C17ECC"/>
    <w:rsid w:val="00C200CF"/>
    <w:rsid w:val="00C20109"/>
    <w:rsid w:val="00C20178"/>
    <w:rsid w:val="00C201C5"/>
    <w:rsid w:val="00C202E9"/>
    <w:rsid w:val="00C20529"/>
    <w:rsid w:val="00C2058A"/>
    <w:rsid w:val="00C205FC"/>
    <w:rsid w:val="00C2066F"/>
    <w:rsid w:val="00C20720"/>
    <w:rsid w:val="00C2078E"/>
    <w:rsid w:val="00C2094C"/>
    <w:rsid w:val="00C20981"/>
    <w:rsid w:val="00C209F5"/>
    <w:rsid w:val="00C20AC4"/>
    <w:rsid w:val="00C20AFD"/>
    <w:rsid w:val="00C20B33"/>
    <w:rsid w:val="00C20C2E"/>
    <w:rsid w:val="00C20C3D"/>
    <w:rsid w:val="00C20C80"/>
    <w:rsid w:val="00C20D5A"/>
    <w:rsid w:val="00C20EC8"/>
    <w:rsid w:val="00C20FC5"/>
    <w:rsid w:val="00C213B3"/>
    <w:rsid w:val="00C2147C"/>
    <w:rsid w:val="00C214BF"/>
    <w:rsid w:val="00C215A4"/>
    <w:rsid w:val="00C216AD"/>
    <w:rsid w:val="00C2179B"/>
    <w:rsid w:val="00C2179E"/>
    <w:rsid w:val="00C21824"/>
    <w:rsid w:val="00C21840"/>
    <w:rsid w:val="00C218B7"/>
    <w:rsid w:val="00C219F4"/>
    <w:rsid w:val="00C21C27"/>
    <w:rsid w:val="00C21CA3"/>
    <w:rsid w:val="00C21CB4"/>
    <w:rsid w:val="00C21D01"/>
    <w:rsid w:val="00C21D57"/>
    <w:rsid w:val="00C21E3E"/>
    <w:rsid w:val="00C21E7B"/>
    <w:rsid w:val="00C21F4E"/>
    <w:rsid w:val="00C220FA"/>
    <w:rsid w:val="00C221E6"/>
    <w:rsid w:val="00C22432"/>
    <w:rsid w:val="00C22444"/>
    <w:rsid w:val="00C225A0"/>
    <w:rsid w:val="00C22637"/>
    <w:rsid w:val="00C227FC"/>
    <w:rsid w:val="00C2280F"/>
    <w:rsid w:val="00C22815"/>
    <w:rsid w:val="00C22897"/>
    <w:rsid w:val="00C228AE"/>
    <w:rsid w:val="00C228EC"/>
    <w:rsid w:val="00C22A30"/>
    <w:rsid w:val="00C22BB0"/>
    <w:rsid w:val="00C22CA6"/>
    <w:rsid w:val="00C22CEF"/>
    <w:rsid w:val="00C22DB1"/>
    <w:rsid w:val="00C22DDD"/>
    <w:rsid w:val="00C22E62"/>
    <w:rsid w:val="00C22EE4"/>
    <w:rsid w:val="00C22EFE"/>
    <w:rsid w:val="00C22F71"/>
    <w:rsid w:val="00C2307F"/>
    <w:rsid w:val="00C2337B"/>
    <w:rsid w:val="00C233D8"/>
    <w:rsid w:val="00C23409"/>
    <w:rsid w:val="00C234FF"/>
    <w:rsid w:val="00C23544"/>
    <w:rsid w:val="00C2369D"/>
    <w:rsid w:val="00C236EA"/>
    <w:rsid w:val="00C23704"/>
    <w:rsid w:val="00C23731"/>
    <w:rsid w:val="00C23755"/>
    <w:rsid w:val="00C23800"/>
    <w:rsid w:val="00C23946"/>
    <w:rsid w:val="00C239AF"/>
    <w:rsid w:val="00C23C3B"/>
    <w:rsid w:val="00C23C3F"/>
    <w:rsid w:val="00C23CAC"/>
    <w:rsid w:val="00C23D13"/>
    <w:rsid w:val="00C23D8D"/>
    <w:rsid w:val="00C23E0B"/>
    <w:rsid w:val="00C23E73"/>
    <w:rsid w:val="00C2412C"/>
    <w:rsid w:val="00C241B2"/>
    <w:rsid w:val="00C2430C"/>
    <w:rsid w:val="00C24315"/>
    <w:rsid w:val="00C244FA"/>
    <w:rsid w:val="00C24554"/>
    <w:rsid w:val="00C24615"/>
    <w:rsid w:val="00C2473A"/>
    <w:rsid w:val="00C2481A"/>
    <w:rsid w:val="00C24872"/>
    <w:rsid w:val="00C24A94"/>
    <w:rsid w:val="00C24AA4"/>
    <w:rsid w:val="00C24B98"/>
    <w:rsid w:val="00C24D6A"/>
    <w:rsid w:val="00C24DBD"/>
    <w:rsid w:val="00C24E72"/>
    <w:rsid w:val="00C24E78"/>
    <w:rsid w:val="00C25015"/>
    <w:rsid w:val="00C25299"/>
    <w:rsid w:val="00C25311"/>
    <w:rsid w:val="00C25493"/>
    <w:rsid w:val="00C254D0"/>
    <w:rsid w:val="00C25606"/>
    <w:rsid w:val="00C256AC"/>
    <w:rsid w:val="00C258B4"/>
    <w:rsid w:val="00C258B6"/>
    <w:rsid w:val="00C258BF"/>
    <w:rsid w:val="00C2597A"/>
    <w:rsid w:val="00C259C8"/>
    <w:rsid w:val="00C25A08"/>
    <w:rsid w:val="00C25AA4"/>
    <w:rsid w:val="00C25B0E"/>
    <w:rsid w:val="00C25BB6"/>
    <w:rsid w:val="00C25CC5"/>
    <w:rsid w:val="00C25DF3"/>
    <w:rsid w:val="00C25E07"/>
    <w:rsid w:val="00C25EDB"/>
    <w:rsid w:val="00C25F1F"/>
    <w:rsid w:val="00C26047"/>
    <w:rsid w:val="00C26055"/>
    <w:rsid w:val="00C260AC"/>
    <w:rsid w:val="00C26138"/>
    <w:rsid w:val="00C26214"/>
    <w:rsid w:val="00C26254"/>
    <w:rsid w:val="00C2645F"/>
    <w:rsid w:val="00C265D9"/>
    <w:rsid w:val="00C26601"/>
    <w:rsid w:val="00C26667"/>
    <w:rsid w:val="00C266BF"/>
    <w:rsid w:val="00C26753"/>
    <w:rsid w:val="00C26A3F"/>
    <w:rsid w:val="00C26A47"/>
    <w:rsid w:val="00C26A83"/>
    <w:rsid w:val="00C26A9B"/>
    <w:rsid w:val="00C26AB4"/>
    <w:rsid w:val="00C26AEC"/>
    <w:rsid w:val="00C26AF1"/>
    <w:rsid w:val="00C26B1B"/>
    <w:rsid w:val="00C26F0A"/>
    <w:rsid w:val="00C26F98"/>
    <w:rsid w:val="00C26FF6"/>
    <w:rsid w:val="00C26FFF"/>
    <w:rsid w:val="00C27030"/>
    <w:rsid w:val="00C27125"/>
    <w:rsid w:val="00C272A7"/>
    <w:rsid w:val="00C272E1"/>
    <w:rsid w:val="00C274CC"/>
    <w:rsid w:val="00C274CE"/>
    <w:rsid w:val="00C274D0"/>
    <w:rsid w:val="00C27526"/>
    <w:rsid w:val="00C275CE"/>
    <w:rsid w:val="00C275D3"/>
    <w:rsid w:val="00C27730"/>
    <w:rsid w:val="00C27736"/>
    <w:rsid w:val="00C27746"/>
    <w:rsid w:val="00C278B1"/>
    <w:rsid w:val="00C279EE"/>
    <w:rsid w:val="00C27B81"/>
    <w:rsid w:val="00C27BFD"/>
    <w:rsid w:val="00C27CAB"/>
    <w:rsid w:val="00C27CE4"/>
    <w:rsid w:val="00C27E6A"/>
    <w:rsid w:val="00C27EC6"/>
    <w:rsid w:val="00C27FF2"/>
    <w:rsid w:val="00C2804B"/>
    <w:rsid w:val="00C30050"/>
    <w:rsid w:val="00C3027C"/>
    <w:rsid w:val="00C302D7"/>
    <w:rsid w:val="00C30460"/>
    <w:rsid w:val="00C3049B"/>
    <w:rsid w:val="00C304A4"/>
    <w:rsid w:val="00C305D8"/>
    <w:rsid w:val="00C3063E"/>
    <w:rsid w:val="00C306F7"/>
    <w:rsid w:val="00C30712"/>
    <w:rsid w:val="00C30729"/>
    <w:rsid w:val="00C30792"/>
    <w:rsid w:val="00C307C6"/>
    <w:rsid w:val="00C30822"/>
    <w:rsid w:val="00C3088A"/>
    <w:rsid w:val="00C30911"/>
    <w:rsid w:val="00C30980"/>
    <w:rsid w:val="00C309CD"/>
    <w:rsid w:val="00C30A56"/>
    <w:rsid w:val="00C30A95"/>
    <w:rsid w:val="00C30B13"/>
    <w:rsid w:val="00C30D02"/>
    <w:rsid w:val="00C30E5A"/>
    <w:rsid w:val="00C31109"/>
    <w:rsid w:val="00C31233"/>
    <w:rsid w:val="00C3131F"/>
    <w:rsid w:val="00C31464"/>
    <w:rsid w:val="00C31472"/>
    <w:rsid w:val="00C316CF"/>
    <w:rsid w:val="00C317E4"/>
    <w:rsid w:val="00C318D5"/>
    <w:rsid w:val="00C319D6"/>
    <w:rsid w:val="00C319FF"/>
    <w:rsid w:val="00C31AB1"/>
    <w:rsid w:val="00C31BAC"/>
    <w:rsid w:val="00C31BB6"/>
    <w:rsid w:val="00C31C78"/>
    <w:rsid w:val="00C31D0E"/>
    <w:rsid w:val="00C31DD7"/>
    <w:rsid w:val="00C31EC1"/>
    <w:rsid w:val="00C31EC9"/>
    <w:rsid w:val="00C3207E"/>
    <w:rsid w:val="00C3254C"/>
    <w:rsid w:val="00C325B7"/>
    <w:rsid w:val="00C32762"/>
    <w:rsid w:val="00C32A9E"/>
    <w:rsid w:val="00C32B82"/>
    <w:rsid w:val="00C32C58"/>
    <w:rsid w:val="00C32D8F"/>
    <w:rsid w:val="00C32EB4"/>
    <w:rsid w:val="00C32F46"/>
    <w:rsid w:val="00C32F67"/>
    <w:rsid w:val="00C33060"/>
    <w:rsid w:val="00C331A5"/>
    <w:rsid w:val="00C33336"/>
    <w:rsid w:val="00C33385"/>
    <w:rsid w:val="00C33623"/>
    <w:rsid w:val="00C33686"/>
    <w:rsid w:val="00C33830"/>
    <w:rsid w:val="00C33B97"/>
    <w:rsid w:val="00C33C97"/>
    <w:rsid w:val="00C33DF7"/>
    <w:rsid w:val="00C33E5B"/>
    <w:rsid w:val="00C33E63"/>
    <w:rsid w:val="00C33EBA"/>
    <w:rsid w:val="00C33F80"/>
    <w:rsid w:val="00C34112"/>
    <w:rsid w:val="00C3449F"/>
    <w:rsid w:val="00C344C4"/>
    <w:rsid w:val="00C3462F"/>
    <w:rsid w:val="00C346A6"/>
    <w:rsid w:val="00C3493D"/>
    <w:rsid w:val="00C3495C"/>
    <w:rsid w:val="00C34999"/>
    <w:rsid w:val="00C34BFA"/>
    <w:rsid w:val="00C34D1B"/>
    <w:rsid w:val="00C34DF9"/>
    <w:rsid w:val="00C34E79"/>
    <w:rsid w:val="00C34F31"/>
    <w:rsid w:val="00C34FEB"/>
    <w:rsid w:val="00C35033"/>
    <w:rsid w:val="00C35098"/>
    <w:rsid w:val="00C351CA"/>
    <w:rsid w:val="00C351E5"/>
    <w:rsid w:val="00C35338"/>
    <w:rsid w:val="00C354C4"/>
    <w:rsid w:val="00C355FF"/>
    <w:rsid w:val="00C35661"/>
    <w:rsid w:val="00C35780"/>
    <w:rsid w:val="00C3593C"/>
    <w:rsid w:val="00C3599E"/>
    <w:rsid w:val="00C35BAE"/>
    <w:rsid w:val="00C35BF3"/>
    <w:rsid w:val="00C35C54"/>
    <w:rsid w:val="00C35CE3"/>
    <w:rsid w:val="00C35CED"/>
    <w:rsid w:val="00C35D30"/>
    <w:rsid w:val="00C35D4C"/>
    <w:rsid w:val="00C35F00"/>
    <w:rsid w:val="00C360FA"/>
    <w:rsid w:val="00C360FF"/>
    <w:rsid w:val="00C3617C"/>
    <w:rsid w:val="00C36184"/>
    <w:rsid w:val="00C361DA"/>
    <w:rsid w:val="00C363BD"/>
    <w:rsid w:val="00C36511"/>
    <w:rsid w:val="00C3661D"/>
    <w:rsid w:val="00C36676"/>
    <w:rsid w:val="00C36697"/>
    <w:rsid w:val="00C3677D"/>
    <w:rsid w:val="00C367B6"/>
    <w:rsid w:val="00C367F5"/>
    <w:rsid w:val="00C36958"/>
    <w:rsid w:val="00C36ABA"/>
    <w:rsid w:val="00C36B89"/>
    <w:rsid w:val="00C36BD6"/>
    <w:rsid w:val="00C36D15"/>
    <w:rsid w:val="00C36DC6"/>
    <w:rsid w:val="00C36DD6"/>
    <w:rsid w:val="00C36E0D"/>
    <w:rsid w:val="00C36E33"/>
    <w:rsid w:val="00C36E9D"/>
    <w:rsid w:val="00C36F48"/>
    <w:rsid w:val="00C36F9A"/>
    <w:rsid w:val="00C36FF9"/>
    <w:rsid w:val="00C371A8"/>
    <w:rsid w:val="00C37210"/>
    <w:rsid w:val="00C3723C"/>
    <w:rsid w:val="00C372D1"/>
    <w:rsid w:val="00C373AC"/>
    <w:rsid w:val="00C375D9"/>
    <w:rsid w:val="00C377FF"/>
    <w:rsid w:val="00C37815"/>
    <w:rsid w:val="00C37835"/>
    <w:rsid w:val="00C3789A"/>
    <w:rsid w:val="00C378A0"/>
    <w:rsid w:val="00C37B35"/>
    <w:rsid w:val="00C37C5A"/>
    <w:rsid w:val="00C37D22"/>
    <w:rsid w:val="00C37D91"/>
    <w:rsid w:val="00C401F0"/>
    <w:rsid w:val="00C40266"/>
    <w:rsid w:val="00C402CF"/>
    <w:rsid w:val="00C40400"/>
    <w:rsid w:val="00C40467"/>
    <w:rsid w:val="00C404A4"/>
    <w:rsid w:val="00C404B5"/>
    <w:rsid w:val="00C404DB"/>
    <w:rsid w:val="00C4069E"/>
    <w:rsid w:val="00C40855"/>
    <w:rsid w:val="00C409B9"/>
    <w:rsid w:val="00C40AF0"/>
    <w:rsid w:val="00C40C74"/>
    <w:rsid w:val="00C40CB8"/>
    <w:rsid w:val="00C40DEE"/>
    <w:rsid w:val="00C40EB3"/>
    <w:rsid w:val="00C40EBF"/>
    <w:rsid w:val="00C40ED5"/>
    <w:rsid w:val="00C410FF"/>
    <w:rsid w:val="00C411D8"/>
    <w:rsid w:val="00C412F3"/>
    <w:rsid w:val="00C413E4"/>
    <w:rsid w:val="00C413FB"/>
    <w:rsid w:val="00C41435"/>
    <w:rsid w:val="00C41734"/>
    <w:rsid w:val="00C41798"/>
    <w:rsid w:val="00C41802"/>
    <w:rsid w:val="00C41874"/>
    <w:rsid w:val="00C4187B"/>
    <w:rsid w:val="00C418A9"/>
    <w:rsid w:val="00C418EA"/>
    <w:rsid w:val="00C418FE"/>
    <w:rsid w:val="00C41924"/>
    <w:rsid w:val="00C419AB"/>
    <w:rsid w:val="00C41ABB"/>
    <w:rsid w:val="00C41B83"/>
    <w:rsid w:val="00C41BBD"/>
    <w:rsid w:val="00C41BE1"/>
    <w:rsid w:val="00C41D2F"/>
    <w:rsid w:val="00C41E97"/>
    <w:rsid w:val="00C41F58"/>
    <w:rsid w:val="00C41F8A"/>
    <w:rsid w:val="00C41FDA"/>
    <w:rsid w:val="00C42035"/>
    <w:rsid w:val="00C422B9"/>
    <w:rsid w:val="00C4238F"/>
    <w:rsid w:val="00C42462"/>
    <w:rsid w:val="00C42480"/>
    <w:rsid w:val="00C42522"/>
    <w:rsid w:val="00C42618"/>
    <w:rsid w:val="00C426F4"/>
    <w:rsid w:val="00C42783"/>
    <w:rsid w:val="00C42AC8"/>
    <w:rsid w:val="00C42BEE"/>
    <w:rsid w:val="00C42DD9"/>
    <w:rsid w:val="00C42F20"/>
    <w:rsid w:val="00C42FC8"/>
    <w:rsid w:val="00C4316F"/>
    <w:rsid w:val="00C431BA"/>
    <w:rsid w:val="00C43266"/>
    <w:rsid w:val="00C432E9"/>
    <w:rsid w:val="00C432F7"/>
    <w:rsid w:val="00C43396"/>
    <w:rsid w:val="00C433D1"/>
    <w:rsid w:val="00C43411"/>
    <w:rsid w:val="00C4352F"/>
    <w:rsid w:val="00C435BF"/>
    <w:rsid w:val="00C43696"/>
    <w:rsid w:val="00C437C5"/>
    <w:rsid w:val="00C4382A"/>
    <w:rsid w:val="00C438BB"/>
    <w:rsid w:val="00C43947"/>
    <w:rsid w:val="00C43A95"/>
    <w:rsid w:val="00C43B66"/>
    <w:rsid w:val="00C43C5F"/>
    <w:rsid w:val="00C43CB4"/>
    <w:rsid w:val="00C43D4F"/>
    <w:rsid w:val="00C43F4E"/>
    <w:rsid w:val="00C44193"/>
    <w:rsid w:val="00C442BB"/>
    <w:rsid w:val="00C44377"/>
    <w:rsid w:val="00C44663"/>
    <w:rsid w:val="00C44685"/>
    <w:rsid w:val="00C44A2B"/>
    <w:rsid w:val="00C44AC7"/>
    <w:rsid w:val="00C44AFC"/>
    <w:rsid w:val="00C44AFD"/>
    <w:rsid w:val="00C44B63"/>
    <w:rsid w:val="00C44DBB"/>
    <w:rsid w:val="00C44E34"/>
    <w:rsid w:val="00C44EA3"/>
    <w:rsid w:val="00C451D3"/>
    <w:rsid w:val="00C451E5"/>
    <w:rsid w:val="00C452F0"/>
    <w:rsid w:val="00C453B3"/>
    <w:rsid w:val="00C453E0"/>
    <w:rsid w:val="00C4544E"/>
    <w:rsid w:val="00C45490"/>
    <w:rsid w:val="00C454FA"/>
    <w:rsid w:val="00C455E5"/>
    <w:rsid w:val="00C455ED"/>
    <w:rsid w:val="00C45624"/>
    <w:rsid w:val="00C45671"/>
    <w:rsid w:val="00C457FC"/>
    <w:rsid w:val="00C45814"/>
    <w:rsid w:val="00C458DD"/>
    <w:rsid w:val="00C45974"/>
    <w:rsid w:val="00C45A7F"/>
    <w:rsid w:val="00C45A94"/>
    <w:rsid w:val="00C45AD9"/>
    <w:rsid w:val="00C45B42"/>
    <w:rsid w:val="00C45D4A"/>
    <w:rsid w:val="00C45EB6"/>
    <w:rsid w:val="00C460A4"/>
    <w:rsid w:val="00C46159"/>
    <w:rsid w:val="00C46182"/>
    <w:rsid w:val="00C465F3"/>
    <w:rsid w:val="00C46609"/>
    <w:rsid w:val="00C46659"/>
    <w:rsid w:val="00C4665B"/>
    <w:rsid w:val="00C46765"/>
    <w:rsid w:val="00C46784"/>
    <w:rsid w:val="00C46851"/>
    <w:rsid w:val="00C4689B"/>
    <w:rsid w:val="00C469A0"/>
    <w:rsid w:val="00C46A5F"/>
    <w:rsid w:val="00C46B6E"/>
    <w:rsid w:val="00C46B95"/>
    <w:rsid w:val="00C46C4B"/>
    <w:rsid w:val="00C46D56"/>
    <w:rsid w:val="00C46EAF"/>
    <w:rsid w:val="00C46F68"/>
    <w:rsid w:val="00C4703A"/>
    <w:rsid w:val="00C471C7"/>
    <w:rsid w:val="00C47268"/>
    <w:rsid w:val="00C473EE"/>
    <w:rsid w:val="00C47740"/>
    <w:rsid w:val="00C477AB"/>
    <w:rsid w:val="00C478D8"/>
    <w:rsid w:val="00C47980"/>
    <w:rsid w:val="00C47AF1"/>
    <w:rsid w:val="00C47CBE"/>
    <w:rsid w:val="00C47D29"/>
    <w:rsid w:val="00C47E34"/>
    <w:rsid w:val="00C47F0E"/>
    <w:rsid w:val="00C4A1CE"/>
    <w:rsid w:val="00C50004"/>
    <w:rsid w:val="00C5003D"/>
    <w:rsid w:val="00C50077"/>
    <w:rsid w:val="00C500BD"/>
    <w:rsid w:val="00C501A9"/>
    <w:rsid w:val="00C50205"/>
    <w:rsid w:val="00C502D9"/>
    <w:rsid w:val="00C502F3"/>
    <w:rsid w:val="00C5033B"/>
    <w:rsid w:val="00C504F1"/>
    <w:rsid w:val="00C505B4"/>
    <w:rsid w:val="00C507C6"/>
    <w:rsid w:val="00C508FB"/>
    <w:rsid w:val="00C50960"/>
    <w:rsid w:val="00C509EB"/>
    <w:rsid w:val="00C50A00"/>
    <w:rsid w:val="00C50B23"/>
    <w:rsid w:val="00C50DF2"/>
    <w:rsid w:val="00C50E73"/>
    <w:rsid w:val="00C51013"/>
    <w:rsid w:val="00C51314"/>
    <w:rsid w:val="00C513A6"/>
    <w:rsid w:val="00C51657"/>
    <w:rsid w:val="00C5167E"/>
    <w:rsid w:val="00C516E9"/>
    <w:rsid w:val="00C51740"/>
    <w:rsid w:val="00C518B4"/>
    <w:rsid w:val="00C51BFA"/>
    <w:rsid w:val="00C51C29"/>
    <w:rsid w:val="00C51C2D"/>
    <w:rsid w:val="00C51F9B"/>
    <w:rsid w:val="00C51FF5"/>
    <w:rsid w:val="00C5206B"/>
    <w:rsid w:val="00C52260"/>
    <w:rsid w:val="00C5228D"/>
    <w:rsid w:val="00C5237A"/>
    <w:rsid w:val="00C5244B"/>
    <w:rsid w:val="00C524A7"/>
    <w:rsid w:val="00C525B2"/>
    <w:rsid w:val="00C526A5"/>
    <w:rsid w:val="00C52739"/>
    <w:rsid w:val="00C527AC"/>
    <w:rsid w:val="00C5280D"/>
    <w:rsid w:val="00C52840"/>
    <w:rsid w:val="00C52A59"/>
    <w:rsid w:val="00C52B40"/>
    <w:rsid w:val="00C52BF7"/>
    <w:rsid w:val="00C52C2B"/>
    <w:rsid w:val="00C52C77"/>
    <w:rsid w:val="00C52E27"/>
    <w:rsid w:val="00C52E52"/>
    <w:rsid w:val="00C52FB0"/>
    <w:rsid w:val="00C53074"/>
    <w:rsid w:val="00C530CF"/>
    <w:rsid w:val="00C53227"/>
    <w:rsid w:val="00C53469"/>
    <w:rsid w:val="00C535AC"/>
    <w:rsid w:val="00C53694"/>
    <w:rsid w:val="00C5389E"/>
    <w:rsid w:val="00C539D0"/>
    <w:rsid w:val="00C539FA"/>
    <w:rsid w:val="00C53B35"/>
    <w:rsid w:val="00C53D38"/>
    <w:rsid w:val="00C53D9B"/>
    <w:rsid w:val="00C53F9E"/>
    <w:rsid w:val="00C53FB8"/>
    <w:rsid w:val="00C5400B"/>
    <w:rsid w:val="00C5414D"/>
    <w:rsid w:val="00C5422E"/>
    <w:rsid w:val="00C542C8"/>
    <w:rsid w:val="00C5434D"/>
    <w:rsid w:val="00C54424"/>
    <w:rsid w:val="00C5446F"/>
    <w:rsid w:val="00C5449D"/>
    <w:rsid w:val="00C54612"/>
    <w:rsid w:val="00C546A6"/>
    <w:rsid w:val="00C546C4"/>
    <w:rsid w:val="00C546EF"/>
    <w:rsid w:val="00C54729"/>
    <w:rsid w:val="00C54816"/>
    <w:rsid w:val="00C54830"/>
    <w:rsid w:val="00C54831"/>
    <w:rsid w:val="00C54A57"/>
    <w:rsid w:val="00C54C78"/>
    <w:rsid w:val="00C54D6B"/>
    <w:rsid w:val="00C54D76"/>
    <w:rsid w:val="00C54DC7"/>
    <w:rsid w:val="00C54DD7"/>
    <w:rsid w:val="00C54E71"/>
    <w:rsid w:val="00C54F5D"/>
    <w:rsid w:val="00C54FAC"/>
    <w:rsid w:val="00C55194"/>
    <w:rsid w:val="00C551B3"/>
    <w:rsid w:val="00C5520B"/>
    <w:rsid w:val="00C55257"/>
    <w:rsid w:val="00C5533E"/>
    <w:rsid w:val="00C55691"/>
    <w:rsid w:val="00C557A1"/>
    <w:rsid w:val="00C558E6"/>
    <w:rsid w:val="00C5591D"/>
    <w:rsid w:val="00C55A0C"/>
    <w:rsid w:val="00C55AF9"/>
    <w:rsid w:val="00C55B87"/>
    <w:rsid w:val="00C55BD9"/>
    <w:rsid w:val="00C55CAE"/>
    <w:rsid w:val="00C55D52"/>
    <w:rsid w:val="00C55D89"/>
    <w:rsid w:val="00C55F2A"/>
    <w:rsid w:val="00C55FAE"/>
    <w:rsid w:val="00C55FC6"/>
    <w:rsid w:val="00C5622E"/>
    <w:rsid w:val="00C56262"/>
    <w:rsid w:val="00C562F6"/>
    <w:rsid w:val="00C56376"/>
    <w:rsid w:val="00C56439"/>
    <w:rsid w:val="00C565B2"/>
    <w:rsid w:val="00C565D8"/>
    <w:rsid w:val="00C5675E"/>
    <w:rsid w:val="00C567BD"/>
    <w:rsid w:val="00C56827"/>
    <w:rsid w:val="00C5687B"/>
    <w:rsid w:val="00C5699C"/>
    <w:rsid w:val="00C56A2F"/>
    <w:rsid w:val="00C56AE1"/>
    <w:rsid w:val="00C56BBF"/>
    <w:rsid w:val="00C56E7E"/>
    <w:rsid w:val="00C56E89"/>
    <w:rsid w:val="00C570E6"/>
    <w:rsid w:val="00C5712C"/>
    <w:rsid w:val="00C571D8"/>
    <w:rsid w:val="00C571F2"/>
    <w:rsid w:val="00C57267"/>
    <w:rsid w:val="00C572E1"/>
    <w:rsid w:val="00C5731D"/>
    <w:rsid w:val="00C57434"/>
    <w:rsid w:val="00C5758C"/>
    <w:rsid w:val="00C575D5"/>
    <w:rsid w:val="00C575DD"/>
    <w:rsid w:val="00C5766A"/>
    <w:rsid w:val="00C5766C"/>
    <w:rsid w:val="00C57724"/>
    <w:rsid w:val="00C57757"/>
    <w:rsid w:val="00C577A7"/>
    <w:rsid w:val="00C578C0"/>
    <w:rsid w:val="00C579BE"/>
    <w:rsid w:val="00C57BBC"/>
    <w:rsid w:val="00C57CA7"/>
    <w:rsid w:val="00C57D5B"/>
    <w:rsid w:val="00C57DEB"/>
    <w:rsid w:val="00C604B2"/>
    <w:rsid w:val="00C605EF"/>
    <w:rsid w:val="00C60639"/>
    <w:rsid w:val="00C6076C"/>
    <w:rsid w:val="00C607D2"/>
    <w:rsid w:val="00C6083E"/>
    <w:rsid w:val="00C60884"/>
    <w:rsid w:val="00C608AC"/>
    <w:rsid w:val="00C608BD"/>
    <w:rsid w:val="00C60BFB"/>
    <w:rsid w:val="00C60C46"/>
    <w:rsid w:val="00C60D0B"/>
    <w:rsid w:val="00C60DCB"/>
    <w:rsid w:val="00C60F1F"/>
    <w:rsid w:val="00C60F33"/>
    <w:rsid w:val="00C60F7A"/>
    <w:rsid w:val="00C61064"/>
    <w:rsid w:val="00C610DF"/>
    <w:rsid w:val="00C611F3"/>
    <w:rsid w:val="00C612A1"/>
    <w:rsid w:val="00C6142C"/>
    <w:rsid w:val="00C61803"/>
    <w:rsid w:val="00C6189C"/>
    <w:rsid w:val="00C618A8"/>
    <w:rsid w:val="00C618C5"/>
    <w:rsid w:val="00C61909"/>
    <w:rsid w:val="00C61C50"/>
    <w:rsid w:val="00C61D35"/>
    <w:rsid w:val="00C61DAE"/>
    <w:rsid w:val="00C61DEA"/>
    <w:rsid w:val="00C61F64"/>
    <w:rsid w:val="00C620BE"/>
    <w:rsid w:val="00C620CB"/>
    <w:rsid w:val="00C6218B"/>
    <w:rsid w:val="00C621FC"/>
    <w:rsid w:val="00C624CA"/>
    <w:rsid w:val="00C624DD"/>
    <w:rsid w:val="00C6257B"/>
    <w:rsid w:val="00C625B4"/>
    <w:rsid w:val="00C625BD"/>
    <w:rsid w:val="00C6264D"/>
    <w:rsid w:val="00C626B7"/>
    <w:rsid w:val="00C629E0"/>
    <w:rsid w:val="00C62AA2"/>
    <w:rsid w:val="00C62B39"/>
    <w:rsid w:val="00C62BCB"/>
    <w:rsid w:val="00C62C6A"/>
    <w:rsid w:val="00C62DBB"/>
    <w:rsid w:val="00C62DE6"/>
    <w:rsid w:val="00C62E06"/>
    <w:rsid w:val="00C62E4E"/>
    <w:rsid w:val="00C62E98"/>
    <w:rsid w:val="00C62EF1"/>
    <w:rsid w:val="00C62EFB"/>
    <w:rsid w:val="00C62F48"/>
    <w:rsid w:val="00C62F58"/>
    <w:rsid w:val="00C62FA6"/>
    <w:rsid w:val="00C62FC7"/>
    <w:rsid w:val="00C631F7"/>
    <w:rsid w:val="00C63251"/>
    <w:rsid w:val="00C633DA"/>
    <w:rsid w:val="00C63531"/>
    <w:rsid w:val="00C63896"/>
    <w:rsid w:val="00C639D1"/>
    <w:rsid w:val="00C63AAC"/>
    <w:rsid w:val="00C63D97"/>
    <w:rsid w:val="00C63DAF"/>
    <w:rsid w:val="00C63E5E"/>
    <w:rsid w:val="00C63F5A"/>
    <w:rsid w:val="00C63F95"/>
    <w:rsid w:val="00C6404F"/>
    <w:rsid w:val="00C6415A"/>
    <w:rsid w:val="00C64345"/>
    <w:rsid w:val="00C64455"/>
    <w:rsid w:val="00C644D2"/>
    <w:rsid w:val="00C64681"/>
    <w:rsid w:val="00C646E8"/>
    <w:rsid w:val="00C64752"/>
    <w:rsid w:val="00C648E5"/>
    <w:rsid w:val="00C64908"/>
    <w:rsid w:val="00C64A12"/>
    <w:rsid w:val="00C64A2F"/>
    <w:rsid w:val="00C64A53"/>
    <w:rsid w:val="00C64B30"/>
    <w:rsid w:val="00C64B48"/>
    <w:rsid w:val="00C64B8C"/>
    <w:rsid w:val="00C64C19"/>
    <w:rsid w:val="00C64DC7"/>
    <w:rsid w:val="00C64DD3"/>
    <w:rsid w:val="00C64EE2"/>
    <w:rsid w:val="00C64F0B"/>
    <w:rsid w:val="00C64F10"/>
    <w:rsid w:val="00C64F73"/>
    <w:rsid w:val="00C64FFE"/>
    <w:rsid w:val="00C6502F"/>
    <w:rsid w:val="00C65067"/>
    <w:rsid w:val="00C650A7"/>
    <w:rsid w:val="00C6511D"/>
    <w:rsid w:val="00C65176"/>
    <w:rsid w:val="00C652B9"/>
    <w:rsid w:val="00C653EA"/>
    <w:rsid w:val="00C6549E"/>
    <w:rsid w:val="00C654BD"/>
    <w:rsid w:val="00C654D0"/>
    <w:rsid w:val="00C6558C"/>
    <w:rsid w:val="00C6559B"/>
    <w:rsid w:val="00C65747"/>
    <w:rsid w:val="00C6575D"/>
    <w:rsid w:val="00C65824"/>
    <w:rsid w:val="00C65A32"/>
    <w:rsid w:val="00C65ADA"/>
    <w:rsid w:val="00C65BA2"/>
    <w:rsid w:val="00C65BFE"/>
    <w:rsid w:val="00C65C2D"/>
    <w:rsid w:val="00C65CBC"/>
    <w:rsid w:val="00C65CC0"/>
    <w:rsid w:val="00C65EC7"/>
    <w:rsid w:val="00C660F7"/>
    <w:rsid w:val="00C663B6"/>
    <w:rsid w:val="00C66689"/>
    <w:rsid w:val="00C666E9"/>
    <w:rsid w:val="00C66852"/>
    <w:rsid w:val="00C6685D"/>
    <w:rsid w:val="00C668D4"/>
    <w:rsid w:val="00C668FC"/>
    <w:rsid w:val="00C66A7E"/>
    <w:rsid w:val="00C66AE6"/>
    <w:rsid w:val="00C66B9B"/>
    <w:rsid w:val="00C66BD3"/>
    <w:rsid w:val="00C66C6C"/>
    <w:rsid w:val="00C66C78"/>
    <w:rsid w:val="00C66CA2"/>
    <w:rsid w:val="00C66CC5"/>
    <w:rsid w:val="00C66CF4"/>
    <w:rsid w:val="00C66D66"/>
    <w:rsid w:val="00C66DA2"/>
    <w:rsid w:val="00C66E2A"/>
    <w:rsid w:val="00C6708E"/>
    <w:rsid w:val="00C671C1"/>
    <w:rsid w:val="00C67306"/>
    <w:rsid w:val="00C674EF"/>
    <w:rsid w:val="00C6761B"/>
    <w:rsid w:val="00C676EF"/>
    <w:rsid w:val="00C67705"/>
    <w:rsid w:val="00C6774F"/>
    <w:rsid w:val="00C67853"/>
    <w:rsid w:val="00C678AE"/>
    <w:rsid w:val="00C678F0"/>
    <w:rsid w:val="00C67926"/>
    <w:rsid w:val="00C679FE"/>
    <w:rsid w:val="00C67B55"/>
    <w:rsid w:val="00C67BCA"/>
    <w:rsid w:val="00C67C11"/>
    <w:rsid w:val="00C67CEC"/>
    <w:rsid w:val="00C67E07"/>
    <w:rsid w:val="00C67F18"/>
    <w:rsid w:val="00C67F23"/>
    <w:rsid w:val="00C67F7E"/>
    <w:rsid w:val="00C70088"/>
    <w:rsid w:val="00C70115"/>
    <w:rsid w:val="00C70199"/>
    <w:rsid w:val="00C702F1"/>
    <w:rsid w:val="00C70360"/>
    <w:rsid w:val="00C70385"/>
    <w:rsid w:val="00C70491"/>
    <w:rsid w:val="00C704B0"/>
    <w:rsid w:val="00C7054E"/>
    <w:rsid w:val="00C7067B"/>
    <w:rsid w:val="00C706B2"/>
    <w:rsid w:val="00C708F0"/>
    <w:rsid w:val="00C70A16"/>
    <w:rsid w:val="00C70C06"/>
    <w:rsid w:val="00C70C2C"/>
    <w:rsid w:val="00C70DB5"/>
    <w:rsid w:val="00C70F08"/>
    <w:rsid w:val="00C71070"/>
    <w:rsid w:val="00C710A4"/>
    <w:rsid w:val="00C71101"/>
    <w:rsid w:val="00C713C9"/>
    <w:rsid w:val="00C713D7"/>
    <w:rsid w:val="00C715AB"/>
    <w:rsid w:val="00C7166A"/>
    <w:rsid w:val="00C716A3"/>
    <w:rsid w:val="00C7170C"/>
    <w:rsid w:val="00C7170E"/>
    <w:rsid w:val="00C71732"/>
    <w:rsid w:val="00C7175B"/>
    <w:rsid w:val="00C71858"/>
    <w:rsid w:val="00C71ADC"/>
    <w:rsid w:val="00C71BF5"/>
    <w:rsid w:val="00C71D78"/>
    <w:rsid w:val="00C71E0B"/>
    <w:rsid w:val="00C71E75"/>
    <w:rsid w:val="00C71FC9"/>
    <w:rsid w:val="00C720C1"/>
    <w:rsid w:val="00C7217F"/>
    <w:rsid w:val="00C72207"/>
    <w:rsid w:val="00C723BC"/>
    <w:rsid w:val="00C72592"/>
    <w:rsid w:val="00C7260B"/>
    <w:rsid w:val="00C7266E"/>
    <w:rsid w:val="00C727B6"/>
    <w:rsid w:val="00C727D9"/>
    <w:rsid w:val="00C7294B"/>
    <w:rsid w:val="00C729D9"/>
    <w:rsid w:val="00C72B72"/>
    <w:rsid w:val="00C72F25"/>
    <w:rsid w:val="00C73073"/>
    <w:rsid w:val="00C73167"/>
    <w:rsid w:val="00C73393"/>
    <w:rsid w:val="00C735B3"/>
    <w:rsid w:val="00C736BC"/>
    <w:rsid w:val="00C736C8"/>
    <w:rsid w:val="00C7372E"/>
    <w:rsid w:val="00C73769"/>
    <w:rsid w:val="00C73789"/>
    <w:rsid w:val="00C7382F"/>
    <w:rsid w:val="00C7394D"/>
    <w:rsid w:val="00C73B6C"/>
    <w:rsid w:val="00C73BA2"/>
    <w:rsid w:val="00C73DF4"/>
    <w:rsid w:val="00C73F0A"/>
    <w:rsid w:val="00C73FA5"/>
    <w:rsid w:val="00C74014"/>
    <w:rsid w:val="00C7404F"/>
    <w:rsid w:val="00C74075"/>
    <w:rsid w:val="00C740F8"/>
    <w:rsid w:val="00C747FD"/>
    <w:rsid w:val="00C74824"/>
    <w:rsid w:val="00C74C83"/>
    <w:rsid w:val="00C74E37"/>
    <w:rsid w:val="00C7503B"/>
    <w:rsid w:val="00C7515D"/>
    <w:rsid w:val="00C7530B"/>
    <w:rsid w:val="00C7548E"/>
    <w:rsid w:val="00C7550A"/>
    <w:rsid w:val="00C75529"/>
    <w:rsid w:val="00C7554E"/>
    <w:rsid w:val="00C75592"/>
    <w:rsid w:val="00C755A8"/>
    <w:rsid w:val="00C7568B"/>
    <w:rsid w:val="00C758A3"/>
    <w:rsid w:val="00C758E0"/>
    <w:rsid w:val="00C7593F"/>
    <w:rsid w:val="00C759A2"/>
    <w:rsid w:val="00C759F6"/>
    <w:rsid w:val="00C75AC2"/>
    <w:rsid w:val="00C75D04"/>
    <w:rsid w:val="00C75DA6"/>
    <w:rsid w:val="00C75E4A"/>
    <w:rsid w:val="00C760AA"/>
    <w:rsid w:val="00C761C6"/>
    <w:rsid w:val="00C763D1"/>
    <w:rsid w:val="00C7642E"/>
    <w:rsid w:val="00C7648F"/>
    <w:rsid w:val="00C764AE"/>
    <w:rsid w:val="00C764BB"/>
    <w:rsid w:val="00C764F0"/>
    <w:rsid w:val="00C76532"/>
    <w:rsid w:val="00C76677"/>
    <w:rsid w:val="00C766A2"/>
    <w:rsid w:val="00C76713"/>
    <w:rsid w:val="00C7683D"/>
    <w:rsid w:val="00C768B2"/>
    <w:rsid w:val="00C76A06"/>
    <w:rsid w:val="00C76A1E"/>
    <w:rsid w:val="00C76D3A"/>
    <w:rsid w:val="00C76E30"/>
    <w:rsid w:val="00C76EDF"/>
    <w:rsid w:val="00C76EF7"/>
    <w:rsid w:val="00C76F66"/>
    <w:rsid w:val="00C771C5"/>
    <w:rsid w:val="00C77252"/>
    <w:rsid w:val="00C772DF"/>
    <w:rsid w:val="00C7750A"/>
    <w:rsid w:val="00C77610"/>
    <w:rsid w:val="00C77647"/>
    <w:rsid w:val="00C77757"/>
    <w:rsid w:val="00C777DB"/>
    <w:rsid w:val="00C778EC"/>
    <w:rsid w:val="00C77913"/>
    <w:rsid w:val="00C7791B"/>
    <w:rsid w:val="00C77949"/>
    <w:rsid w:val="00C77B59"/>
    <w:rsid w:val="00C77BD9"/>
    <w:rsid w:val="00C77D18"/>
    <w:rsid w:val="00C77E42"/>
    <w:rsid w:val="00C80231"/>
    <w:rsid w:val="00C8024F"/>
    <w:rsid w:val="00C804AA"/>
    <w:rsid w:val="00C804ED"/>
    <w:rsid w:val="00C806C2"/>
    <w:rsid w:val="00C807FA"/>
    <w:rsid w:val="00C808F5"/>
    <w:rsid w:val="00C8091B"/>
    <w:rsid w:val="00C8093C"/>
    <w:rsid w:val="00C80959"/>
    <w:rsid w:val="00C80AB8"/>
    <w:rsid w:val="00C80D1A"/>
    <w:rsid w:val="00C80D23"/>
    <w:rsid w:val="00C81009"/>
    <w:rsid w:val="00C81148"/>
    <w:rsid w:val="00C812E2"/>
    <w:rsid w:val="00C8137C"/>
    <w:rsid w:val="00C81412"/>
    <w:rsid w:val="00C8163D"/>
    <w:rsid w:val="00C81714"/>
    <w:rsid w:val="00C818BF"/>
    <w:rsid w:val="00C81927"/>
    <w:rsid w:val="00C81967"/>
    <w:rsid w:val="00C819F9"/>
    <w:rsid w:val="00C81AAE"/>
    <w:rsid w:val="00C81BB6"/>
    <w:rsid w:val="00C81BC1"/>
    <w:rsid w:val="00C81BE4"/>
    <w:rsid w:val="00C81C19"/>
    <w:rsid w:val="00C81D15"/>
    <w:rsid w:val="00C81FA7"/>
    <w:rsid w:val="00C81FC0"/>
    <w:rsid w:val="00C81FD9"/>
    <w:rsid w:val="00C8200B"/>
    <w:rsid w:val="00C822F0"/>
    <w:rsid w:val="00C82512"/>
    <w:rsid w:val="00C82538"/>
    <w:rsid w:val="00C82550"/>
    <w:rsid w:val="00C82584"/>
    <w:rsid w:val="00C825B9"/>
    <w:rsid w:val="00C82647"/>
    <w:rsid w:val="00C8272D"/>
    <w:rsid w:val="00C827B8"/>
    <w:rsid w:val="00C8286D"/>
    <w:rsid w:val="00C828B1"/>
    <w:rsid w:val="00C82972"/>
    <w:rsid w:val="00C82A3C"/>
    <w:rsid w:val="00C82A67"/>
    <w:rsid w:val="00C82BF6"/>
    <w:rsid w:val="00C82C4F"/>
    <w:rsid w:val="00C82E68"/>
    <w:rsid w:val="00C833EC"/>
    <w:rsid w:val="00C834B6"/>
    <w:rsid w:val="00C83635"/>
    <w:rsid w:val="00C836C1"/>
    <w:rsid w:val="00C83778"/>
    <w:rsid w:val="00C8378B"/>
    <w:rsid w:val="00C837E7"/>
    <w:rsid w:val="00C838D5"/>
    <w:rsid w:val="00C83A4F"/>
    <w:rsid w:val="00C83AAB"/>
    <w:rsid w:val="00C83AEA"/>
    <w:rsid w:val="00C83C43"/>
    <w:rsid w:val="00C83CDE"/>
    <w:rsid w:val="00C83E0A"/>
    <w:rsid w:val="00C83E21"/>
    <w:rsid w:val="00C84161"/>
    <w:rsid w:val="00C84412"/>
    <w:rsid w:val="00C844AC"/>
    <w:rsid w:val="00C84520"/>
    <w:rsid w:val="00C84595"/>
    <w:rsid w:val="00C845CB"/>
    <w:rsid w:val="00C845E0"/>
    <w:rsid w:val="00C8471A"/>
    <w:rsid w:val="00C8476A"/>
    <w:rsid w:val="00C84781"/>
    <w:rsid w:val="00C847F0"/>
    <w:rsid w:val="00C8486E"/>
    <w:rsid w:val="00C84874"/>
    <w:rsid w:val="00C848BC"/>
    <w:rsid w:val="00C84AF6"/>
    <w:rsid w:val="00C84C14"/>
    <w:rsid w:val="00C84DBC"/>
    <w:rsid w:val="00C84F03"/>
    <w:rsid w:val="00C84F4E"/>
    <w:rsid w:val="00C85017"/>
    <w:rsid w:val="00C851D8"/>
    <w:rsid w:val="00C851E0"/>
    <w:rsid w:val="00C852B4"/>
    <w:rsid w:val="00C85305"/>
    <w:rsid w:val="00C8548C"/>
    <w:rsid w:val="00C854EA"/>
    <w:rsid w:val="00C85784"/>
    <w:rsid w:val="00C85790"/>
    <w:rsid w:val="00C857D9"/>
    <w:rsid w:val="00C85C06"/>
    <w:rsid w:val="00C85CCC"/>
    <w:rsid w:val="00C85DCB"/>
    <w:rsid w:val="00C85E8C"/>
    <w:rsid w:val="00C85EB7"/>
    <w:rsid w:val="00C86018"/>
    <w:rsid w:val="00C860E7"/>
    <w:rsid w:val="00C86188"/>
    <w:rsid w:val="00C86430"/>
    <w:rsid w:val="00C864E3"/>
    <w:rsid w:val="00C866C2"/>
    <w:rsid w:val="00C8690A"/>
    <w:rsid w:val="00C86A43"/>
    <w:rsid w:val="00C86BDA"/>
    <w:rsid w:val="00C86D16"/>
    <w:rsid w:val="00C86D92"/>
    <w:rsid w:val="00C86E94"/>
    <w:rsid w:val="00C86E9A"/>
    <w:rsid w:val="00C87042"/>
    <w:rsid w:val="00C87066"/>
    <w:rsid w:val="00C8706A"/>
    <w:rsid w:val="00C87117"/>
    <w:rsid w:val="00C8738E"/>
    <w:rsid w:val="00C8766D"/>
    <w:rsid w:val="00C8769C"/>
    <w:rsid w:val="00C87929"/>
    <w:rsid w:val="00C879AC"/>
    <w:rsid w:val="00C87B03"/>
    <w:rsid w:val="00C87CD5"/>
    <w:rsid w:val="00C90049"/>
    <w:rsid w:val="00C90127"/>
    <w:rsid w:val="00C90171"/>
    <w:rsid w:val="00C903A5"/>
    <w:rsid w:val="00C90462"/>
    <w:rsid w:val="00C906A0"/>
    <w:rsid w:val="00C906AE"/>
    <w:rsid w:val="00C907A5"/>
    <w:rsid w:val="00C9082A"/>
    <w:rsid w:val="00C90880"/>
    <w:rsid w:val="00C9099F"/>
    <w:rsid w:val="00C90A02"/>
    <w:rsid w:val="00C90A0F"/>
    <w:rsid w:val="00C90B7F"/>
    <w:rsid w:val="00C90C01"/>
    <w:rsid w:val="00C90C7B"/>
    <w:rsid w:val="00C90D51"/>
    <w:rsid w:val="00C90E78"/>
    <w:rsid w:val="00C90E8C"/>
    <w:rsid w:val="00C90FA7"/>
    <w:rsid w:val="00C90FFB"/>
    <w:rsid w:val="00C9111B"/>
    <w:rsid w:val="00C912DC"/>
    <w:rsid w:val="00C9136F"/>
    <w:rsid w:val="00C9141F"/>
    <w:rsid w:val="00C9156B"/>
    <w:rsid w:val="00C917A7"/>
    <w:rsid w:val="00C91837"/>
    <w:rsid w:val="00C91842"/>
    <w:rsid w:val="00C918CA"/>
    <w:rsid w:val="00C918E7"/>
    <w:rsid w:val="00C91968"/>
    <w:rsid w:val="00C91B76"/>
    <w:rsid w:val="00C91C40"/>
    <w:rsid w:val="00C91D04"/>
    <w:rsid w:val="00C91D5D"/>
    <w:rsid w:val="00C92109"/>
    <w:rsid w:val="00C923B3"/>
    <w:rsid w:val="00C92474"/>
    <w:rsid w:val="00C924E8"/>
    <w:rsid w:val="00C925D6"/>
    <w:rsid w:val="00C92AF5"/>
    <w:rsid w:val="00C92C4B"/>
    <w:rsid w:val="00C92C67"/>
    <w:rsid w:val="00C92E06"/>
    <w:rsid w:val="00C92F16"/>
    <w:rsid w:val="00C92F46"/>
    <w:rsid w:val="00C92F80"/>
    <w:rsid w:val="00C9301B"/>
    <w:rsid w:val="00C93031"/>
    <w:rsid w:val="00C930F9"/>
    <w:rsid w:val="00C93326"/>
    <w:rsid w:val="00C9345A"/>
    <w:rsid w:val="00C9347D"/>
    <w:rsid w:val="00C936F6"/>
    <w:rsid w:val="00C9385C"/>
    <w:rsid w:val="00C93A76"/>
    <w:rsid w:val="00C93B39"/>
    <w:rsid w:val="00C93B44"/>
    <w:rsid w:val="00C93BF2"/>
    <w:rsid w:val="00C93E1E"/>
    <w:rsid w:val="00C93E64"/>
    <w:rsid w:val="00C940CD"/>
    <w:rsid w:val="00C94188"/>
    <w:rsid w:val="00C941D8"/>
    <w:rsid w:val="00C94229"/>
    <w:rsid w:val="00C944AE"/>
    <w:rsid w:val="00C9450E"/>
    <w:rsid w:val="00C9455F"/>
    <w:rsid w:val="00C945E8"/>
    <w:rsid w:val="00C94717"/>
    <w:rsid w:val="00C94799"/>
    <w:rsid w:val="00C94840"/>
    <w:rsid w:val="00C948DA"/>
    <w:rsid w:val="00C94912"/>
    <w:rsid w:val="00C94931"/>
    <w:rsid w:val="00C94A5E"/>
    <w:rsid w:val="00C94A6C"/>
    <w:rsid w:val="00C94A97"/>
    <w:rsid w:val="00C94AC3"/>
    <w:rsid w:val="00C94ACC"/>
    <w:rsid w:val="00C94B0F"/>
    <w:rsid w:val="00C94B15"/>
    <w:rsid w:val="00C94B37"/>
    <w:rsid w:val="00C94B48"/>
    <w:rsid w:val="00C94E32"/>
    <w:rsid w:val="00C9503C"/>
    <w:rsid w:val="00C9518A"/>
    <w:rsid w:val="00C951AD"/>
    <w:rsid w:val="00C95264"/>
    <w:rsid w:val="00C95315"/>
    <w:rsid w:val="00C95364"/>
    <w:rsid w:val="00C953BE"/>
    <w:rsid w:val="00C953EE"/>
    <w:rsid w:val="00C95440"/>
    <w:rsid w:val="00C95507"/>
    <w:rsid w:val="00C9558B"/>
    <w:rsid w:val="00C95661"/>
    <w:rsid w:val="00C957DE"/>
    <w:rsid w:val="00C95817"/>
    <w:rsid w:val="00C958FA"/>
    <w:rsid w:val="00C95B95"/>
    <w:rsid w:val="00C95BE7"/>
    <w:rsid w:val="00C95CAB"/>
    <w:rsid w:val="00C95D19"/>
    <w:rsid w:val="00C95F11"/>
    <w:rsid w:val="00C95F87"/>
    <w:rsid w:val="00C964B9"/>
    <w:rsid w:val="00C9657B"/>
    <w:rsid w:val="00C965DD"/>
    <w:rsid w:val="00C96644"/>
    <w:rsid w:val="00C96688"/>
    <w:rsid w:val="00C966CF"/>
    <w:rsid w:val="00C96736"/>
    <w:rsid w:val="00C96774"/>
    <w:rsid w:val="00C967FF"/>
    <w:rsid w:val="00C9681D"/>
    <w:rsid w:val="00C96A86"/>
    <w:rsid w:val="00C96BCD"/>
    <w:rsid w:val="00C96E3E"/>
    <w:rsid w:val="00C96EF3"/>
    <w:rsid w:val="00C96EFE"/>
    <w:rsid w:val="00C96F0E"/>
    <w:rsid w:val="00C96F5E"/>
    <w:rsid w:val="00C9701C"/>
    <w:rsid w:val="00C97033"/>
    <w:rsid w:val="00C9707A"/>
    <w:rsid w:val="00C971EA"/>
    <w:rsid w:val="00C97209"/>
    <w:rsid w:val="00C97271"/>
    <w:rsid w:val="00C9735F"/>
    <w:rsid w:val="00C97425"/>
    <w:rsid w:val="00C97477"/>
    <w:rsid w:val="00C976E4"/>
    <w:rsid w:val="00C97881"/>
    <w:rsid w:val="00C978FC"/>
    <w:rsid w:val="00C97CDF"/>
    <w:rsid w:val="00CA02F9"/>
    <w:rsid w:val="00CA0374"/>
    <w:rsid w:val="00CA044B"/>
    <w:rsid w:val="00CA0703"/>
    <w:rsid w:val="00CA0AB1"/>
    <w:rsid w:val="00CA0CC5"/>
    <w:rsid w:val="00CA0DAD"/>
    <w:rsid w:val="00CA0FBA"/>
    <w:rsid w:val="00CA110F"/>
    <w:rsid w:val="00CA121A"/>
    <w:rsid w:val="00CA1255"/>
    <w:rsid w:val="00CA1354"/>
    <w:rsid w:val="00CA1396"/>
    <w:rsid w:val="00CA1437"/>
    <w:rsid w:val="00CA15E1"/>
    <w:rsid w:val="00CA189A"/>
    <w:rsid w:val="00CA19A3"/>
    <w:rsid w:val="00CA1A18"/>
    <w:rsid w:val="00CA1A1A"/>
    <w:rsid w:val="00CA1A70"/>
    <w:rsid w:val="00CA1AB0"/>
    <w:rsid w:val="00CA1B2E"/>
    <w:rsid w:val="00CA1B38"/>
    <w:rsid w:val="00CA1C03"/>
    <w:rsid w:val="00CA1C56"/>
    <w:rsid w:val="00CA1C78"/>
    <w:rsid w:val="00CA1D7D"/>
    <w:rsid w:val="00CA1E14"/>
    <w:rsid w:val="00CA1F05"/>
    <w:rsid w:val="00CA1F82"/>
    <w:rsid w:val="00CA201B"/>
    <w:rsid w:val="00CA2092"/>
    <w:rsid w:val="00CA20F0"/>
    <w:rsid w:val="00CA22A5"/>
    <w:rsid w:val="00CA22AC"/>
    <w:rsid w:val="00CA2479"/>
    <w:rsid w:val="00CA248C"/>
    <w:rsid w:val="00CA24DD"/>
    <w:rsid w:val="00CA25F0"/>
    <w:rsid w:val="00CA2648"/>
    <w:rsid w:val="00CA27DE"/>
    <w:rsid w:val="00CA2830"/>
    <w:rsid w:val="00CA2862"/>
    <w:rsid w:val="00CA2AAB"/>
    <w:rsid w:val="00CA2BEF"/>
    <w:rsid w:val="00CA2C2B"/>
    <w:rsid w:val="00CA2CCF"/>
    <w:rsid w:val="00CA2FA4"/>
    <w:rsid w:val="00CA3076"/>
    <w:rsid w:val="00CA30FE"/>
    <w:rsid w:val="00CA3129"/>
    <w:rsid w:val="00CA329C"/>
    <w:rsid w:val="00CA33FD"/>
    <w:rsid w:val="00CA353F"/>
    <w:rsid w:val="00CA356A"/>
    <w:rsid w:val="00CA35EA"/>
    <w:rsid w:val="00CA36DB"/>
    <w:rsid w:val="00CA37E9"/>
    <w:rsid w:val="00CA3834"/>
    <w:rsid w:val="00CA389D"/>
    <w:rsid w:val="00CA3936"/>
    <w:rsid w:val="00CA393F"/>
    <w:rsid w:val="00CA3979"/>
    <w:rsid w:val="00CA39D8"/>
    <w:rsid w:val="00CA3A6F"/>
    <w:rsid w:val="00CA3C29"/>
    <w:rsid w:val="00CA3CAF"/>
    <w:rsid w:val="00CA3CB4"/>
    <w:rsid w:val="00CA3E36"/>
    <w:rsid w:val="00CA3F1C"/>
    <w:rsid w:val="00CA4327"/>
    <w:rsid w:val="00CA440E"/>
    <w:rsid w:val="00CA44B0"/>
    <w:rsid w:val="00CA451D"/>
    <w:rsid w:val="00CA45BC"/>
    <w:rsid w:val="00CA4A6F"/>
    <w:rsid w:val="00CA4AA7"/>
    <w:rsid w:val="00CA4B7A"/>
    <w:rsid w:val="00CA4B8F"/>
    <w:rsid w:val="00CA524D"/>
    <w:rsid w:val="00CA54C5"/>
    <w:rsid w:val="00CA5511"/>
    <w:rsid w:val="00CA5582"/>
    <w:rsid w:val="00CA55D3"/>
    <w:rsid w:val="00CA5827"/>
    <w:rsid w:val="00CA5B2B"/>
    <w:rsid w:val="00CA5C07"/>
    <w:rsid w:val="00CA5D06"/>
    <w:rsid w:val="00CA5E50"/>
    <w:rsid w:val="00CA5F5C"/>
    <w:rsid w:val="00CA5FE0"/>
    <w:rsid w:val="00CA5FFD"/>
    <w:rsid w:val="00CA60CA"/>
    <w:rsid w:val="00CA6344"/>
    <w:rsid w:val="00CA63D9"/>
    <w:rsid w:val="00CA63DA"/>
    <w:rsid w:val="00CA6401"/>
    <w:rsid w:val="00CA64E8"/>
    <w:rsid w:val="00CA65B1"/>
    <w:rsid w:val="00CA6615"/>
    <w:rsid w:val="00CA66B3"/>
    <w:rsid w:val="00CA6765"/>
    <w:rsid w:val="00CA682C"/>
    <w:rsid w:val="00CA6B11"/>
    <w:rsid w:val="00CA6CD7"/>
    <w:rsid w:val="00CA6D00"/>
    <w:rsid w:val="00CA6D99"/>
    <w:rsid w:val="00CA6EC3"/>
    <w:rsid w:val="00CA712C"/>
    <w:rsid w:val="00CA71EE"/>
    <w:rsid w:val="00CA71FB"/>
    <w:rsid w:val="00CA72C5"/>
    <w:rsid w:val="00CA72F4"/>
    <w:rsid w:val="00CA7458"/>
    <w:rsid w:val="00CA74F6"/>
    <w:rsid w:val="00CA758A"/>
    <w:rsid w:val="00CA758E"/>
    <w:rsid w:val="00CA759D"/>
    <w:rsid w:val="00CA76D0"/>
    <w:rsid w:val="00CA76D3"/>
    <w:rsid w:val="00CA76E0"/>
    <w:rsid w:val="00CA781F"/>
    <w:rsid w:val="00CA7A46"/>
    <w:rsid w:val="00CA7B99"/>
    <w:rsid w:val="00CA7C6D"/>
    <w:rsid w:val="00CB00DF"/>
    <w:rsid w:val="00CB03C0"/>
    <w:rsid w:val="00CB041B"/>
    <w:rsid w:val="00CB055C"/>
    <w:rsid w:val="00CB05ED"/>
    <w:rsid w:val="00CB0609"/>
    <w:rsid w:val="00CB083B"/>
    <w:rsid w:val="00CB0871"/>
    <w:rsid w:val="00CB09D9"/>
    <w:rsid w:val="00CB0CA9"/>
    <w:rsid w:val="00CB0DA3"/>
    <w:rsid w:val="00CB0FBB"/>
    <w:rsid w:val="00CB1024"/>
    <w:rsid w:val="00CB1088"/>
    <w:rsid w:val="00CB137F"/>
    <w:rsid w:val="00CB1411"/>
    <w:rsid w:val="00CB14AE"/>
    <w:rsid w:val="00CB15C6"/>
    <w:rsid w:val="00CB161A"/>
    <w:rsid w:val="00CB1759"/>
    <w:rsid w:val="00CB177B"/>
    <w:rsid w:val="00CB17D7"/>
    <w:rsid w:val="00CB180B"/>
    <w:rsid w:val="00CB1829"/>
    <w:rsid w:val="00CB1844"/>
    <w:rsid w:val="00CB188F"/>
    <w:rsid w:val="00CB19A8"/>
    <w:rsid w:val="00CB1A3A"/>
    <w:rsid w:val="00CB1A9B"/>
    <w:rsid w:val="00CB1B04"/>
    <w:rsid w:val="00CB1B84"/>
    <w:rsid w:val="00CB1C49"/>
    <w:rsid w:val="00CB1DE2"/>
    <w:rsid w:val="00CB1E09"/>
    <w:rsid w:val="00CB1E91"/>
    <w:rsid w:val="00CB2166"/>
    <w:rsid w:val="00CB217D"/>
    <w:rsid w:val="00CB236B"/>
    <w:rsid w:val="00CB23FB"/>
    <w:rsid w:val="00CB242E"/>
    <w:rsid w:val="00CB2469"/>
    <w:rsid w:val="00CB2600"/>
    <w:rsid w:val="00CB288F"/>
    <w:rsid w:val="00CB2A82"/>
    <w:rsid w:val="00CB2B66"/>
    <w:rsid w:val="00CB2C42"/>
    <w:rsid w:val="00CB2C9F"/>
    <w:rsid w:val="00CB2D12"/>
    <w:rsid w:val="00CB3038"/>
    <w:rsid w:val="00CB31AB"/>
    <w:rsid w:val="00CB31D0"/>
    <w:rsid w:val="00CB32E7"/>
    <w:rsid w:val="00CB336A"/>
    <w:rsid w:val="00CB3380"/>
    <w:rsid w:val="00CB348E"/>
    <w:rsid w:val="00CB35A0"/>
    <w:rsid w:val="00CB37C7"/>
    <w:rsid w:val="00CB37DC"/>
    <w:rsid w:val="00CB39D7"/>
    <w:rsid w:val="00CB3A12"/>
    <w:rsid w:val="00CB3ACA"/>
    <w:rsid w:val="00CB3AF6"/>
    <w:rsid w:val="00CB3C07"/>
    <w:rsid w:val="00CB3C74"/>
    <w:rsid w:val="00CB3DC8"/>
    <w:rsid w:val="00CB3DEE"/>
    <w:rsid w:val="00CB3E36"/>
    <w:rsid w:val="00CB409F"/>
    <w:rsid w:val="00CB412F"/>
    <w:rsid w:val="00CB41FB"/>
    <w:rsid w:val="00CB42F0"/>
    <w:rsid w:val="00CB4373"/>
    <w:rsid w:val="00CB43B7"/>
    <w:rsid w:val="00CB44E5"/>
    <w:rsid w:val="00CB468E"/>
    <w:rsid w:val="00CB46AA"/>
    <w:rsid w:val="00CB46AC"/>
    <w:rsid w:val="00CB4759"/>
    <w:rsid w:val="00CB486E"/>
    <w:rsid w:val="00CB48C9"/>
    <w:rsid w:val="00CB49E7"/>
    <w:rsid w:val="00CB4B05"/>
    <w:rsid w:val="00CB4BCF"/>
    <w:rsid w:val="00CB4C0E"/>
    <w:rsid w:val="00CB4C76"/>
    <w:rsid w:val="00CB4DEB"/>
    <w:rsid w:val="00CB4F6E"/>
    <w:rsid w:val="00CB4F93"/>
    <w:rsid w:val="00CB4FA1"/>
    <w:rsid w:val="00CB4FCA"/>
    <w:rsid w:val="00CB5170"/>
    <w:rsid w:val="00CB5178"/>
    <w:rsid w:val="00CB51B3"/>
    <w:rsid w:val="00CB520E"/>
    <w:rsid w:val="00CB5218"/>
    <w:rsid w:val="00CB52BE"/>
    <w:rsid w:val="00CB52C3"/>
    <w:rsid w:val="00CB5312"/>
    <w:rsid w:val="00CB53A7"/>
    <w:rsid w:val="00CB53AA"/>
    <w:rsid w:val="00CB5435"/>
    <w:rsid w:val="00CB54A5"/>
    <w:rsid w:val="00CB5597"/>
    <w:rsid w:val="00CB563A"/>
    <w:rsid w:val="00CB57CB"/>
    <w:rsid w:val="00CB5824"/>
    <w:rsid w:val="00CB5876"/>
    <w:rsid w:val="00CB593C"/>
    <w:rsid w:val="00CB5A88"/>
    <w:rsid w:val="00CB5ADE"/>
    <w:rsid w:val="00CB5B6F"/>
    <w:rsid w:val="00CB5BB4"/>
    <w:rsid w:val="00CB5C9D"/>
    <w:rsid w:val="00CB5D27"/>
    <w:rsid w:val="00CB5DDF"/>
    <w:rsid w:val="00CB6139"/>
    <w:rsid w:val="00CB6186"/>
    <w:rsid w:val="00CB621E"/>
    <w:rsid w:val="00CB629A"/>
    <w:rsid w:val="00CB633F"/>
    <w:rsid w:val="00CB651B"/>
    <w:rsid w:val="00CB657E"/>
    <w:rsid w:val="00CB6592"/>
    <w:rsid w:val="00CB65D8"/>
    <w:rsid w:val="00CB65F1"/>
    <w:rsid w:val="00CB6688"/>
    <w:rsid w:val="00CB6704"/>
    <w:rsid w:val="00CB673C"/>
    <w:rsid w:val="00CB6820"/>
    <w:rsid w:val="00CB694E"/>
    <w:rsid w:val="00CB69DC"/>
    <w:rsid w:val="00CB6C84"/>
    <w:rsid w:val="00CB6CC9"/>
    <w:rsid w:val="00CB6CEF"/>
    <w:rsid w:val="00CB6D54"/>
    <w:rsid w:val="00CB6D7C"/>
    <w:rsid w:val="00CB6DEE"/>
    <w:rsid w:val="00CB6E8A"/>
    <w:rsid w:val="00CB7036"/>
    <w:rsid w:val="00CB72F8"/>
    <w:rsid w:val="00CB736C"/>
    <w:rsid w:val="00CB743F"/>
    <w:rsid w:val="00CB75AF"/>
    <w:rsid w:val="00CB7776"/>
    <w:rsid w:val="00CB77CD"/>
    <w:rsid w:val="00CB7CB8"/>
    <w:rsid w:val="00CB7D50"/>
    <w:rsid w:val="00CB7E30"/>
    <w:rsid w:val="00CB7F66"/>
    <w:rsid w:val="00CC00A6"/>
    <w:rsid w:val="00CC01F6"/>
    <w:rsid w:val="00CC023F"/>
    <w:rsid w:val="00CC025F"/>
    <w:rsid w:val="00CC0280"/>
    <w:rsid w:val="00CC0391"/>
    <w:rsid w:val="00CC0569"/>
    <w:rsid w:val="00CC05D5"/>
    <w:rsid w:val="00CC0654"/>
    <w:rsid w:val="00CC0662"/>
    <w:rsid w:val="00CC0686"/>
    <w:rsid w:val="00CC06A1"/>
    <w:rsid w:val="00CC07B0"/>
    <w:rsid w:val="00CC0803"/>
    <w:rsid w:val="00CC08E9"/>
    <w:rsid w:val="00CC0A9F"/>
    <w:rsid w:val="00CC0BFA"/>
    <w:rsid w:val="00CC0CA7"/>
    <w:rsid w:val="00CC0EEA"/>
    <w:rsid w:val="00CC0F53"/>
    <w:rsid w:val="00CC0FA1"/>
    <w:rsid w:val="00CC0FE1"/>
    <w:rsid w:val="00CC123B"/>
    <w:rsid w:val="00CC131B"/>
    <w:rsid w:val="00CC14AC"/>
    <w:rsid w:val="00CC1526"/>
    <w:rsid w:val="00CC15DA"/>
    <w:rsid w:val="00CC1641"/>
    <w:rsid w:val="00CC16D1"/>
    <w:rsid w:val="00CC185C"/>
    <w:rsid w:val="00CC190E"/>
    <w:rsid w:val="00CC1AA7"/>
    <w:rsid w:val="00CC1ADE"/>
    <w:rsid w:val="00CC1B0E"/>
    <w:rsid w:val="00CC1B26"/>
    <w:rsid w:val="00CC1C1B"/>
    <w:rsid w:val="00CC1C7E"/>
    <w:rsid w:val="00CC1D36"/>
    <w:rsid w:val="00CC1D93"/>
    <w:rsid w:val="00CC1FF1"/>
    <w:rsid w:val="00CC201C"/>
    <w:rsid w:val="00CC2154"/>
    <w:rsid w:val="00CC2420"/>
    <w:rsid w:val="00CC2576"/>
    <w:rsid w:val="00CC26D0"/>
    <w:rsid w:val="00CC271E"/>
    <w:rsid w:val="00CC27A4"/>
    <w:rsid w:val="00CC2907"/>
    <w:rsid w:val="00CC29E8"/>
    <w:rsid w:val="00CC2AFD"/>
    <w:rsid w:val="00CC2C9E"/>
    <w:rsid w:val="00CC2D11"/>
    <w:rsid w:val="00CC2D12"/>
    <w:rsid w:val="00CC2D38"/>
    <w:rsid w:val="00CC2D9C"/>
    <w:rsid w:val="00CC2DC0"/>
    <w:rsid w:val="00CC2E96"/>
    <w:rsid w:val="00CC2EF2"/>
    <w:rsid w:val="00CC2F8F"/>
    <w:rsid w:val="00CC3018"/>
    <w:rsid w:val="00CC32A0"/>
    <w:rsid w:val="00CC32B5"/>
    <w:rsid w:val="00CC3360"/>
    <w:rsid w:val="00CC338B"/>
    <w:rsid w:val="00CC3447"/>
    <w:rsid w:val="00CC3712"/>
    <w:rsid w:val="00CC371F"/>
    <w:rsid w:val="00CC38C7"/>
    <w:rsid w:val="00CC3908"/>
    <w:rsid w:val="00CC3938"/>
    <w:rsid w:val="00CC3979"/>
    <w:rsid w:val="00CC3A5B"/>
    <w:rsid w:val="00CC3A9D"/>
    <w:rsid w:val="00CC3B4D"/>
    <w:rsid w:val="00CC3B8D"/>
    <w:rsid w:val="00CC3DC5"/>
    <w:rsid w:val="00CC3F0A"/>
    <w:rsid w:val="00CC4052"/>
    <w:rsid w:val="00CC40BB"/>
    <w:rsid w:val="00CC40D0"/>
    <w:rsid w:val="00CC411C"/>
    <w:rsid w:val="00CC411E"/>
    <w:rsid w:val="00CC4159"/>
    <w:rsid w:val="00CC417B"/>
    <w:rsid w:val="00CC417F"/>
    <w:rsid w:val="00CC4210"/>
    <w:rsid w:val="00CC4267"/>
    <w:rsid w:val="00CC42DE"/>
    <w:rsid w:val="00CC42DF"/>
    <w:rsid w:val="00CC43FD"/>
    <w:rsid w:val="00CC4690"/>
    <w:rsid w:val="00CC476C"/>
    <w:rsid w:val="00CC48C7"/>
    <w:rsid w:val="00CC48F9"/>
    <w:rsid w:val="00CC4CA2"/>
    <w:rsid w:val="00CC4CD0"/>
    <w:rsid w:val="00CC4D78"/>
    <w:rsid w:val="00CC4D9B"/>
    <w:rsid w:val="00CC4ECB"/>
    <w:rsid w:val="00CC4F8B"/>
    <w:rsid w:val="00CC4FFB"/>
    <w:rsid w:val="00CC506E"/>
    <w:rsid w:val="00CC50EF"/>
    <w:rsid w:val="00CC5118"/>
    <w:rsid w:val="00CC511B"/>
    <w:rsid w:val="00CC511E"/>
    <w:rsid w:val="00CC5129"/>
    <w:rsid w:val="00CC52C0"/>
    <w:rsid w:val="00CC52E8"/>
    <w:rsid w:val="00CC5451"/>
    <w:rsid w:val="00CC5466"/>
    <w:rsid w:val="00CC552D"/>
    <w:rsid w:val="00CC554D"/>
    <w:rsid w:val="00CC5558"/>
    <w:rsid w:val="00CC5561"/>
    <w:rsid w:val="00CC5633"/>
    <w:rsid w:val="00CC5726"/>
    <w:rsid w:val="00CC59B3"/>
    <w:rsid w:val="00CC5A85"/>
    <w:rsid w:val="00CC5B3E"/>
    <w:rsid w:val="00CC5C68"/>
    <w:rsid w:val="00CC5C70"/>
    <w:rsid w:val="00CC5E57"/>
    <w:rsid w:val="00CC5F15"/>
    <w:rsid w:val="00CC5F40"/>
    <w:rsid w:val="00CC5FBF"/>
    <w:rsid w:val="00CC5FED"/>
    <w:rsid w:val="00CC607A"/>
    <w:rsid w:val="00CC6176"/>
    <w:rsid w:val="00CC61F7"/>
    <w:rsid w:val="00CC6316"/>
    <w:rsid w:val="00CC6338"/>
    <w:rsid w:val="00CC6365"/>
    <w:rsid w:val="00CC63E9"/>
    <w:rsid w:val="00CC6573"/>
    <w:rsid w:val="00CC6698"/>
    <w:rsid w:val="00CC66F8"/>
    <w:rsid w:val="00CC6776"/>
    <w:rsid w:val="00CC68E3"/>
    <w:rsid w:val="00CC68FC"/>
    <w:rsid w:val="00CC6A40"/>
    <w:rsid w:val="00CC6D3C"/>
    <w:rsid w:val="00CC6E80"/>
    <w:rsid w:val="00CC6E8E"/>
    <w:rsid w:val="00CC7042"/>
    <w:rsid w:val="00CC70A3"/>
    <w:rsid w:val="00CC7206"/>
    <w:rsid w:val="00CC7287"/>
    <w:rsid w:val="00CC72CF"/>
    <w:rsid w:val="00CC73E8"/>
    <w:rsid w:val="00CC74F6"/>
    <w:rsid w:val="00CC754F"/>
    <w:rsid w:val="00CC7730"/>
    <w:rsid w:val="00CC7750"/>
    <w:rsid w:val="00CC788F"/>
    <w:rsid w:val="00CC78F2"/>
    <w:rsid w:val="00CC7954"/>
    <w:rsid w:val="00CC798F"/>
    <w:rsid w:val="00CC79F8"/>
    <w:rsid w:val="00CC7A18"/>
    <w:rsid w:val="00CC7A3B"/>
    <w:rsid w:val="00CC7A9F"/>
    <w:rsid w:val="00CC7AF8"/>
    <w:rsid w:val="00CC7B92"/>
    <w:rsid w:val="00CC7C76"/>
    <w:rsid w:val="00CC7D0E"/>
    <w:rsid w:val="00CC7E4E"/>
    <w:rsid w:val="00CC7E55"/>
    <w:rsid w:val="00CC7ED6"/>
    <w:rsid w:val="00CC7F01"/>
    <w:rsid w:val="00CD0015"/>
    <w:rsid w:val="00CD0225"/>
    <w:rsid w:val="00CD0323"/>
    <w:rsid w:val="00CD039E"/>
    <w:rsid w:val="00CD04E6"/>
    <w:rsid w:val="00CD0559"/>
    <w:rsid w:val="00CD06DA"/>
    <w:rsid w:val="00CD0703"/>
    <w:rsid w:val="00CD094B"/>
    <w:rsid w:val="00CD0986"/>
    <w:rsid w:val="00CD09D8"/>
    <w:rsid w:val="00CD0A54"/>
    <w:rsid w:val="00CD0ADC"/>
    <w:rsid w:val="00CD0B5C"/>
    <w:rsid w:val="00CD0B98"/>
    <w:rsid w:val="00CD0C38"/>
    <w:rsid w:val="00CD0CAD"/>
    <w:rsid w:val="00CD0DFE"/>
    <w:rsid w:val="00CD0E3C"/>
    <w:rsid w:val="00CD0E46"/>
    <w:rsid w:val="00CD0F35"/>
    <w:rsid w:val="00CD0F48"/>
    <w:rsid w:val="00CD0F63"/>
    <w:rsid w:val="00CD0FDA"/>
    <w:rsid w:val="00CD1042"/>
    <w:rsid w:val="00CD1077"/>
    <w:rsid w:val="00CD1148"/>
    <w:rsid w:val="00CD12E6"/>
    <w:rsid w:val="00CD1493"/>
    <w:rsid w:val="00CD1515"/>
    <w:rsid w:val="00CD1798"/>
    <w:rsid w:val="00CD1803"/>
    <w:rsid w:val="00CD18A5"/>
    <w:rsid w:val="00CD191B"/>
    <w:rsid w:val="00CD1BF5"/>
    <w:rsid w:val="00CD1C21"/>
    <w:rsid w:val="00CD1E95"/>
    <w:rsid w:val="00CD1ECA"/>
    <w:rsid w:val="00CD1F14"/>
    <w:rsid w:val="00CD1F1B"/>
    <w:rsid w:val="00CD1F70"/>
    <w:rsid w:val="00CD210B"/>
    <w:rsid w:val="00CD21BD"/>
    <w:rsid w:val="00CD21DA"/>
    <w:rsid w:val="00CD221B"/>
    <w:rsid w:val="00CD22B0"/>
    <w:rsid w:val="00CD2331"/>
    <w:rsid w:val="00CD244C"/>
    <w:rsid w:val="00CD2479"/>
    <w:rsid w:val="00CD24AD"/>
    <w:rsid w:val="00CD291E"/>
    <w:rsid w:val="00CD2A0B"/>
    <w:rsid w:val="00CD2A34"/>
    <w:rsid w:val="00CD2B58"/>
    <w:rsid w:val="00CD2BF3"/>
    <w:rsid w:val="00CD2C09"/>
    <w:rsid w:val="00CD2C2B"/>
    <w:rsid w:val="00CD2C48"/>
    <w:rsid w:val="00CD2D6C"/>
    <w:rsid w:val="00CD2E23"/>
    <w:rsid w:val="00CD2EDB"/>
    <w:rsid w:val="00CD2F70"/>
    <w:rsid w:val="00CD2F81"/>
    <w:rsid w:val="00CD3035"/>
    <w:rsid w:val="00CD30DA"/>
    <w:rsid w:val="00CD322C"/>
    <w:rsid w:val="00CD3344"/>
    <w:rsid w:val="00CD33D9"/>
    <w:rsid w:val="00CD349B"/>
    <w:rsid w:val="00CD35A0"/>
    <w:rsid w:val="00CD35CD"/>
    <w:rsid w:val="00CD35DE"/>
    <w:rsid w:val="00CD3661"/>
    <w:rsid w:val="00CD36CF"/>
    <w:rsid w:val="00CD387E"/>
    <w:rsid w:val="00CD38B1"/>
    <w:rsid w:val="00CD397F"/>
    <w:rsid w:val="00CD3B3C"/>
    <w:rsid w:val="00CD3CF8"/>
    <w:rsid w:val="00CD3EBB"/>
    <w:rsid w:val="00CD3EFB"/>
    <w:rsid w:val="00CD3F46"/>
    <w:rsid w:val="00CD40C1"/>
    <w:rsid w:val="00CD42B5"/>
    <w:rsid w:val="00CD42C4"/>
    <w:rsid w:val="00CD4865"/>
    <w:rsid w:val="00CD4872"/>
    <w:rsid w:val="00CD4884"/>
    <w:rsid w:val="00CD4A75"/>
    <w:rsid w:val="00CD4A7E"/>
    <w:rsid w:val="00CD4A8A"/>
    <w:rsid w:val="00CD4AB5"/>
    <w:rsid w:val="00CD4ABA"/>
    <w:rsid w:val="00CD4AF1"/>
    <w:rsid w:val="00CD4B34"/>
    <w:rsid w:val="00CD4D03"/>
    <w:rsid w:val="00CD4E64"/>
    <w:rsid w:val="00CD4EC4"/>
    <w:rsid w:val="00CD4F25"/>
    <w:rsid w:val="00CD4F50"/>
    <w:rsid w:val="00CD4F9E"/>
    <w:rsid w:val="00CD5112"/>
    <w:rsid w:val="00CD5204"/>
    <w:rsid w:val="00CD5261"/>
    <w:rsid w:val="00CD52B1"/>
    <w:rsid w:val="00CD531E"/>
    <w:rsid w:val="00CD539D"/>
    <w:rsid w:val="00CD5437"/>
    <w:rsid w:val="00CD543A"/>
    <w:rsid w:val="00CD5551"/>
    <w:rsid w:val="00CD558E"/>
    <w:rsid w:val="00CD55FD"/>
    <w:rsid w:val="00CD56CF"/>
    <w:rsid w:val="00CD586D"/>
    <w:rsid w:val="00CD58C4"/>
    <w:rsid w:val="00CD5AF1"/>
    <w:rsid w:val="00CD5C10"/>
    <w:rsid w:val="00CD5D16"/>
    <w:rsid w:val="00CD5D18"/>
    <w:rsid w:val="00CD5DAE"/>
    <w:rsid w:val="00CD5DF2"/>
    <w:rsid w:val="00CD629F"/>
    <w:rsid w:val="00CD630C"/>
    <w:rsid w:val="00CD6326"/>
    <w:rsid w:val="00CD639C"/>
    <w:rsid w:val="00CD63F4"/>
    <w:rsid w:val="00CD6493"/>
    <w:rsid w:val="00CD677D"/>
    <w:rsid w:val="00CD67FD"/>
    <w:rsid w:val="00CD694C"/>
    <w:rsid w:val="00CD6A92"/>
    <w:rsid w:val="00CD6AC9"/>
    <w:rsid w:val="00CD6C25"/>
    <w:rsid w:val="00CD6CDA"/>
    <w:rsid w:val="00CD6F6E"/>
    <w:rsid w:val="00CD7122"/>
    <w:rsid w:val="00CD71B8"/>
    <w:rsid w:val="00CD72D0"/>
    <w:rsid w:val="00CD73C7"/>
    <w:rsid w:val="00CD7433"/>
    <w:rsid w:val="00CD745F"/>
    <w:rsid w:val="00CD7469"/>
    <w:rsid w:val="00CD7514"/>
    <w:rsid w:val="00CD75A5"/>
    <w:rsid w:val="00CD76D9"/>
    <w:rsid w:val="00CD76F2"/>
    <w:rsid w:val="00CD787C"/>
    <w:rsid w:val="00CD78B2"/>
    <w:rsid w:val="00CD7B08"/>
    <w:rsid w:val="00CD7B7B"/>
    <w:rsid w:val="00CD7BE7"/>
    <w:rsid w:val="00CD7C0B"/>
    <w:rsid w:val="00CD7D1E"/>
    <w:rsid w:val="00CD7DAC"/>
    <w:rsid w:val="00CD7DB3"/>
    <w:rsid w:val="00CD7DF7"/>
    <w:rsid w:val="00CD7F2B"/>
    <w:rsid w:val="00CD7F30"/>
    <w:rsid w:val="00CE0011"/>
    <w:rsid w:val="00CE006C"/>
    <w:rsid w:val="00CE00E2"/>
    <w:rsid w:val="00CE02E9"/>
    <w:rsid w:val="00CE02F0"/>
    <w:rsid w:val="00CE03A6"/>
    <w:rsid w:val="00CE0458"/>
    <w:rsid w:val="00CE04A5"/>
    <w:rsid w:val="00CE04C3"/>
    <w:rsid w:val="00CE08DA"/>
    <w:rsid w:val="00CE08E4"/>
    <w:rsid w:val="00CE0937"/>
    <w:rsid w:val="00CE0A3C"/>
    <w:rsid w:val="00CE0B2D"/>
    <w:rsid w:val="00CE0CB7"/>
    <w:rsid w:val="00CE0D70"/>
    <w:rsid w:val="00CE0DA8"/>
    <w:rsid w:val="00CE1051"/>
    <w:rsid w:val="00CE10A0"/>
    <w:rsid w:val="00CE10D2"/>
    <w:rsid w:val="00CE10D9"/>
    <w:rsid w:val="00CE1122"/>
    <w:rsid w:val="00CE1264"/>
    <w:rsid w:val="00CE14C0"/>
    <w:rsid w:val="00CE156C"/>
    <w:rsid w:val="00CE1665"/>
    <w:rsid w:val="00CE16A7"/>
    <w:rsid w:val="00CE16B5"/>
    <w:rsid w:val="00CE1757"/>
    <w:rsid w:val="00CE17E3"/>
    <w:rsid w:val="00CE17EA"/>
    <w:rsid w:val="00CE184D"/>
    <w:rsid w:val="00CE1A49"/>
    <w:rsid w:val="00CE1AE6"/>
    <w:rsid w:val="00CE1B41"/>
    <w:rsid w:val="00CE1BF4"/>
    <w:rsid w:val="00CE1F84"/>
    <w:rsid w:val="00CE1FAA"/>
    <w:rsid w:val="00CE200C"/>
    <w:rsid w:val="00CE21DA"/>
    <w:rsid w:val="00CE2287"/>
    <w:rsid w:val="00CE2364"/>
    <w:rsid w:val="00CE23F1"/>
    <w:rsid w:val="00CE23F7"/>
    <w:rsid w:val="00CE2599"/>
    <w:rsid w:val="00CE2633"/>
    <w:rsid w:val="00CE2895"/>
    <w:rsid w:val="00CE2902"/>
    <w:rsid w:val="00CE299D"/>
    <w:rsid w:val="00CE2AFE"/>
    <w:rsid w:val="00CE2B23"/>
    <w:rsid w:val="00CE2BA3"/>
    <w:rsid w:val="00CE2BB4"/>
    <w:rsid w:val="00CE2CB1"/>
    <w:rsid w:val="00CE2D39"/>
    <w:rsid w:val="00CE31EA"/>
    <w:rsid w:val="00CE31F9"/>
    <w:rsid w:val="00CE3283"/>
    <w:rsid w:val="00CE3385"/>
    <w:rsid w:val="00CE33B6"/>
    <w:rsid w:val="00CE3498"/>
    <w:rsid w:val="00CE350A"/>
    <w:rsid w:val="00CE352E"/>
    <w:rsid w:val="00CE36E1"/>
    <w:rsid w:val="00CE37C9"/>
    <w:rsid w:val="00CE37CC"/>
    <w:rsid w:val="00CE3875"/>
    <w:rsid w:val="00CE3B1E"/>
    <w:rsid w:val="00CE3D67"/>
    <w:rsid w:val="00CE3D77"/>
    <w:rsid w:val="00CE3DD3"/>
    <w:rsid w:val="00CE401E"/>
    <w:rsid w:val="00CE40F9"/>
    <w:rsid w:val="00CE4332"/>
    <w:rsid w:val="00CE4479"/>
    <w:rsid w:val="00CE4544"/>
    <w:rsid w:val="00CE4546"/>
    <w:rsid w:val="00CE4558"/>
    <w:rsid w:val="00CE46DE"/>
    <w:rsid w:val="00CE47A8"/>
    <w:rsid w:val="00CE47B2"/>
    <w:rsid w:val="00CE483A"/>
    <w:rsid w:val="00CE4992"/>
    <w:rsid w:val="00CE4A05"/>
    <w:rsid w:val="00CE4B35"/>
    <w:rsid w:val="00CE4D65"/>
    <w:rsid w:val="00CE4DB9"/>
    <w:rsid w:val="00CE4DE5"/>
    <w:rsid w:val="00CE50F7"/>
    <w:rsid w:val="00CE5149"/>
    <w:rsid w:val="00CE51B2"/>
    <w:rsid w:val="00CE5231"/>
    <w:rsid w:val="00CE546B"/>
    <w:rsid w:val="00CE54C4"/>
    <w:rsid w:val="00CE5558"/>
    <w:rsid w:val="00CE5580"/>
    <w:rsid w:val="00CE55FB"/>
    <w:rsid w:val="00CE5828"/>
    <w:rsid w:val="00CE59DB"/>
    <w:rsid w:val="00CE59EB"/>
    <w:rsid w:val="00CE5AB7"/>
    <w:rsid w:val="00CE5CAB"/>
    <w:rsid w:val="00CE5D2A"/>
    <w:rsid w:val="00CE5DA6"/>
    <w:rsid w:val="00CE5EFD"/>
    <w:rsid w:val="00CE5F3F"/>
    <w:rsid w:val="00CE5F55"/>
    <w:rsid w:val="00CE6140"/>
    <w:rsid w:val="00CE6146"/>
    <w:rsid w:val="00CE62A4"/>
    <w:rsid w:val="00CE63B3"/>
    <w:rsid w:val="00CE64A2"/>
    <w:rsid w:val="00CE6520"/>
    <w:rsid w:val="00CE6529"/>
    <w:rsid w:val="00CE671C"/>
    <w:rsid w:val="00CE672A"/>
    <w:rsid w:val="00CE6731"/>
    <w:rsid w:val="00CE6766"/>
    <w:rsid w:val="00CE67FD"/>
    <w:rsid w:val="00CE6913"/>
    <w:rsid w:val="00CE697B"/>
    <w:rsid w:val="00CE69E9"/>
    <w:rsid w:val="00CE6AF0"/>
    <w:rsid w:val="00CE6D0A"/>
    <w:rsid w:val="00CE6EE2"/>
    <w:rsid w:val="00CE6F8A"/>
    <w:rsid w:val="00CE71C7"/>
    <w:rsid w:val="00CE72E6"/>
    <w:rsid w:val="00CE7310"/>
    <w:rsid w:val="00CE73A8"/>
    <w:rsid w:val="00CE7503"/>
    <w:rsid w:val="00CE759A"/>
    <w:rsid w:val="00CE781D"/>
    <w:rsid w:val="00CE783E"/>
    <w:rsid w:val="00CE792B"/>
    <w:rsid w:val="00CE7A56"/>
    <w:rsid w:val="00CE7DD2"/>
    <w:rsid w:val="00CF003A"/>
    <w:rsid w:val="00CF0083"/>
    <w:rsid w:val="00CF015E"/>
    <w:rsid w:val="00CF021A"/>
    <w:rsid w:val="00CF0325"/>
    <w:rsid w:val="00CF0532"/>
    <w:rsid w:val="00CF0614"/>
    <w:rsid w:val="00CF062E"/>
    <w:rsid w:val="00CF076C"/>
    <w:rsid w:val="00CF087B"/>
    <w:rsid w:val="00CF0AAD"/>
    <w:rsid w:val="00CF0CBD"/>
    <w:rsid w:val="00CF0E16"/>
    <w:rsid w:val="00CF0E2F"/>
    <w:rsid w:val="00CF0EA0"/>
    <w:rsid w:val="00CF1100"/>
    <w:rsid w:val="00CF12C9"/>
    <w:rsid w:val="00CF136C"/>
    <w:rsid w:val="00CF137D"/>
    <w:rsid w:val="00CF138F"/>
    <w:rsid w:val="00CF1418"/>
    <w:rsid w:val="00CF1520"/>
    <w:rsid w:val="00CF15E9"/>
    <w:rsid w:val="00CF1628"/>
    <w:rsid w:val="00CF16D6"/>
    <w:rsid w:val="00CF16F2"/>
    <w:rsid w:val="00CF178D"/>
    <w:rsid w:val="00CF1835"/>
    <w:rsid w:val="00CF188D"/>
    <w:rsid w:val="00CF1A8E"/>
    <w:rsid w:val="00CF1B5B"/>
    <w:rsid w:val="00CF1C6D"/>
    <w:rsid w:val="00CF1CCE"/>
    <w:rsid w:val="00CF1D54"/>
    <w:rsid w:val="00CF1D6B"/>
    <w:rsid w:val="00CF1DA2"/>
    <w:rsid w:val="00CF2017"/>
    <w:rsid w:val="00CF2119"/>
    <w:rsid w:val="00CF2370"/>
    <w:rsid w:val="00CF2396"/>
    <w:rsid w:val="00CF23CB"/>
    <w:rsid w:val="00CF2512"/>
    <w:rsid w:val="00CF2548"/>
    <w:rsid w:val="00CF2557"/>
    <w:rsid w:val="00CF2562"/>
    <w:rsid w:val="00CF269A"/>
    <w:rsid w:val="00CF288E"/>
    <w:rsid w:val="00CF2973"/>
    <w:rsid w:val="00CF2B44"/>
    <w:rsid w:val="00CF2B48"/>
    <w:rsid w:val="00CF2B78"/>
    <w:rsid w:val="00CF2B97"/>
    <w:rsid w:val="00CF2C55"/>
    <w:rsid w:val="00CF2CA4"/>
    <w:rsid w:val="00CF2D1E"/>
    <w:rsid w:val="00CF2D3F"/>
    <w:rsid w:val="00CF2E22"/>
    <w:rsid w:val="00CF2E9D"/>
    <w:rsid w:val="00CF2EF4"/>
    <w:rsid w:val="00CF2F2F"/>
    <w:rsid w:val="00CF2F80"/>
    <w:rsid w:val="00CF2F9D"/>
    <w:rsid w:val="00CF307C"/>
    <w:rsid w:val="00CF30C6"/>
    <w:rsid w:val="00CF31BC"/>
    <w:rsid w:val="00CF35B8"/>
    <w:rsid w:val="00CF3703"/>
    <w:rsid w:val="00CF3785"/>
    <w:rsid w:val="00CF37A6"/>
    <w:rsid w:val="00CF37DF"/>
    <w:rsid w:val="00CF3845"/>
    <w:rsid w:val="00CF38B4"/>
    <w:rsid w:val="00CF3964"/>
    <w:rsid w:val="00CF3B0A"/>
    <w:rsid w:val="00CF3B13"/>
    <w:rsid w:val="00CF3B4A"/>
    <w:rsid w:val="00CF3B50"/>
    <w:rsid w:val="00CF3C79"/>
    <w:rsid w:val="00CF3EAD"/>
    <w:rsid w:val="00CF3ED5"/>
    <w:rsid w:val="00CF3FF8"/>
    <w:rsid w:val="00CF3FF9"/>
    <w:rsid w:val="00CF417F"/>
    <w:rsid w:val="00CF426B"/>
    <w:rsid w:val="00CF42D6"/>
    <w:rsid w:val="00CF4315"/>
    <w:rsid w:val="00CF43D9"/>
    <w:rsid w:val="00CF4486"/>
    <w:rsid w:val="00CF44D5"/>
    <w:rsid w:val="00CF4702"/>
    <w:rsid w:val="00CF476B"/>
    <w:rsid w:val="00CF48F1"/>
    <w:rsid w:val="00CF4904"/>
    <w:rsid w:val="00CF4916"/>
    <w:rsid w:val="00CF4963"/>
    <w:rsid w:val="00CF4984"/>
    <w:rsid w:val="00CF4B13"/>
    <w:rsid w:val="00CF4B32"/>
    <w:rsid w:val="00CF4CB3"/>
    <w:rsid w:val="00CF4EFC"/>
    <w:rsid w:val="00CF5036"/>
    <w:rsid w:val="00CF50A8"/>
    <w:rsid w:val="00CF51A9"/>
    <w:rsid w:val="00CF520F"/>
    <w:rsid w:val="00CF5294"/>
    <w:rsid w:val="00CF52EA"/>
    <w:rsid w:val="00CF5406"/>
    <w:rsid w:val="00CF5501"/>
    <w:rsid w:val="00CF55D6"/>
    <w:rsid w:val="00CF579B"/>
    <w:rsid w:val="00CF57AD"/>
    <w:rsid w:val="00CF57DA"/>
    <w:rsid w:val="00CF58A7"/>
    <w:rsid w:val="00CF58EA"/>
    <w:rsid w:val="00CF5AAF"/>
    <w:rsid w:val="00CF5E13"/>
    <w:rsid w:val="00CF5E49"/>
    <w:rsid w:val="00CF5E51"/>
    <w:rsid w:val="00CF5F0E"/>
    <w:rsid w:val="00CF603A"/>
    <w:rsid w:val="00CF605D"/>
    <w:rsid w:val="00CF6118"/>
    <w:rsid w:val="00CF616A"/>
    <w:rsid w:val="00CF61D6"/>
    <w:rsid w:val="00CF624D"/>
    <w:rsid w:val="00CF65B2"/>
    <w:rsid w:val="00CF6696"/>
    <w:rsid w:val="00CF6900"/>
    <w:rsid w:val="00CF695B"/>
    <w:rsid w:val="00CF6965"/>
    <w:rsid w:val="00CF6A9F"/>
    <w:rsid w:val="00CF6B6A"/>
    <w:rsid w:val="00CF6BDA"/>
    <w:rsid w:val="00CF6C21"/>
    <w:rsid w:val="00CF6C42"/>
    <w:rsid w:val="00CF6C6E"/>
    <w:rsid w:val="00CF6CE8"/>
    <w:rsid w:val="00CF6D2B"/>
    <w:rsid w:val="00CF6E39"/>
    <w:rsid w:val="00CF6E87"/>
    <w:rsid w:val="00CF6F15"/>
    <w:rsid w:val="00CF708B"/>
    <w:rsid w:val="00CF70C3"/>
    <w:rsid w:val="00CF70D5"/>
    <w:rsid w:val="00CF7136"/>
    <w:rsid w:val="00CF716C"/>
    <w:rsid w:val="00CF7329"/>
    <w:rsid w:val="00CF7511"/>
    <w:rsid w:val="00CF75DC"/>
    <w:rsid w:val="00CF7777"/>
    <w:rsid w:val="00CF77FB"/>
    <w:rsid w:val="00CF7A14"/>
    <w:rsid w:val="00CF7BD7"/>
    <w:rsid w:val="00CF7BFB"/>
    <w:rsid w:val="00CF7CD1"/>
    <w:rsid w:val="00CF7F78"/>
    <w:rsid w:val="00CF7F82"/>
    <w:rsid w:val="00D000C4"/>
    <w:rsid w:val="00D0012E"/>
    <w:rsid w:val="00D001E3"/>
    <w:rsid w:val="00D00240"/>
    <w:rsid w:val="00D00306"/>
    <w:rsid w:val="00D0032D"/>
    <w:rsid w:val="00D0033B"/>
    <w:rsid w:val="00D00389"/>
    <w:rsid w:val="00D003F3"/>
    <w:rsid w:val="00D005C6"/>
    <w:rsid w:val="00D0070F"/>
    <w:rsid w:val="00D007CB"/>
    <w:rsid w:val="00D008F4"/>
    <w:rsid w:val="00D00908"/>
    <w:rsid w:val="00D00AB4"/>
    <w:rsid w:val="00D00AD0"/>
    <w:rsid w:val="00D00B14"/>
    <w:rsid w:val="00D00B33"/>
    <w:rsid w:val="00D00B96"/>
    <w:rsid w:val="00D00C03"/>
    <w:rsid w:val="00D00E93"/>
    <w:rsid w:val="00D00ED4"/>
    <w:rsid w:val="00D00EDE"/>
    <w:rsid w:val="00D01121"/>
    <w:rsid w:val="00D012DC"/>
    <w:rsid w:val="00D014CB"/>
    <w:rsid w:val="00D014F6"/>
    <w:rsid w:val="00D01589"/>
    <w:rsid w:val="00D015CE"/>
    <w:rsid w:val="00D0162F"/>
    <w:rsid w:val="00D01690"/>
    <w:rsid w:val="00D0178F"/>
    <w:rsid w:val="00D017A6"/>
    <w:rsid w:val="00D01800"/>
    <w:rsid w:val="00D01859"/>
    <w:rsid w:val="00D0195E"/>
    <w:rsid w:val="00D019AF"/>
    <w:rsid w:val="00D01B2D"/>
    <w:rsid w:val="00D01B9A"/>
    <w:rsid w:val="00D01BE6"/>
    <w:rsid w:val="00D01C2D"/>
    <w:rsid w:val="00D01E33"/>
    <w:rsid w:val="00D01F36"/>
    <w:rsid w:val="00D01F98"/>
    <w:rsid w:val="00D020B4"/>
    <w:rsid w:val="00D022F9"/>
    <w:rsid w:val="00D0241C"/>
    <w:rsid w:val="00D0243C"/>
    <w:rsid w:val="00D024CE"/>
    <w:rsid w:val="00D02523"/>
    <w:rsid w:val="00D02562"/>
    <w:rsid w:val="00D02631"/>
    <w:rsid w:val="00D02760"/>
    <w:rsid w:val="00D0276F"/>
    <w:rsid w:val="00D028AF"/>
    <w:rsid w:val="00D02A67"/>
    <w:rsid w:val="00D02B6B"/>
    <w:rsid w:val="00D02CB0"/>
    <w:rsid w:val="00D02CFB"/>
    <w:rsid w:val="00D02DD3"/>
    <w:rsid w:val="00D02E09"/>
    <w:rsid w:val="00D02E24"/>
    <w:rsid w:val="00D02F4F"/>
    <w:rsid w:val="00D02FB8"/>
    <w:rsid w:val="00D02FBC"/>
    <w:rsid w:val="00D02FE7"/>
    <w:rsid w:val="00D02FFD"/>
    <w:rsid w:val="00D0302F"/>
    <w:rsid w:val="00D03061"/>
    <w:rsid w:val="00D03200"/>
    <w:rsid w:val="00D032E9"/>
    <w:rsid w:val="00D03472"/>
    <w:rsid w:val="00D0348B"/>
    <w:rsid w:val="00D0349C"/>
    <w:rsid w:val="00D0355A"/>
    <w:rsid w:val="00D03667"/>
    <w:rsid w:val="00D0377D"/>
    <w:rsid w:val="00D037FC"/>
    <w:rsid w:val="00D03953"/>
    <w:rsid w:val="00D0398A"/>
    <w:rsid w:val="00D03B1D"/>
    <w:rsid w:val="00D03D0C"/>
    <w:rsid w:val="00D03D35"/>
    <w:rsid w:val="00D03D4C"/>
    <w:rsid w:val="00D03E0C"/>
    <w:rsid w:val="00D03E82"/>
    <w:rsid w:val="00D03EC6"/>
    <w:rsid w:val="00D03F0F"/>
    <w:rsid w:val="00D03F1F"/>
    <w:rsid w:val="00D04250"/>
    <w:rsid w:val="00D04457"/>
    <w:rsid w:val="00D044E2"/>
    <w:rsid w:val="00D045C8"/>
    <w:rsid w:val="00D045F2"/>
    <w:rsid w:val="00D04658"/>
    <w:rsid w:val="00D04822"/>
    <w:rsid w:val="00D04A36"/>
    <w:rsid w:val="00D04A9B"/>
    <w:rsid w:val="00D04B4D"/>
    <w:rsid w:val="00D04BA1"/>
    <w:rsid w:val="00D04C84"/>
    <w:rsid w:val="00D04D33"/>
    <w:rsid w:val="00D04D81"/>
    <w:rsid w:val="00D04F94"/>
    <w:rsid w:val="00D04F9A"/>
    <w:rsid w:val="00D0500C"/>
    <w:rsid w:val="00D05069"/>
    <w:rsid w:val="00D0512C"/>
    <w:rsid w:val="00D05192"/>
    <w:rsid w:val="00D052EC"/>
    <w:rsid w:val="00D05430"/>
    <w:rsid w:val="00D05505"/>
    <w:rsid w:val="00D055CC"/>
    <w:rsid w:val="00D057E9"/>
    <w:rsid w:val="00D05B1D"/>
    <w:rsid w:val="00D05DB5"/>
    <w:rsid w:val="00D05F4A"/>
    <w:rsid w:val="00D05F5D"/>
    <w:rsid w:val="00D05FA1"/>
    <w:rsid w:val="00D05FDA"/>
    <w:rsid w:val="00D060FD"/>
    <w:rsid w:val="00D06197"/>
    <w:rsid w:val="00D06260"/>
    <w:rsid w:val="00D06496"/>
    <w:rsid w:val="00D0649E"/>
    <w:rsid w:val="00D0650C"/>
    <w:rsid w:val="00D06735"/>
    <w:rsid w:val="00D0677E"/>
    <w:rsid w:val="00D06B14"/>
    <w:rsid w:val="00D06CA1"/>
    <w:rsid w:val="00D06D0F"/>
    <w:rsid w:val="00D06DA2"/>
    <w:rsid w:val="00D0740E"/>
    <w:rsid w:val="00D075EA"/>
    <w:rsid w:val="00D0771B"/>
    <w:rsid w:val="00D07732"/>
    <w:rsid w:val="00D077E0"/>
    <w:rsid w:val="00D0780F"/>
    <w:rsid w:val="00D07AB6"/>
    <w:rsid w:val="00D07D11"/>
    <w:rsid w:val="00D07E43"/>
    <w:rsid w:val="00D07F2D"/>
    <w:rsid w:val="00D07F63"/>
    <w:rsid w:val="00D07FEC"/>
    <w:rsid w:val="00D1000C"/>
    <w:rsid w:val="00D1028C"/>
    <w:rsid w:val="00D102BF"/>
    <w:rsid w:val="00D1037F"/>
    <w:rsid w:val="00D103CE"/>
    <w:rsid w:val="00D1042F"/>
    <w:rsid w:val="00D1056E"/>
    <w:rsid w:val="00D1057A"/>
    <w:rsid w:val="00D105E8"/>
    <w:rsid w:val="00D106C1"/>
    <w:rsid w:val="00D10778"/>
    <w:rsid w:val="00D107F3"/>
    <w:rsid w:val="00D10822"/>
    <w:rsid w:val="00D108D9"/>
    <w:rsid w:val="00D10A02"/>
    <w:rsid w:val="00D10A1F"/>
    <w:rsid w:val="00D10AD3"/>
    <w:rsid w:val="00D10B0E"/>
    <w:rsid w:val="00D10B3D"/>
    <w:rsid w:val="00D10BE4"/>
    <w:rsid w:val="00D10C69"/>
    <w:rsid w:val="00D10C82"/>
    <w:rsid w:val="00D10CD4"/>
    <w:rsid w:val="00D10DD9"/>
    <w:rsid w:val="00D10DDF"/>
    <w:rsid w:val="00D10E9F"/>
    <w:rsid w:val="00D10ED7"/>
    <w:rsid w:val="00D10F88"/>
    <w:rsid w:val="00D10F97"/>
    <w:rsid w:val="00D10FD0"/>
    <w:rsid w:val="00D11046"/>
    <w:rsid w:val="00D1105D"/>
    <w:rsid w:val="00D11144"/>
    <w:rsid w:val="00D112B2"/>
    <w:rsid w:val="00D1133C"/>
    <w:rsid w:val="00D114E0"/>
    <w:rsid w:val="00D11514"/>
    <w:rsid w:val="00D115A2"/>
    <w:rsid w:val="00D115C9"/>
    <w:rsid w:val="00D116C7"/>
    <w:rsid w:val="00D116D8"/>
    <w:rsid w:val="00D11B31"/>
    <w:rsid w:val="00D11B50"/>
    <w:rsid w:val="00D11BB7"/>
    <w:rsid w:val="00D11BF1"/>
    <w:rsid w:val="00D11CEF"/>
    <w:rsid w:val="00D11D29"/>
    <w:rsid w:val="00D11DCD"/>
    <w:rsid w:val="00D11EF8"/>
    <w:rsid w:val="00D11FD8"/>
    <w:rsid w:val="00D120BB"/>
    <w:rsid w:val="00D1210C"/>
    <w:rsid w:val="00D122F1"/>
    <w:rsid w:val="00D1239F"/>
    <w:rsid w:val="00D1244C"/>
    <w:rsid w:val="00D1264D"/>
    <w:rsid w:val="00D12767"/>
    <w:rsid w:val="00D127AC"/>
    <w:rsid w:val="00D12846"/>
    <w:rsid w:val="00D12908"/>
    <w:rsid w:val="00D1292D"/>
    <w:rsid w:val="00D129B5"/>
    <w:rsid w:val="00D12D81"/>
    <w:rsid w:val="00D12E94"/>
    <w:rsid w:val="00D12EC4"/>
    <w:rsid w:val="00D12F87"/>
    <w:rsid w:val="00D12F96"/>
    <w:rsid w:val="00D13075"/>
    <w:rsid w:val="00D1319D"/>
    <w:rsid w:val="00D1335B"/>
    <w:rsid w:val="00D133B2"/>
    <w:rsid w:val="00D13509"/>
    <w:rsid w:val="00D13556"/>
    <w:rsid w:val="00D136B6"/>
    <w:rsid w:val="00D136DE"/>
    <w:rsid w:val="00D13731"/>
    <w:rsid w:val="00D13734"/>
    <w:rsid w:val="00D13822"/>
    <w:rsid w:val="00D1384C"/>
    <w:rsid w:val="00D13961"/>
    <w:rsid w:val="00D13973"/>
    <w:rsid w:val="00D13A0D"/>
    <w:rsid w:val="00D13AAA"/>
    <w:rsid w:val="00D13AEE"/>
    <w:rsid w:val="00D13CAE"/>
    <w:rsid w:val="00D13E31"/>
    <w:rsid w:val="00D13EF5"/>
    <w:rsid w:val="00D13F6A"/>
    <w:rsid w:val="00D13F99"/>
    <w:rsid w:val="00D1401C"/>
    <w:rsid w:val="00D1408B"/>
    <w:rsid w:val="00D140DA"/>
    <w:rsid w:val="00D142EF"/>
    <w:rsid w:val="00D14512"/>
    <w:rsid w:val="00D145C8"/>
    <w:rsid w:val="00D14616"/>
    <w:rsid w:val="00D14664"/>
    <w:rsid w:val="00D14695"/>
    <w:rsid w:val="00D14834"/>
    <w:rsid w:val="00D148CC"/>
    <w:rsid w:val="00D14A58"/>
    <w:rsid w:val="00D14AE4"/>
    <w:rsid w:val="00D14AF9"/>
    <w:rsid w:val="00D14C4E"/>
    <w:rsid w:val="00D14C69"/>
    <w:rsid w:val="00D14D9F"/>
    <w:rsid w:val="00D14E79"/>
    <w:rsid w:val="00D14FC8"/>
    <w:rsid w:val="00D151CE"/>
    <w:rsid w:val="00D1521A"/>
    <w:rsid w:val="00D154BF"/>
    <w:rsid w:val="00D1551E"/>
    <w:rsid w:val="00D1555A"/>
    <w:rsid w:val="00D15652"/>
    <w:rsid w:val="00D15752"/>
    <w:rsid w:val="00D15861"/>
    <w:rsid w:val="00D15931"/>
    <w:rsid w:val="00D1599F"/>
    <w:rsid w:val="00D15AC7"/>
    <w:rsid w:val="00D15AD7"/>
    <w:rsid w:val="00D15AFD"/>
    <w:rsid w:val="00D15B25"/>
    <w:rsid w:val="00D15BA3"/>
    <w:rsid w:val="00D15BA4"/>
    <w:rsid w:val="00D15BF5"/>
    <w:rsid w:val="00D15BFD"/>
    <w:rsid w:val="00D15D70"/>
    <w:rsid w:val="00D15F84"/>
    <w:rsid w:val="00D15F95"/>
    <w:rsid w:val="00D1614D"/>
    <w:rsid w:val="00D16153"/>
    <w:rsid w:val="00D16206"/>
    <w:rsid w:val="00D1666B"/>
    <w:rsid w:val="00D166C4"/>
    <w:rsid w:val="00D169CD"/>
    <w:rsid w:val="00D16A35"/>
    <w:rsid w:val="00D16C5E"/>
    <w:rsid w:val="00D16EFD"/>
    <w:rsid w:val="00D16FFD"/>
    <w:rsid w:val="00D17022"/>
    <w:rsid w:val="00D170AC"/>
    <w:rsid w:val="00D171B0"/>
    <w:rsid w:val="00D173D6"/>
    <w:rsid w:val="00D174AB"/>
    <w:rsid w:val="00D17619"/>
    <w:rsid w:val="00D1763E"/>
    <w:rsid w:val="00D17688"/>
    <w:rsid w:val="00D17770"/>
    <w:rsid w:val="00D178FB"/>
    <w:rsid w:val="00D1793B"/>
    <w:rsid w:val="00D17C51"/>
    <w:rsid w:val="00D17C9A"/>
    <w:rsid w:val="00D17CA3"/>
    <w:rsid w:val="00D17E50"/>
    <w:rsid w:val="00D17E6A"/>
    <w:rsid w:val="00D17EA7"/>
    <w:rsid w:val="00D20021"/>
    <w:rsid w:val="00D2005E"/>
    <w:rsid w:val="00D20099"/>
    <w:rsid w:val="00D200A6"/>
    <w:rsid w:val="00D20130"/>
    <w:rsid w:val="00D201C5"/>
    <w:rsid w:val="00D2031B"/>
    <w:rsid w:val="00D20377"/>
    <w:rsid w:val="00D20380"/>
    <w:rsid w:val="00D20387"/>
    <w:rsid w:val="00D203E8"/>
    <w:rsid w:val="00D203EA"/>
    <w:rsid w:val="00D20428"/>
    <w:rsid w:val="00D206D3"/>
    <w:rsid w:val="00D207EB"/>
    <w:rsid w:val="00D20A16"/>
    <w:rsid w:val="00D20A52"/>
    <w:rsid w:val="00D20B88"/>
    <w:rsid w:val="00D20CE2"/>
    <w:rsid w:val="00D20EA3"/>
    <w:rsid w:val="00D20F6C"/>
    <w:rsid w:val="00D21227"/>
    <w:rsid w:val="00D213B4"/>
    <w:rsid w:val="00D21538"/>
    <w:rsid w:val="00D21541"/>
    <w:rsid w:val="00D2163D"/>
    <w:rsid w:val="00D21762"/>
    <w:rsid w:val="00D217F5"/>
    <w:rsid w:val="00D21972"/>
    <w:rsid w:val="00D21A8B"/>
    <w:rsid w:val="00D21A9A"/>
    <w:rsid w:val="00D21C2D"/>
    <w:rsid w:val="00D21D3A"/>
    <w:rsid w:val="00D21F98"/>
    <w:rsid w:val="00D21FC9"/>
    <w:rsid w:val="00D220DC"/>
    <w:rsid w:val="00D220DF"/>
    <w:rsid w:val="00D2215A"/>
    <w:rsid w:val="00D221EA"/>
    <w:rsid w:val="00D2228C"/>
    <w:rsid w:val="00D222AC"/>
    <w:rsid w:val="00D22380"/>
    <w:rsid w:val="00D22504"/>
    <w:rsid w:val="00D226FA"/>
    <w:rsid w:val="00D22706"/>
    <w:rsid w:val="00D2279A"/>
    <w:rsid w:val="00D227BA"/>
    <w:rsid w:val="00D2292A"/>
    <w:rsid w:val="00D22A4E"/>
    <w:rsid w:val="00D22C71"/>
    <w:rsid w:val="00D22CF0"/>
    <w:rsid w:val="00D22D3B"/>
    <w:rsid w:val="00D22D7A"/>
    <w:rsid w:val="00D22F55"/>
    <w:rsid w:val="00D22F72"/>
    <w:rsid w:val="00D23022"/>
    <w:rsid w:val="00D2320D"/>
    <w:rsid w:val="00D23279"/>
    <w:rsid w:val="00D232F4"/>
    <w:rsid w:val="00D23348"/>
    <w:rsid w:val="00D23379"/>
    <w:rsid w:val="00D234C4"/>
    <w:rsid w:val="00D2358B"/>
    <w:rsid w:val="00D23731"/>
    <w:rsid w:val="00D23739"/>
    <w:rsid w:val="00D2398E"/>
    <w:rsid w:val="00D23DE3"/>
    <w:rsid w:val="00D23EE8"/>
    <w:rsid w:val="00D23FEE"/>
    <w:rsid w:val="00D24016"/>
    <w:rsid w:val="00D2403D"/>
    <w:rsid w:val="00D2405D"/>
    <w:rsid w:val="00D243C1"/>
    <w:rsid w:val="00D243E4"/>
    <w:rsid w:val="00D245CC"/>
    <w:rsid w:val="00D2461C"/>
    <w:rsid w:val="00D24B48"/>
    <w:rsid w:val="00D24F44"/>
    <w:rsid w:val="00D250AD"/>
    <w:rsid w:val="00D25148"/>
    <w:rsid w:val="00D25220"/>
    <w:rsid w:val="00D2527D"/>
    <w:rsid w:val="00D252EE"/>
    <w:rsid w:val="00D252FD"/>
    <w:rsid w:val="00D25383"/>
    <w:rsid w:val="00D2541F"/>
    <w:rsid w:val="00D2565D"/>
    <w:rsid w:val="00D25807"/>
    <w:rsid w:val="00D25817"/>
    <w:rsid w:val="00D259FC"/>
    <w:rsid w:val="00D25A6D"/>
    <w:rsid w:val="00D25B95"/>
    <w:rsid w:val="00D25CE5"/>
    <w:rsid w:val="00D25D7B"/>
    <w:rsid w:val="00D25FD6"/>
    <w:rsid w:val="00D26022"/>
    <w:rsid w:val="00D26083"/>
    <w:rsid w:val="00D260A7"/>
    <w:rsid w:val="00D26158"/>
    <w:rsid w:val="00D26278"/>
    <w:rsid w:val="00D262BB"/>
    <w:rsid w:val="00D26304"/>
    <w:rsid w:val="00D26328"/>
    <w:rsid w:val="00D263DD"/>
    <w:rsid w:val="00D2644C"/>
    <w:rsid w:val="00D264A5"/>
    <w:rsid w:val="00D26745"/>
    <w:rsid w:val="00D268DE"/>
    <w:rsid w:val="00D269C1"/>
    <w:rsid w:val="00D26BAB"/>
    <w:rsid w:val="00D26BED"/>
    <w:rsid w:val="00D26CEF"/>
    <w:rsid w:val="00D26CF2"/>
    <w:rsid w:val="00D26E23"/>
    <w:rsid w:val="00D26E3E"/>
    <w:rsid w:val="00D26E68"/>
    <w:rsid w:val="00D26E6E"/>
    <w:rsid w:val="00D2724E"/>
    <w:rsid w:val="00D27414"/>
    <w:rsid w:val="00D274BA"/>
    <w:rsid w:val="00D274C0"/>
    <w:rsid w:val="00D274C9"/>
    <w:rsid w:val="00D2757B"/>
    <w:rsid w:val="00D27758"/>
    <w:rsid w:val="00D27813"/>
    <w:rsid w:val="00D27AA9"/>
    <w:rsid w:val="00D27BE1"/>
    <w:rsid w:val="00D27C40"/>
    <w:rsid w:val="00D27D63"/>
    <w:rsid w:val="00D27DCF"/>
    <w:rsid w:val="00D27DE7"/>
    <w:rsid w:val="00D27FCA"/>
    <w:rsid w:val="00D3008D"/>
    <w:rsid w:val="00D300CD"/>
    <w:rsid w:val="00D30292"/>
    <w:rsid w:val="00D302AF"/>
    <w:rsid w:val="00D302CB"/>
    <w:rsid w:val="00D30761"/>
    <w:rsid w:val="00D3078D"/>
    <w:rsid w:val="00D3092C"/>
    <w:rsid w:val="00D30999"/>
    <w:rsid w:val="00D309E4"/>
    <w:rsid w:val="00D30C0A"/>
    <w:rsid w:val="00D30D6C"/>
    <w:rsid w:val="00D30F56"/>
    <w:rsid w:val="00D31092"/>
    <w:rsid w:val="00D31249"/>
    <w:rsid w:val="00D31327"/>
    <w:rsid w:val="00D3134F"/>
    <w:rsid w:val="00D3142F"/>
    <w:rsid w:val="00D3144C"/>
    <w:rsid w:val="00D3149D"/>
    <w:rsid w:val="00D314BC"/>
    <w:rsid w:val="00D314CD"/>
    <w:rsid w:val="00D314E7"/>
    <w:rsid w:val="00D314FB"/>
    <w:rsid w:val="00D315C1"/>
    <w:rsid w:val="00D3161B"/>
    <w:rsid w:val="00D3169E"/>
    <w:rsid w:val="00D31801"/>
    <w:rsid w:val="00D3184B"/>
    <w:rsid w:val="00D318A2"/>
    <w:rsid w:val="00D318CB"/>
    <w:rsid w:val="00D31C6E"/>
    <w:rsid w:val="00D31CAE"/>
    <w:rsid w:val="00D31DF2"/>
    <w:rsid w:val="00D31FFE"/>
    <w:rsid w:val="00D32026"/>
    <w:rsid w:val="00D32064"/>
    <w:rsid w:val="00D3212E"/>
    <w:rsid w:val="00D321D8"/>
    <w:rsid w:val="00D321F5"/>
    <w:rsid w:val="00D3227C"/>
    <w:rsid w:val="00D32301"/>
    <w:rsid w:val="00D32322"/>
    <w:rsid w:val="00D3244B"/>
    <w:rsid w:val="00D3250F"/>
    <w:rsid w:val="00D32584"/>
    <w:rsid w:val="00D32712"/>
    <w:rsid w:val="00D32778"/>
    <w:rsid w:val="00D32863"/>
    <w:rsid w:val="00D329A6"/>
    <w:rsid w:val="00D32A29"/>
    <w:rsid w:val="00D32A3A"/>
    <w:rsid w:val="00D32B6E"/>
    <w:rsid w:val="00D32BCA"/>
    <w:rsid w:val="00D32BF2"/>
    <w:rsid w:val="00D32C08"/>
    <w:rsid w:val="00D32CCB"/>
    <w:rsid w:val="00D32D0C"/>
    <w:rsid w:val="00D32DA8"/>
    <w:rsid w:val="00D32E80"/>
    <w:rsid w:val="00D32F0C"/>
    <w:rsid w:val="00D32FBF"/>
    <w:rsid w:val="00D32FCC"/>
    <w:rsid w:val="00D33215"/>
    <w:rsid w:val="00D332A0"/>
    <w:rsid w:val="00D332DA"/>
    <w:rsid w:val="00D332F7"/>
    <w:rsid w:val="00D33375"/>
    <w:rsid w:val="00D333A4"/>
    <w:rsid w:val="00D333C9"/>
    <w:rsid w:val="00D33985"/>
    <w:rsid w:val="00D339F2"/>
    <w:rsid w:val="00D33A21"/>
    <w:rsid w:val="00D33AEE"/>
    <w:rsid w:val="00D33C58"/>
    <w:rsid w:val="00D33C83"/>
    <w:rsid w:val="00D33CBF"/>
    <w:rsid w:val="00D33E8D"/>
    <w:rsid w:val="00D33F89"/>
    <w:rsid w:val="00D340D1"/>
    <w:rsid w:val="00D342C5"/>
    <w:rsid w:val="00D342FA"/>
    <w:rsid w:val="00D343A5"/>
    <w:rsid w:val="00D34429"/>
    <w:rsid w:val="00D344DC"/>
    <w:rsid w:val="00D34520"/>
    <w:rsid w:val="00D34551"/>
    <w:rsid w:val="00D34637"/>
    <w:rsid w:val="00D34761"/>
    <w:rsid w:val="00D349C6"/>
    <w:rsid w:val="00D34B27"/>
    <w:rsid w:val="00D34BDA"/>
    <w:rsid w:val="00D34CCB"/>
    <w:rsid w:val="00D34CD2"/>
    <w:rsid w:val="00D34F1E"/>
    <w:rsid w:val="00D3502A"/>
    <w:rsid w:val="00D35144"/>
    <w:rsid w:val="00D35199"/>
    <w:rsid w:val="00D35416"/>
    <w:rsid w:val="00D35439"/>
    <w:rsid w:val="00D354BA"/>
    <w:rsid w:val="00D3554E"/>
    <w:rsid w:val="00D35574"/>
    <w:rsid w:val="00D355FC"/>
    <w:rsid w:val="00D3560E"/>
    <w:rsid w:val="00D35738"/>
    <w:rsid w:val="00D357D2"/>
    <w:rsid w:val="00D35817"/>
    <w:rsid w:val="00D3583E"/>
    <w:rsid w:val="00D35A0C"/>
    <w:rsid w:val="00D35A2E"/>
    <w:rsid w:val="00D35A44"/>
    <w:rsid w:val="00D35B1E"/>
    <w:rsid w:val="00D35CAF"/>
    <w:rsid w:val="00D35E0C"/>
    <w:rsid w:val="00D35EB8"/>
    <w:rsid w:val="00D35ED3"/>
    <w:rsid w:val="00D362A7"/>
    <w:rsid w:val="00D364C7"/>
    <w:rsid w:val="00D3663E"/>
    <w:rsid w:val="00D368BC"/>
    <w:rsid w:val="00D368E3"/>
    <w:rsid w:val="00D368F9"/>
    <w:rsid w:val="00D36904"/>
    <w:rsid w:val="00D36985"/>
    <w:rsid w:val="00D369D3"/>
    <w:rsid w:val="00D36A10"/>
    <w:rsid w:val="00D36B6F"/>
    <w:rsid w:val="00D36B90"/>
    <w:rsid w:val="00D36BE9"/>
    <w:rsid w:val="00D36C8B"/>
    <w:rsid w:val="00D36D23"/>
    <w:rsid w:val="00D36DCC"/>
    <w:rsid w:val="00D36F01"/>
    <w:rsid w:val="00D370C7"/>
    <w:rsid w:val="00D371A4"/>
    <w:rsid w:val="00D37310"/>
    <w:rsid w:val="00D3736A"/>
    <w:rsid w:val="00D37484"/>
    <w:rsid w:val="00D37490"/>
    <w:rsid w:val="00D374DA"/>
    <w:rsid w:val="00D37644"/>
    <w:rsid w:val="00D3785A"/>
    <w:rsid w:val="00D37963"/>
    <w:rsid w:val="00D37AD9"/>
    <w:rsid w:val="00D37B4E"/>
    <w:rsid w:val="00D37B6F"/>
    <w:rsid w:val="00D37BB6"/>
    <w:rsid w:val="00D37CD8"/>
    <w:rsid w:val="00D37D26"/>
    <w:rsid w:val="00D37DC1"/>
    <w:rsid w:val="00D37E35"/>
    <w:rsid w:val="00D37F28"/>
    <w:rsid w:val="00D3DF9B"/>
    <w:rsid w:val="00D40044"/>
    <w:rsid w:val="00D400B0"/>
    <w:rsid w:val="00D40311"/>
    <w:rsid w:val="00D40450"/>
    <w:rsid w:val="00D40456"/>
    <w:rsid w:val="00D40526"/>
    <w:rsid w:val="00D405BE"/>
    <w:rsid w:val="00D40647"/>
    <w:rsid w:val="00D4076F"/>
    <w:rsid w:val="00D40794"/>
    <w:rsid w:val="00D4079A"/>
    <w:rsid w:val="00D409F5"/>
    <w:rsid w:val="00D40A5B"/>
    <w:rsid w:val="00D40A6B"/>
    <w:rsid w:val="00D40AAF"/>
    <w:rsid w:val="00D40B7E"/>
    <w:rsid w:val="00D40D5D"/>
    <w:rsid w:val="00D40D81"/>
    <w:rsid w:val="00D40D96"/>
    <w:rsid w:val="00D40E30"/>
    <w:rsid w:val="00D40E3F"/>
    <w:rsid w:val="00D4123D"/>
    <w:rsid w:val="00D41294"/>
    <w:rsid w:val="00D414B2"/>
    <w:rsid w:val="00D4153F"/>
    <w:rsid w:val="00D41639"/>
    <w:rsid w:val="00D4163A"/>
    <w:rsid w:val="00D41645"/>
    <w:rsid w:val="00D41660"/>
    <w:rsid w:val="00D41830"/>
    <w:rsid w:val="00D418DE"/>
    <w:rsid w:val="00D41A0E"/>
    <w:rsid w:val="00D41B8A"/>
    <w:rsid w:val="00D41E1F"/>
    <w:rsid w:val="00D41F91"/>
    <w:rsid w:val="00D41FE1"/>
    <w:rsid w:val="00D4214E"/>
    <w:rsid w:val="00D4216E"/>
    <w:rsid w:val="00D422E2"/>
    <w:rsid w:val="00D422F9"/>
    <w:rsid w:val="00D42392"/>
    <w:rsid w:val="00D4239A"/>
    <w:rsid w:val="00D42599"/>
    <w:rsid w:val="00D42629"/>
    <w:rsid w:val="00D426ED"/>
    <w:rsid w:val="00D42867"/>
    <w:rsid w:val="00D42AF0"/>
    <w:rsid w:val="00D42B50"/>
    <w:rsid w:val="00D42D28"/>
    <w:rsid w:val="00D42E89"/>
    <w:rsid w:val="00D43006"/>
    <w:rsid w:val="00D4314E"/>
    <w:rsid w:val="00D431EF"/>
    <w:rsid w:val="00D431F0"/>
    <w:rsid w:val="00D4328E"/>
    <w:rsid w:val="00D43426"/>
    <w:rsid w:val="00D4348A"/>
    <w:rsid w:val="00D4364E"/>
    <w:rsid w:val="00D4371F"/>
    <w:rsid w:val="00D43815"/>
    <w:rsid w:val="00D43881"/>
    <w:rsid w:val="00D438E7"/>
    <w:rsid w:val="00D43995"/>
    <w:rsid w:val="00D439F2"/>
    <w:rsid w:val="00D43A76"/>
    <w:rsid w:val="00D43CEA"/>
    <w:rsid w:val="00D43DE3"/>
    <w:rsid w:val="00D43E2C"/>
    <w:rsid w:val="00D43EE4"/>
    <w:rsid w:val="00D440A9"/>
    <w:rsid w:val="00D44181"/>
    <w:rsid w:val="00D441B9"/>
    <w:rsid w:val="00D442A2"/>
    <w:rsid w:val="00D4435F"/>
    <w:rsid w:val="00D44367"/>
    <w:rsid w:val="00D4463A"/>
    <w:rsid w:val="00D44660"/>
    <w:rsid w:val="00D44741"/>
    <w:rsid w:val="00D449B9"/>
    <w:rsid w:val="00D44A51"/>
    <w:rsid w:val="00D44D00"/>
    <w:rsid w:val="00D44DA2"/>
    <w:rsid w:val="00D44F35"/>
    <w:rsid w:val="00D44FD7"/>
    <w:rsid w:val="00D45086"/>
    <w:rsid w:val="00D450EF"/>
    <w:rsid w:val="00D45180"/>
    <w:rsid w:val="00D45247"/>
    <w:rsid w:val="00D452D1"/>
    <w:rsid w:val="00D4535F"/>
    <w:rsid w:val="00D453C3"/>
    <w:rsid w:val="00D453FB"/>
    <w:rsid w:val="00D45496"/>
    <w:rsid w:val="00D456B7"/>
    <w:rsid w:val="00D45788"/>
    <w:rsid w:val="00D45856"/>
    <w:rsid w:val="00D4589E"/>
    <w:rsid w:val="00D458AC"/>
    <w:rsid w:val="00D45A12"/>
    <w:rsid w:val="00D45C22"/>
    <w:rsid w:val="00D45E77"/>
    <w:rsid w:val="00D45E89"/>
    <w:rsid w:val="00D45F7F"/>
    <w:rsid w:val="00D46287"/>
    <w:rsid w:val="00D4629F"/>
    <w:rsid w:val="00D46354"/>
    <w:rsid w:val="00D46395"/>
    <w:rsid w:val="00D46559"/>
    <w:rsid w:val="00D466E4"/>
    <w:rsid w:val="00D467E4"/>
    <w:rsid w:val="00D468C2"/>
    <w:rsid w:val="00D468E0"/>
    <w:rsid w:val="00D469B8"/>
    <w:rsid w:val="00D46A22"/>
    <w:rsid w:val="00D46BA5"/>
    <w:rsid w:val="00D46BB6"/>
    <w:rsid w:val="00D46CEF"/>
    <w:rsid w:val="00D46D6C"/>
    <w:rsid w:val="00D46E22"/>
    <w:rsid w:val="00D46E9F"/>
    <w:rsid w:val="00D471C3"/>
    <w:rsid w:val="00D471D3"/>
    <w:rsid w:val="00D471D8"/>
    <w:rsid w:val="00D471E3"/>
    <w:rsid w:val="00D47437"/>
    <w:rsid w:val="00D474FF"/>
    <w:rsid w:val="00D47563"/>
    <w:rsid w:val="00D475B5"/>
    <w:rsid w:val="00D47614"/>
    <w:rsid w:val="00D47650"/>
    <w:rsid w:val="00D4766C"/>
    <w:rsid w:val="00D476B3"/>
    <w:rsid w:val="00D478B5"/>
    <w:rsid w:val="00D47936"/>
    <w:rsid w:val="00D47A2F"/>
    <w:rsid w:val="00D47A78"/>
    <w:rsid w:val="00D47C2B"/>
    <w:rsid w:val="00D47C2F"/>
    <w:rsid w:val="00D47C32"/>
    <w:rsid w:val="00D47C44"/>
    <w:rsid w:val="00D47C7F"/>
    <w:rsid w:val="00D47C86"/>
    <w:rsid w:val="00D47D26"/>
    <w:rsid w:val="00D47E68"/>
    <w:rsid w:val="00D47F50"/>
    <w:rsid w:val="00D47FE2"/>
    <w:rsid w:val="00D486CE"/>
    <w:rsid w:val="00D50082"/>
    <w:rsid w:val="00D50126"/>
    <w:rsid w:val="00D502EA"/>
    <w:rsid w:val="00D50324"/>
    <w:rsid w:val="00D5039E"/>
    <w:rsid w:val="00D503B0"/>
    <w:rsid w:val="00D504F2"/>
    <w:rsid w:val="00D50553"/>
    <w:rsid w:val="00D50564"/>
    <w:rsid w:val="00D508E8"/>
    <w:rsid w:val="00D50BFA"/>
    <w:rsid w:val="00D50D85"/>
    <w:rsid w:val="00D50E04"/>
    <w:rsid w:val="00D50EE7"/>
    <w:rsid w:val="00D5100E"/>
    <w:rsid w:val="00D51024"/>
    <w:rsid w:val="00D510EC"/>
    <w:rsid w:val="00D510F4"/>
    <w:rsid w:val="00D51133"/>
    <w:rsid w:val="00D51185"/>
    <w:rsid w:val="00D511C2"/>
    <w:rsid w:val="00D5120B"/>
    <w:rsid w:val="00D51215"/>
    <w:rsid w:val="00D5128F"/>
    <w:rsid w:val="00D51335"/>
    <w:rsid w:val="00D513E2"/>
    <w:rsid w:val="00D51617"/>
    <w:rsid w:val="00D5163E"/>
    <w:rsid w:val="00D51640"/>
    <w:rsid w:val="00D5165F"/>
    <w:rsid w:val="00D51792"/>
    <w:rsid w:val="00D51902"/>
    <w:rsid w:val="00D5191A"/>
    <w:rsid w:val="00D5199F"/>
    <w:rsid w:val="00D51A43"/>
    <w:rsid w:val="00D51AB0"/>
    <w:rsid w:val="00D51C11"/>
    <w:rsid w:val="00D51C17"/>
    <w:rsid w:val="00D51C3E"/>
    <w:rsid w:val="00D51C7C"/>
    <w:rsid w:val="00D51CF2"/>
    <w:rsid w:val="00D51CFC"/>
    <w:rsid w:val="00D51D2D"/>
    <w:rsid w:val="00D51E4B"/>
    <w:rsid w:val="00D51F3A"/>
    <w:rsid w:val="00D52020"/>
    <w:rsid w:val="00D52094"/>
    <w:rsid w:val="00D5209E"/>
    <w:rsid w:val="00D520CC"/>
    <w:rsid w:val="00D520FD"/>
    <w:rsid w:val="00D52109"/>
    <w:rsid w:val="00D52384"/>
    <w:rsid w:val="00D523BE"/>
    <w:rsid w:val="00D523E3"/>
    <w:rsid w:val="00D5242E"/>
    <w:rsid w:val="00D525AC"/>
    <w:rsid w:val="00D52764"/>
    <w:rsid w:val="00D52817"/>
    <w:rsid w:val="00D5289B"/>
    <w:rsid w:val="00D52949"/>
    <w:rsid w:val="00D52B96"/>
    <w:rsid w:val="00D52BA6"/>
    <w:rsid w:val="00D52DF9"/>
    <w:rsid w:val="00D52DFB"/>
    <w:rsid w:val="00D52F74"/>
    <w:rsid w:val="00D53064"/>
    <w:rsid w:val="00D53150"/>
    <w:rsid w:val="00D53317"/>
    <w:rsid w:val="00D53346"/>
    <w:rsid w:val="00D533B7"/>
    <w:rsid w:val="00D5348B"/>
    <w:rsid w:val="00D535D5"/>
    <w:rsid w:val="00D53697"/>
    <w:rsid w:val="00D537AA"/>
    <w:rsid w:val="00D53904"/>
    <w:rsid w:val="00D53911"/>
    <w:rsid w:val="00D53BE4"/>
    <w:rsid w:val="00D53D45"/>
    <w:rsid w:val="00D53D4F"/>
    <w:rsid w:val="00D53D8A"/>
    <w:rsid w:val="00D53E16"/>
    <w:rsid w:val="00D53E2B"/>
    <w:rsid w:val="00D53E9B"/>
    <w:rsid w:val="00D53EFE"/>
    <w:rsid w:val="00D54059"/>
    <w:rsid w:val="00D540C1"/>
    <w:rsid w:val="00D54107"/>
    <w:rsid w:val="00D5419D"/>
    <w:rsid w:val="00D542FC"/>
    <w:rsid w:val="00D542FF"/>
    <w:rsid w:val="00D543C6"/>
    <w:rsid w:val="00D54468"/>
    <w:rsid w:val="00D544C9"/>
    <w:rsid w:val="00D544CA"/>
    <w:rsid w:val="00D544CD"/>
    <w:rsid w:val="00D549D0"/>
    <w:rsid w:val="00D549F1"/>
    <w:rsid w:val="00D54A56"/>
    <w:rsid w:val="00D54B1C"/>
    <w:rsid w:val="00D54C48"/>
    <w:rsid w:val="00D54C63"/>
    <w:rsid w:val="00D54D73"/>
    <w:rsid w:val="00D54E77"/>
    <w:rsid w:val="00D54F9A"/>
    <w:rsid w:val="00D5526F"/>
    <w:rsid w:val="00D552F2"/>
    <w:rsid w:val="00D5533C"/>
    <w:rsid w:val="00D55413"/>
    <w:rsid w:val="00D5545F"/>
    <w:rsid w:val="00D554FE"/>
    <w:rsid w:val="00D556F2"/>
    <w:rsid w:val="00D5574C"/>
    <w:rsid w:val="00D559B2"/>
    <w:rsid w:val="00D55BB7"/>
    <w:rsid w:val="00D55BC3"/>
    <w:rsid w:val="00D55BC8"/>
    <w:rsid w:val="00D55C12"/>
    <w:rsid w:val="00D55C9F"/>
    <w:rsid w:val="00D55F72"/>
    <w:rsid w:val="00D55FA9"/>
    <w:rsid w:val="00D560B6"/>
    <w:rsid w:val="00D561EB"/>
    <w:rsid w:val="00D5625B"/>
    <w:rsid w:val="00D56343"/>
    <w:rsid w:val="00D563AA"/>
    <w:rsid w:val="00D564A4"/>
    <w:rsid w:val="00D564A8"/>
    <w:rsid w:val="00D565B8"/>
    <w:rsid w:val="00D56994"/>
    <w:rsid w:val="00D56C03"/>
    <w:rsid w:val="00D56C12"/>
    <w:rsid w:val="00D56C68"/>
    <w:rsid w:val="00D56CEC"/>
    <w:rsid w:val="00D56E52"/>
    <w:rsid w:val="00D56E62"/>
    <w:rsid w:val="00D56EB2"/>
    <w:rsid w:val="00D56F11"/>
    <w:rsid w:val="00D56FF8"/>
    <w:rsid w:val="00D57002"/>
    <w:rsid w:val="00D57039"/>
    <w:rsid w:val="00D57075"/>
    <w:rsid w:val="00D57264"/>
    <w:rsid w:val="00D572A3"/>
    <w:rsid w:val="00D57493"/>
    <w:rsid w:val="00D5759A"/>
    <w:rsid w:val="00D5763A"/>
    <w:rsid w:val="00D576DE"/>
    <w:rsid w:val="00D576E1"/>
    <w:rsid w:val="00D57841"/>
    <w:rsid w:val="00D579D7"/>
    <w:rsid w:val="00D57A23"/>
    <w:rsid w:val="00D57A7C"/>
    <w:rsid w:val="00D57A93"/>
    <w:rsid w:val="00D57B4E"/>
    <w:rsid w:val="00D57CB1"/>
    <w:rsid w:val="00D57E07"/>
    <w:rsid w:val="00D57E2C"/>
    <w:rsid w:val="00D57E5C"/>
    <w:rsid w:val="00D57F18"/>
    <w:rsid w:val="00D57F4D"/>
    <w:rsid w:val="00D600AF"/>
    <w:rsid w:val="00D600BA"/>
    <w:rsid w:val="00D600F0"/>
    <w:rsid w:val="00D60272"/>
    <w:rsid w:val="00D602FC"/>
    <w:rsid w:val="00D603D6"/>
    <w:rsid w:val="00D60497"/>
    <w:rsid w:val="00D60546"/>
    <w:rsid w:val="00D605D5"/>
    <w:rsid w:val="00D606BA"/>
    <w:rsid w:val="00D6079D"/>
    <w:rsid w:val="00D60818"/>
    <w:rsid w:val="00D6082F"/>
    <w:rsid w:val="00D60846"/>
    <w:rsid w:val="00D608F7"/>
    <w:rsid w:val="00D60974"/>
    <w:rsid w:val="00D60995"/>
    <w:rsid w:val="00D60BA6"/>
    <w:rsid w:val="00D60EC4"/>
    <w:rsid w:val="00D60F2E"/>
    <w:rsid w:val="00D61014"/>
    <w:rsid w:val="00D6108B"/>
    <w:rsid w:val="00D6109F"/>
    <w:rsid w:val="00D61130"/>
    <w:rsid w:val="00D61414"/>
    <w:rsid w:val="00D61473"/>
    <w:rsid w:val="00D61484"/>
    <w:rsid w:val="00D614C5"/>
    <w:rsid w:val="00D61699"/>
    <w:rsid w:val="00D616B6"/>
    <w:rsid w:val="00D6191A"/>
    <w:rsid w:val="00D61961"/>
    <w:rsid w:val="00D6196B"/>
    <w:rsid w:val="00D619AE"/>
    <w:rsid w:val="00D61A59"/>
    <w:rsid w:val="00D61A63"/>
    <w:rsid w:val="00D61B88"/>
    <w:rsid w:val="00D61C4D"/>
    <w:rsid w:val="00D61C95"/>
    <w:rsid w:val="00D61D43"/>
    <w:rsid w:val="00D61D45"/>
    <w:rsid w:val="00D61D51"/>
    <w:rsid w:val="00D61D64"/>
    <w:rsid w:val="00D61E57"/>
    <w:rsid w:val="00D61F15"/>
    <w:rsid w:val="00D61F71"/>
    <w:rsid w:val="00D61FFA"/>
    <w:rsid w:val="00D62173"/>
    <w:rsid w:val="00D621E7"/>
    <w:rsid w:val="00D622F9"/>
    <w:rsid w:val="00D623BB"/>
    <w:rsid w:val="00D624C0"/>
    <w:rsid w:val="00D625A2"/>
    <w:rsid w:val="00D62799"/>
    <w:rsid w:val="00D6280B"/>
    <w:rsid w:val="00D6282F"/>
    <w:rsid w:val="00D6283E"/>
    <w:rsid w:val="00D62898"/>
    <w:rsid w:val="00D62921"/>
    <w:rsid w:val="00D62965"/>
    <w:rsid w:val="00D62969"/>
    <w:rsid w:val="00D629CA"/>
    <w:rsid w:val="00D62C83"/>
    <w:rsid w:val="00D62D47"/>
    <w:rsid w:val="00D62E8F"/>
    <w:rsid w:val="00D62EB7"/>
    <w:rsid w:val="00D63079"/>
    <w:rsid w:val="00D6331A"/>
    <w:rsid w:val="00D633D7"/>
    <w:rsid w:val="00D633FE"/>
    <w:rsid w:val="00D63443"/>
    <w:rsid w:val="00D6366F"/>
    <w:rsid w:val="00D636DE"/>
    <w:rsid w:val="00D63952"/>
    <w:rsid w:val="00D63A0D"/>
    <w:rsid w:val="00D63A6E"/>
    <w:rsid w:val="00D63ABE"/>
    <w:rsid w:val="00D63C1F"/>
    <w:rsid w:val="00D63D2C"/>
    <w:rsid w:val="00D63D5B"/>
    <w:rsid w:val="00D63DB0"/>
    <w:rsid w:val="00D63E99"/>
    <w:rsid w:val="00D63F09"/>
    <w:rsid w:val="00D6417A"/>
    <w:rsid w:val="00D641BE"/>
    <w:rsid w:val="00D642BF"/>
    <w:rsid w:val="00D644B4"/>
    <w:rsid w:val="00D644E7"/>
    <w:rsid w:val="00D645BE"/>
    <w:rsid w:val="00D64669"/>
    <w:rsid w:val="00D64696"/>
    <w:rsid w:val="00D646F2"/>
    <w:rsid w:val="00D64946"/>
    <w:rsid w:val="00D6498A"/>
    <w:rsid w:val="00D649BA"/>
    <w:rsid w:val="00D64C71"/>
    <w:rsid w:val="00D64D4F"/>
    <w:rsid w:val="00D64DAF"/>
    <w:rsid w:val="00D64E90"/>
    <w:rsid w:val="00D64FEB"/>
    <w:rsid w:val="00D65128"/>
    <w:rsid w:val="00D65135"/>
    <w:rsid w:val="00D65335"/>
    <w:rsid w:val="00D6536C"/>
    <w:rsid w:val="00D654B7"/>
    <w:rsid w:val="00D65555"/>
    <w:rsid w:val="00D656B8"/>
    <w:rsid w:val="00D659C3"/>
    <w:rsid w:val="00D65A50"/>
    <w:rsid w:val="00D65AD6"/>
    <w:rsid w:val="00D65BDA"/>
    <w:rsid w:val="00D65C47"/>
    <w:rsid w:val="00D65CA6"/>
    <w:rsid w:val="00D65D77"/>
    <w:rsid w:val="00D65E09"/>
    <w:rsid w:val="00D65E86"/>
    <w:rsid w:val="00D65F48"/>
    <w:rsid w:val="00D65F8D"/>
    <w:rsid w:val="00D6608A"/>
    <w:rsid w:val="00D6613D"/>
    <w:rsid w:val="00D66234"/>
    <w:rsid w:val="00D6633D"/>
    <w:rsid w:val="00D66341"/>
    <w:rsid w:val="00D6634F"/>
    <w:rsid w:val="00D663D8"/>
    <w:rsid w:val="00D665A3"/>
    <w:rsid w:val="00D6661A"/>
    <w:rsid w:val="00D667A6"/>
    <w:rsid w:val="00D66820"/>
    <w:rsid w:val="00D66891"/>
    <w:rsid w:val="00D66999"/>
    <w:rsid w:val="00D669D0"/>
    <w:rsid w:val="00D66A2E"/>
    <w:rsid w:val="00D66AB2"/>
    <w:rsid w:val="00D66BFB"/>
    <w:rsid w:val="00D66C10"/>
    <w:rsid w:val="00D66C1E"/>
    <w:rsid w:val="00D66D5F"/>
    <w:rsid w:val="00D66DA9"/>
    <w:rsid w:val="00D66DF3"/>
    <w:rsid w:val="00D66E0F"/>
    <w:rsid w:val="00D66F33"/>
    <w:rsid w:val="00D66F67"/>
    <w:rsid w:val="00D670CC"/>
    <w:rsid w:val="00D67279"/>
    <w:rsid w:val="00D672C7"/>
    <w:rsid w:val="00D6730A"/>
    <w:rsid w:val="00D67369"/>
    <w:rsid w:val="00D67380"/>
    <w:rsid w:val="00D6740C"/>
    <w:rsid w:val="00D6742E"/>
    <w:rsid w:val="00D67584"/>
    <w:rsid w:val="00D67730"/>
    <w:rsid w:val="00D67835"/>
    <w:rsid w:val="00D67933"/>
    <w:rsid w:val="00D67A17"/>
    <w:rsid w:val="00D67A9D"/>
    <w:rsid w:val="00D67AB5"/>
    <w:rsid w:val="00D67B2C"/>
    <w:rsid w:val="00D67B47"/>
    <w:rsid w:val="00D67BBA"/>
    <w:rsid w:val="00D67BEB"/>
    <w:rsid w:val="00D67D23"/>
    <w:rsid w:val="00D67DD2"/>
    <w:rsid w:val="00D67F7D"/>
    <w:rsid w:val="00D70024"/>
    <w:rsid w:val="00D70147"/>
    <w:rsid w:val="00D7016B"/>
    <w:rsid w:val="00D701D0"/>
    <w:rsid w:val="00D7022D"/>
    <w:rsid w:val="00D70316"/>
    <w:rsid w:val="00D705BD"/>
    <w:rsid w:val="00D705F7"/>
    <w:rsid w:val="00D706E6"/>
    <w:rsid w:val="00D706ED"/>
    <w:rsid w:val="00D7074A"/>
    <w:rsid w:val="00D70758"/>
    <w:rsid w:val="00D7078B"/>
    <w:rsid w:val="00D70855"/>
    <w:rsid w:val="00D708D9"/>
    <w:rsid w:val="00D70A00"/>
    <w:rsid w:val="00D70A8D"/>
    <w:rsid w:val="00D70B15"/>
    <w:rsid w:val="00D70C07"/>
    <w:rsid w:val="00D70C76"/>
    <w:rsid w:val="00D70CA4"/>
    <w:rsid w:val="00D70CC7"/>
    <w:rsid w:val="00D70D27"/>
    <w:rsid w:val="00D70E3B"/>
    <w:rsid w:val="00D70EDE"/>
    <w:rsid w:val="00D70F6A"/>
    <w:rsid w:val="00D710CA"/>
    <w:rsid w:val="00D71209"/>
    <w:rsid w:val="00D71264"/>
    <w:rsid w:val="00D7134D"/>
    <w:rsid w:val="00D713BE"/>
    <w:rsid w:val="00D7156B"/>
    <w:rsid w:val="00D715B2"/>
    <w:rsid w:val="00D7177E"/>
    <w:rsid w:val="00D71831"/>
    <w:rsid w:val="00D718F5"/>
    <w:rsid w:val="00D71A34"/>
    <w:rsid w:val="00D71BA7"/>
    <w:rsid w:val="00D71C87"/>
    <w:rsid w:val="00D71D8A"/>
    <w:rsid w:val="00D71E28"/>
    <w:rsid w:val="00D72084"/>
    <w:rsid w:val="00D72094"/>
    <w:rsid w:val="00D720B3"/>
    <w:rsid w:val="00D72247"/>
    <w:rsid w:val="00D72409"/>
    <w:rsid w:val="00D724A8"/>
    <w:rsid w:val="00D724FE"/>
    <w:rsid w:val="00D72537"/>
    <w:rsid w:val="00D72538"/>
    <w:rsid w:val="00D72748"/>
    <w:rsid w:val="00D729D7"/>
    <w:rsid w:val="00D729F2"/>
    <w:rsid w:val="00D72BCE"/>
    <w:rsid w:val="00D72CD5"/>
    <w:rsid w:val="00D72D67"/>
    <w:rsid w:val="00D72E4B"/>
    <w:rsid w:val="00D72F12"/>
    <w:rsid w:val="00D72F53"/>
    <w:rsid w:val="00D72F55"/>
    <w:rsid w:val="00D73209"/>
    <w:rsid w:val="00D733CF"/>
    <w:rsid w:val="00D734DD"/>
    <w:rsid w:val="00D73586"/>
    <w:rsid w:val="00D73599"/>
    <w:rsid w:val="00D737D0"/>
    <w:rsid w:val="00D73B69"/>
    <w:rsid w:val="00D73BE5"/>
    <w:rsid w:val="00D73C40"/>
    <w:rsid w:val="00D73C56"/>
    <w:rsid w:val="00D73D06"/>
    <w:rsid w:val="00D73D2D"/>
    <w:rsid w:val="00D73E0B"/>
    <w:rsid w:val="00D73E62"/>
    <w:rsid w:val="00D73E75"/>
    <w:rsid w:val="00D73FD5"/>
    <w:rsid w:val="00D74008"/>
    <w:rsid w:val="00D74027"/>
    <w:rsid w:val="00D74113"/>
    <w:rsid w:val="00D74255"/>
    <w:rsid w:val="00D74289"/>
    <w:rsid w:val="00D7439A"/>
    <w:rsid w:val="00D74436"/>
    <w:rsid w:val="00D7444B"/>
    <w:rsid w:val="00D74523"/>
    <w:rsid w:val="00D74547"/>
    <w:rsid w:val="00D74617"/>
    <w:rsid w:val="00D7466C"/>
    <w:rsid w:val="00D74675"/>
    <w:rsid w:val="00D74769"/>
    <w:rsid w:val="00D7495D"/>
    <w:rsid w:val="00D74A46"/>
    <w:rsid w:val="00D74B24"/>
    <w:rsid w:val="00D74D32"/>
    <w:rsid w:val="00D74D92"/>
    <w:rsid w:val="00D74E37"/>
    <w:rsid w:val="00D74F4C"/>
    <w:rsid w:val="00D74FD4"/>
    <w:rsid w:val="00D74FF7"/>
    <w:rsid w:val="00D7502D"/>
    <w:rsid w:val="00D75083"/>
    <w:rsid w:val="00D7510F"/>
    <w:rsid w:val="00D7512E"/>
    <w:rsid w:val="00D7520D"/>
    <w:rsid w:val="00D752A9"/>
    <w:rsid w:val="00D752C7"/>
    <w:rsid w:val="00D7544E"/>
    <w:rsid w:val="00D7555B"/>
    <w:rsid w:val="00D75589"/>
    <w:rsid w:val="00D75605"/>
    <w:rsid w:val="00D7582E"/>
    <w:rsid w:val="00D75990"/>
    <w:rsid w:val="00D75A12"/>
    <w:rsid w:val="00D75A6C"/>
    <w:rsid w:val="00D75A75"/>
    <w:rsid w:val="00D75A8A"/>
    <w:rsid w:val="00D75C3B"/>
    <w:rsid w:val="00D75C56"/>
    <w:rsid w:val="00D75CBC"/>
    <w:rsid w:val="00D75E3D"/>
    <w:rsid w:val="00D75FFC"/>
    <w:rsid w:val="00D76080"/>
    <w:rsid w:val="00D761AB"/>
    <w:rsid w:val="00D7621B"/>
    <w:rsid w:val="00D7627E"/>
    <w:rsid w:val="00D76435"/>
    <w:rsid w:val="00D7651F"/>
    <w:rsid w:val="00D765C6"/>
    <w:rsid w:val="00D765F4"/>
    <w:rsid w:val="00D766A2"/>
    <w:rsid w:val="00D7679C"/>
    <w:rsid w:val="00D767CD"/>
    <w:rsid w:val="00D76889"/>
    <w:rsid w:val="00D76936"/>
    <w:rsid w:val="00D76960"/>
    <w:rsid w:val="00D76A6A"/>
    <w:rsid w:val="00D76A89"/>
    <w:rsid w:val="00D76C2E"/>
    <w:rsid w:val="00D76C4A"/>
    <w:rsid w:val="00D76CEC"/>
    <w:rsid w:val="00D76F2B"/>
    <w:rsid w:val="00D76FFE"/>
    <w:rsid w:val="00D7710D"/>
    <w:rsid w:val="00D7719A"/>
    <w:rsid w:val="00D771E3"/>
    <w:rsid w:val="00D772A9"/>
    <w:rsid w:val="00D772C6"/>
    <w:rsid w:val="00D774A6"/>
    <w:rsid w:val="00D774B8"/>
    <w:rsid w:val="00D775B4"/>
    <w:rsid w:val="00D776D7"/>
    <w:rsid w:val="00D77756"/>
    <w:rsid w:val="00D7781B"/>
    <w:rsid w:val="00D7787E"/>
    <w:rsid w:val="00D778AB"/>
    <w:rsid w:val="00D779E0"/>
    <w:rsid w:val="00D77AB6"/>
    <w:rsid w:val="00D77B94"/>
    <w:rsid w:val="00D77C46"/>
    <w:rsid w:val="00D77DF5"/>
    <w:rsid w:val="00D77E07"/>
    <w:rsid w:val="00D77E77"/>
    <w:rsid w:val="00D77F21"/>
    <w:rsid w:val="00D80075"/>
    <w:rsid w:val="00D801D4"/>
    <w:rsid w:val="00D801F8"/>
    <w:rsid w:val="00D80262"/>
    <w:rsid w:val="00D80265"/>
    <w:rsid w:val="00D80484"/>
    <w:rsid w:val="00D804A4"/>
    <w:rsid w:val="00D8062C"/>
    <w:rsid w:val="00D80701"/>
    <w:rsid w:val="00D809CA"/>
    <w:rsid w:val="00D809D7"/>
    <w:rsid w:val="00D80D61"/>
    <w:rsid w:val="00D80E21"/>
    <w:rsid w:val="00D80E44"/>
    <w:rsid w:val="00D80E46"/>
    <w:rsid w:val="00D80FAD"/>
    <w:rsid w:val="00D80FC6"/>
    <w:rsid w:val="00D80FCA"/>
    <w:rsid w:val="00D81154"/>
    <w:rsid w:val="00D8116F"/>
    <w:rsid w:val="00D81274"/>
    <w:rsid w:val="00D8134E"/>
    <w:rsid w:val="00D814CF"/>
    <w:rsid w:val="00D8167A"/>
    <w:rsid w:val="00D816BA"/>
    <w:rsid w:val="00D8178B"/>
    <w:rsid w:val="00D81950"/>
    <w:rsid w:val="00D81A37"/>
    <w:rsid w:val="00D81B46"/>
    <w:rsid w:val="00D81B8C"/>
    <w:rsid w:val="00D81C05"/>
    <w:rsid w:val="00D81C9E"/>
    <w:rsid w:val="00D81D6F"/>
    <w:rsid w:val="00D81E52"/>
    <w:rsid w:val="00D82076"/>
    <w:rsid w:val="00D821DB"/>
    <w:rsid w:val="00D82371"/>
    <w:rsid w:val="00D82476"/>
    <w:rsid w:val="00D8249B"/>
    <w:rsid w:val="00D827B7"/>
    <w:rsid w:val="00D827D7"/>
    <w:rsid w:val="00D828BE"/>
    <w:rsid w:val="00D82A23"/>
    <w:rsid w:val="00D82A6E"/>
    <w:rsid w:val="00D82AD6"/>
    <w:rsid w:val="00D82B51"/>
    <w:rsid w:val="00D82BDE"/>
    <w:rsid w:val="00D82C07"/>
    <w:rsid w:val="00D82D2C"/>
    <w:rsid w:val="00D82D8C"/>
    <w:rsid w:val="00D82E03"/>
    <w:rsid w:val="00D82F16"/>
    <w:rsid w:val="00D83051"/>
    <w:rsid w:val="00D83083"/>
    <w:rsid w:val="00D83123"/>
    <w:rsid w:val="00D83174"/>
    <w:rsid w:val="00D83333"/>
    <w:rsid w:val="00D833C4"/>
    <w:rsid w:val="00D833DA"/>
    <w:rsid w:val="00D833E2"/>
    <w:rsid w:val="00D83519"/>
    <w:rsid w:val="00D8355A"/>
    <w:rsid w:val="00D8362C"/>
    <w:rsid w:val="00D83679"/>
    <w:rsid w:val="00D836A1"/>
    <w:rsid w:val="00D83994"/>
    <w:rsid w:val="00D839C6"/>
    <w:rsid w:val="00D83B1A"/>
    <w:rsid w:val="00D83E0C"/>
    <w:rsid w:val="00D83F7C"/>
    <w:rsid w:val="00D8410C"/>
    <w:rsid w:val="00D841E8"/>
    <w:rsid w:val="00D8429C"/>
    <w:rsid w:val="00D842B5"/>
    <w:rsid w:val="00D8442D"/>
    <w:rsid w:val="00D845D4"/>
    <w:rsid w:val="00D846A6"/>
    <w:rsid w:val="00D8482F"/>
    <w:rsid w:val="00D84985"/>
    <w:rsid w:val="00D849D2"/>
    <w:rsid w:val="00D84C83"/>
    <w:rsid w:val="00D84EA1"/>
    <w:rsid w:val="00D84F97"/>
    <w:rsid w:val="00D8501F"/>
    <w:rsid w:val="00D8503A"/>
    <w:rsid w:val="00D850DE"/>
    <w:rsid w:val="00D85231"/>
    <w:rsid w:val="00D85353"/>
    <w:rsid w:val="00D855D0"/>
    <w:rsid w:val="00D8564B"/>
    <w:rsid w:val="00D85659"/>
    <w:rsid w:val="00D85692"/>
    <w:rsid w:val="00D856A1"/>
    <w:rsid w:val="00D859A5"/>
    <w:rsid w:val="00D859CA"/>
    <w:rsid w:val="00D859EB"/>
    <w:rsid w:val="00D85B3A"/>
    <w:rsid w:val="00D85B51"/>
    <w:rsid w:val="00D85CA4"/>
    <w:rsid w:val="00D85D49"/>
    <w:rsid w:val="00D85D98"/>
    <w:rsid w:val="00D85E8C"/>
    <w:rsid w:val="00D85F11"/>
    <w:rsid w:val="00D85F36"/>
    <w:rsid w:val="00D85F78"/>
    <w:rsid w:val="00D860EC"/>
    <w:rsid w:val="00D86174"/>
    <w:rsid w:val="00D861A8"/>
    <w:rsid w:val="00D863C0"/>
    <w:rsid w:val="00D865E2"/>
    <w:rsid w:val="00D865E9"/>
    <w:rsid w:val="00D866D0"/>
    <w:rsid w:val="00D86811"/>
    <w:rsid w:val="00D86830"/>
    <w:rsid w:val="00D869CD"/>
    <w:rsid w:val="00D86B3F"/>
    <w:rsid w:val="00D86CAE"/>
    <w:rsid w:val="00D86ED3"/>
    <w:rsid w:val="00D86EF1"/>
    <w:rsid w:val="00D86F58"/>
    <w:rsid w:val="00D8702B"/>
    <w:rsid w:val="00D8709D"/>
    <w:rsid w:val="00D870D6"/>
    <w:rsid w:val="00D8715A"/>
    <w:rsid w:val="00D8715E"/>
    <w:rsid w:val="00D87315"/>
    <w:rsid w:val="00D87481"/>
    <w:rsid w:val="00D8763D"/>
    <w:rsid w:val="00D8783B"/>
    <w:rsid w:val="00D87A2B"/>
    <w:rsid w:val="00D87B96"/>
    <w:rsid w:val="00D87D4B"/>
    <w:rsid w:val="00D90375"/>
    <w:rsid w:val="00D903A0"/>
    <w:rsid w:val="00D9050E"/>
    <w:rsid w:val="00D905CD"/>
    <w:rsid w:val="00D90694"/>
    <w:rsid w:val="00D906AE"/>
    <w:rsid w:val="00D906C7"/>
    <w:rsid w:val="00D907AB"/>
    <w:rsid w:val="00D907DF"/>
    <w:rsid w:val="00D909F3"/>
    <w:rsid w:val="00D90AA4"/>
    <w:rsid w:val="00D90BA9"/>
    <w:rsid w:val="00D90CC7"/>
    <w:rsid w:val="00D91104"/>
    <w:rsid w:val="00D9123E"/>
    <w:rsid w:val="00D91394"/>
    <w:rsid w:val="00D913B8"/>
    <w:rsid w:val="00D91583"/>
    <w:rsid w:val="00D91708"/>
    <w:rsid w:val="00D917B1"/>
    <w:rsid w:val="00D917D2"/>
    <w:rsid w:val="00D918CF"/>
    <w:rsid w:val="00D91A4A"/>
    <w:rsid w:val="00D91A65"/>
    <w:rsid w:val="00D91CB0"/>
    <w:rsid w:val="00D91D7B"/>
    <w:rsid w:val="00D91DDC"/>
    <w:rsid w:val="00D91F23"/>
    <w:rsid w:val="00D91F3E"/>
    <w:rsid w:val="00D91FA5"/>
    <w:rsid w:val="00D922C4"/>
    <w:rsid w:val="00D92327"/>
    <w:rsid w:val="00D923B5"/>
    <w:rsid w:val="00D92729"/>
    <w:rsid w:val="00D9289A"/>
    <w:rsid w:val="00D928AA"/>
    <w:rsid w:val="00D928BE"/>
    <w:rsid w:val="00D9292C"/>
    <w:rsid w:val="00D92A35"/>
    <w:rsid w:val="00D92B49"/>
    <w:rsid w:val="00D92B80"/>
    <w:rsid w:val="00D92BD7"/>
    <w:rsid w:val="00D92C47"/>
    <w:rsid w:val="00D92E05"/>
    <w:rsid w:val="00D92E45"/>
    <w:rsid w:val="00D931C4"/>
    <w:rsid w:val="00D9331D"/>
    <w:rsid w:val="00D93405"/>
    <w:rsid w:val="00D935DE"/>
    <w:rsid w:val="00D93606"/>
    <w:rsid w:val="00D93621"/>
    <w:rsid w:val="00D93646"/>
    <w:rsid w:val="00D936ED"/>
    <w:rsid w:val="00D93944"/>
    <w:rsid w:val="00D93A33"/>
    <w:rsid w:val="00D93AF7"/>
    <w:rsid w:val="00D93B38"/>
    <w:rsid w:val="00D93B94"/>
    <w:rsid w:val="00D93C16"/>
    <w:rsid w:val="00D93C35"/>
    <w:rsid w:val="00D93ECC"/>
    <w:rsid w:val="00D93ED6"/>
    <w:rsid w:val="00D941D7"/>
    <w:rsid w:val="00D94431"/>
    <w:rsid w:val="00D9448A"/>
    <w:rsid w:val="00D94550"/>
    <w:rsid w:val="00D9460F"/>
    <w:rsid w:val="00D94699"/>
    <w:rsid w:val="00D946F9"/>
    <w:rsid w:val="00D94708"/>
    <w:rsid w:val="00D9475B"/>
    <w:rsid w:val="00D948D5"/>
    <w:rsid w:val="00D94B77"/>
    <w:rsid w:val="00D94B97"/>
    <w:rsid w:val="00D94C15"/>
    <w:rsid w:val="00D94EA6"/>
    <w:rsid w:val="00D94ECE"/>
    <w:rsid w:val="00D94FBF"/>
    <w:rsid w:val="00D95010"/>
    <w:rsid w:val="00D950D0"/>
    <w:rsid w:val="00D95146"/>
    <w:rsid w:val="00D951D8"/>
    <w:rsid w:val="00D953D3"/>
    <w:rsid w:val="00D956B8"/>
    <w:rsid w:val="00D956CC"/>
    <w:rsid w:val="00D9587F"/>
    <w:rsid w:val="00D958DD"/>
    <w:rsid w:val="00D95956"/>
    <w:rsid w:val="00D959A5"/>
    <w:rsid w:val="00D95B90"/>
    <w:rsid w:val="00D95BB4"/>
    <w:rsid w:val="00D95D4A"/>
    <w:rsid w:val="00D95EDE"/>
    <w:rsid w:val="00D95F58"/>
    <w:rsid w:val="00D960A3"/>
    <w:rsid w:val="00D960D6"/>
    <w:rsid w:val="00D961E0"/>
    <w:rsid w:val="00D96267"/>
    <w:rsid w:val="00D962A1"/>
    <w:rsid w:val="00D963E3"/>
    <w:rsid w:val="00D96409"/>
    <w:rsid w:val="00D9651E"/>
    <w:rsid w:val="00D9653C"/>
    <w:rsid w:val="00D9664F"/>
    <w:rsid w:val="00D96857"/>
    <w:rsid w:val="00D969A0"/>
    <w:rsid w:val="00D969EF"/>
    <w:rsid w:val="00D96B17"/>
    <w:rsid w:val="00D96BCA"/>
    <w:rsid w:val="00D96C74"/>
    <w:rsid w:val="00D96CAA"/>
    <w:rsid w:val="00D96D1A"/>
    <w:rsid w:val="00D96DAF"/>
    <w:rsid w:val="00D96F6E"/>
    <w:rsid w:val="00D96F73"/>
    <w:rsid w:val="00D96F77"/>
    <w:rsid w:val="00D9722C"/>
    <w:rsid w:val="00D97230"/>
    <w:rsid w:val="00D97312"/>
    <w:rsid w:val="00D97342"/>
    <w:rsid w:val="00D97388"/>
    <w:rsid w:val="00D974B2"/>
    <w:rsid w:val="00D97599"/>
    <w:rsid w:val="00D9785A"/>
    <w:rsid w:val="00D97AE1"/>
    <w:rsid w:val="00D97DD0"/>
    <w:rsid w:val="00D97ECD"/>
    <w:rsid w:val="00D97FC2"/>
    <w:rsid w:val="00D97FF2"/>
    <w:rsid w:val="00DA01C8"/>
    <w:rsid w:val="00DA0240"/>
    <w:rsid w:val="00DA029E"/>
    <w:rsid w:val="00DA02AC"/>
    <w:rsid w:val="00DA0372"/>
    <w:rsid w:val="00DA0455"/>
    <w:rsid w:val="00DA0464"/>
    <w:rsid w:val="00DA04C0"/>
    <w:rsid w:val="00DA04F4"/>
    <w:rsid w:val="00DA05A2"/>
    <w:rsid w:val="00DA082A"/>
    <w:rsid w:val="00DA09F0"/>
    <w:rsid w:val="00DA0A0C"/>
    <w:rsid w:val="00DA0AFC"/>
    <w:rsid w:val="00DA0D65"/>
    <w:rsid w:val="00DA0DDE"/>
    <w:rsid w:val="00DA105D"/>
    <w:rsid w:val="00DA1127"/>
    <w:rsid w:val="00DA1166"/>
    <w:rsid w:val="00DA12C8"/>
    <w:rsid w:val="00DA149F"/>
    <w:rsid w:val="00DA15C1"/>
    <w:rsid w:val="00DA1627"/>
    <w:rsid w:val="00DA1654"/>
    <w:rsid w:val="00DA1714"/>
    <w:rsid w:val="00DA176F"/>
    <w:rsid w:val="00DA1773"/>
    <w:rsid w:val="00DA17DC"/>
    <w:rsid w:val="00DA191A"/>
    <w:rsid w:val="00DA192B"/>
    <w:rsid w:val="00DA1945"/>
    <w:rsid w:val="00DA1AA6"/>
    <w:rsid w:val="00DA1B86"/>
    <w:rsid w:val="00DA1C7C"/>
    <w:rsid w:val="00DA1C96"/>
    <w:rsid w:val="00DA1D11"/>
    <w:rsid w:val="00DA1DB3"/>
    <w:rsid w:val="00DA1F46"/>
    <w:rsid w:val="00DA1F9B"/>
    <w:rsid w:val="00DA203A"/>
    <w:rsid w:val="00DA213C"/>
    <w:rsid w:val="00DA22E5"/>
    <w:rsid w:val="00DA2362"/>
    <w:rsid w:val="00DA23BF"/>
    <w:rsid w:val="00DA275A"/>
    <w:rsid w:val="00DA27B6"/>
    <w:rsid w:val="00DA294A"/>
    <w:rsid w:val="00DA2970"/>
    <w:rsid w:val="00DA2A2B"/>
    <w:rsid w:val="00DA2A41"/>
    <w:rsid w:val="00DA2AFC"/>
    <w:rsid w:val="00DA2C29"/>
    <w:rsid w:val="00DA2EDD"/>
    <w:rsid w:val="00DA2FAA"/>
    <w:rsid w:val="00DA2FB4"/>
    <w:rsid w:val="00DA32B1"/>
    <w:rsid w:val="00DA332C"/>
    <w:rsid w:val="00DA34F4"/>
    <w:rsid w:val="00DA352B"/>
    <w:rsid w:val="00DA359C"/>
    <w:rsid w:val="00DA35C8"/>
    <w:rsid w:val="00DA39C5"/>
    <w:rsid w:val="00DA3AEE"/>
    <w:rsid w:val="00DA3BD0"/>
    <w:rsid w:val="00DA3C52"/>
    <w:rsid w:val="00DA3CB6"/>
    <w:rsid w:val="00DA3D74"/>
    <w:rsid w:val="00DA3DBF"/>
    <w:rsid w:val="00DA3DDA"/>
    <w:rsid w:val="00DA3E19"/>
    <w:rsid w:val="00DA3E21"/>
    <w:rsid w:val="00DA4120"/>
    <w:rsid w:val="00DA41BB"/>
    <w:rsid w:val="00DA421A"/>
    <w:rsid w:val="00DA427E"/>
    <w:rsid w:val="00DA42D6"/>
    <w:rsid w:val="00DA4441"/>
    <w:rsid w:val="00DA4469"/>
    <w:rsid w:val="00DA44A8"/>
    <w:rsid w:val="00DA467F"/>
    <w:rsid w:val="00DA46C1"/>
    <w:rsid w:val="00DA46C5"/>
    <w:rsid w:val="00DA46E0"/>
    <w:rsid w:val="00DA47CB"/>
    <w:rsid w:val="00DA48E6"/>
    <w:rsid w:val="00DA4A13"/>
    <w:rsid w:val="00DA4A7D"/>
    <w:rsid w:val="00DA4B2D"/>
    <w:rsid w:val="00DA4EB7"/>
    <w:rsid w:val="00DA4F76"/>
    <w:rsid w:val="00DA4FF1"/>
    <w:rsid w:val="00DA517D"/>
    <w:rsid w:val="00DA51C3"/>
    <w:rsid w:val="00DA5308"/>
    <w:rsid w:val="00DA5465"/>
    <w:rsid w:val="00DA5658"/>
    <w:rsid w:val="00DA56E7"/>
    <w:rsid w:val="00DA57F2"/>
    <w:rsid w:val="00DA5880"/>
    <w:rsid w:val="00DA58E9"/>
    <w:rsid w:val="00DA5A9D"/>
    <w:rsid w:val="00DA5AE9"/>
    <w:rsid w:val="00DA5BC4"/>
    <w:rsid w:val="00DA5BDE"/>
    <w:rsid w:val="00DA5E07"/>
    <w:rsid w:val="00DA5EA0"/>
    <w:rsid w:val="00DA5EE7"/>
    <w:rsid w:val="00DA6145"/>
    <w:rsid w:val="00DA622B"/>
    <w:rsid w:val="00DA628B"/>
    <w:rsid w:val="00DA6338"/>
    <w:rsid w:val="00DA64B9"/>
    <w:rsid w:val="00DA65B6"/>
    <w:rsid w:val="00DA6803"/>
    <w:rsid w:val="00DA68DA"/>
    <w:rsid w:val="00DA695A"/>
    <w:rsid w:val="00DA69FC"/>
    <w:rsid w:val="00DA6A03"/>
    <w:rsid w:val="00DA6A90"/>
    <w:rsid w:val="00DA6CC5"/>
    <w:rsid w:val="00DA6D5F"/>
    <w:rsid w:val="00DA6EDD"/>
    <w:rsid w:val="00DA6EE6"/>
    <w:rsid w:val="00DA6FB8"/>
    <w:rsid w:val="00DA7076"/>
    <w:rsid w:val="00DA70B1"/>
    <w:rsid w:val="00DA70E6"/>
    <w:rsid w:val="00DA7100"/>
    <w:rsid w:val="00DA711A"/>
    <w:rsid w:val="00DA711B"/>
    <w:rsid w:val="00DA729D"/>
    <w:rsid w:val="00DA7403"/>
    <w:rsid w:val="00DA749E"/>
    <w:rsid w:val="00DA75A8"/>
    <w:rsid w:val="00DA780F"/>
    <w:rsid w:val="00DA7851"/>
    <w:rsid w:val="00DA785C"/>
    <w:rsid w:val="00DA799C"/>
    <w:rsid w:val="00DA79A9"/>
    <w:rsid w:val="00DA7B3E"/>
    <w:rsid w:val="00DA7B79"/>
    <w:rsid w:val="00DA7C36"/>
    <w:rsid w:val="00DA7D22"/>
    <w:rsid w:val="00DA7E47"/>
    <w:rsid w:val="00DB011A"/>
    <w:rsid w:val="00DB02D5"/>
    <w:rsid w:val="00DB04ED"/>
    <w:rsid w:val="00DB0547"/>
    <w:rsid w:val="00DB059F"/>
    <w:rsid w:val="00DB05C9"/>
    <w:rsid w:val="00DB05FC"/>
    <w:rsid w:val="00DB0632"/>
    <w:rsid w:val="00DB0764"/>
    <w:rsid w:val="00DB07C1"/>
    <w:rsid w:val="00DB084A"/>
    <w:rsid w:val="00DB085C"/>
    <w:rsid w:val="00DB0933"/>
    <w:rsid w:val="00DB0A4F"/>
    <w:rsid w:val="00DB0E7E"/>
    <w:rsid w:val="00DB0EE8"/>
    <w:rsid w:val="00DB0EFB"/>
    <w:rsid w:val="00DB0F43"/>
    <w:rsid w:val="00DB1173"/>
    <w:rsid w:val="00DB13D7"/>
    <w:rsid w:val="00DB149D"/>
    <w:rsid w:val="00DB14B5"/>
    <w:rsid w:val="00DB1580"/>
    <w:rsid w:val="00DB1766"/>
    <w:rsid w:val="00DB179B"/>
    <w:rsid w:val="00DB1861"/>
    <w:rsid w:val="00DB1915"/>
    <w:rsid w:val="00DB1971"/>
    <w:rsid w:val="00DB197E"/>
    <w:rsid w:val="00DB199D"/>
    <w:rsid w:val="00DB19D9"/>
    <w:rsid w:val="00DB1B29"/>
    <w:rsid w:val="00DB1B49"/>
    <w:rsid w:val="00DB1EDD"/>
    <w:rsid w:val="00DB1F3B"/>
    <w:rsid w:val="00DB1FA2"/>
    <w:rsid w:val="00DB20B6"/>
    <w:rsid w:val="00DB20BB"/>
    <w:rsid w:val="00DB224B"/>
    <w:rsid w:val="00DB2253"/>
    <w:rsid w:val="00DB2265"/>
    <w:rsid w:val="00DB2294"/>
    <w:rsid w:val="00DB22BD"/>
    <w:rsid w:val="00DB22F1"/>
    <w:rsid w:val="00DB2317"/>
    <w:rsid w:val="00DB239D"/>
    <w:rsid w:val="00DB23A4"/>
    <w:rsid w:val="00DB23B9"/>
    <w:rsid w:val="00DB23BF"/>
    <w:rsid w:val="00DB24D3"/>
    <w:rsid w:val="00DB26A4"/>
    <w:rsid w:val="00DB2835"/>
    <w:rsid w:val="00DB2885"/>
    <w:rsid w:val="00DB2980"/>
    <w:rsid w:val="00DB29F6"/>
    <w:rsid w:val="00DB2A81"/>
    <w:rsid w:val="00DB2C11"/>
    <w:rsid w:val="00DB2CC9"/>
    <w:rsid w:val="00DB2D7A"/>
    <w:rsid w:val="00DB2DDB"/>
    <w:rsid w:val="00DB2E23"/>
    <w:rsid w:val="00DB2E75"/>
    <w:rsid w:val="00DB2EE6"/>
    <w:rsid w:val="00DB2FCB"/>
    <w:rsid w:val="00DB3004"/>
    <w:rsid w:val="00DB302C"/>
    <w:rsid w:val="00DB3064"/>
    <w:rsid w:val="00DB31AE"/>
    <w:rsid w:val="00DB32AC"/>
    <w:rsid w:val="00DB3434"/>
    <w:rsid w:val="00DB3470"/>
    <w:rsid w:val="00DB34B6"/>
    <w:rsid w:val="00DB3601"/>
    <w:rsid w:val="00DB386B"/>
    <w:rsid w:val="00DB389B"/>
    <w:rsid w:val="00DB3B9D"/>
    <w:rsid w:val="00DB3D18"/>
    <w:rsid w:val="00DB3D3B"/>
    <w:rsid w:val="00DB3E12"/>
    <w:rsid w:val="00DB3F6C"/>
    <w:rsid w:val="00DB40DA"/>
    <w:rsid w:val="00DB412D"/>
    <w:rsid w:val="00DB429B"/>
    <w:rsid w:val="00DB42E0"/>
    <w:rsid w:val="00DB443B"/>
    <w:rsid w:val="00DB4448"/>
    <w:rsid w:val="00DB4609"/>
    <w:rsid w:val="00DB4746"/>
    <w:rsid w:val="00DB4B66"/>
    <w:rsid w:val="00DB4C49"/>
    <w:rsid w:val="00DB4CF2"/>
    <w:rsid w:val="00DB4E93"/>
    <w:rsid w:val="00DB4F13"/>
    <w:rsid w:val="00DB4F9C"/>
    <w:rsid w:val="00DB5028"/>
    <w:rsid w:val="00DB50A9"/>
    <w:rsid w:val="00DB5161"/>
    <w:rsid w:val="00DB5179"/>
    <w:rsid w:val="00DB51EF"/>
    <w:rsid w:val="00DB5276"/>
    <w:rsid w:val="00DB528F"/>
    <w:rsid w:val="00DB52F9"/>
    <w:rsid w:val="00DB532A"/>
    <w:rsid w:val="00DB5462"/>
    <w:rsid w:val="00DB55D6"/>
    <w:rsid w:val="00DB5741"/>
    <w:rsid w:val="00DB576D"/>
    <w:rsid w:val="00DB5897"/>
    <w:rsid w:val="00DB58A6"/>
    <w:rsid w:val="00DB5910"/>
    <w:rsid w:val="00DB5982"/>
    <w:rsid w:val="00DB5A1A"/>
    <w:rsid w:val="00DB5A1E"/>
    <w:rsid w:val="00DB5A57"/>
    <w:rsid w:val="00DB5BB4"/>
    <w:rsid w:val="00DB5C9F"/>
    <w:rsid w:val="00DB5CAD"/>
    <w:rsid w:val="00DB5D00"/>
    <w:rsid w:val="00DB5D0D"/>
    <w:rsid w:val="00DB60CA"/>
    <w:rsid w:val="00DB6183"/>
    <w:rsid w:val="00DB64BD"/>
    <w:rsid w:val="00DB65BA"/>
    <w:rsid w:val="00DB6616"/>
    <w:rsid w:val="00DB6668"/>
    <w:rsid w:val="00DB669F"/>
    <w:rsid w:val="00DB66F8"/>
    <w:rsid w:val="00DB672E"/>
    <w:rsid w:val="00DB67C1"/>
    <w:rsid w:val="00DB6862"/>
    <w:rsid w:val="00DB69F1"/>
    <w:rsid w:val="00DB69F7"/>
    <w:rsid w:val="00DB70D2"/>
    <w:rsid w:val="00DB7318"/>
    <w:rsid w:val="00DB73A9"/>
    <w:rsid w:val="00DB7601"/>
    <w:rsid w:val="00DB7602"/>
    <w:rsid w:val="00DB76D3"/>
    <w:rsid w:val="00DB7719"/>
    <w:rsid w:val="00DB777C"/>
    <w:rsid w:val="00DB7913"/>
    <w:rsid w:val="00DB7BCA"/>
    <w:rsid w:val="00DB7C3D"/>
    <w:rsid w:val="00DC0039"/>
    <w:rsid w:val="00DC00B8"/>
    <w:rsid w:val="00DC00F2"/>
    <w:rsid w:val="00DC0259"/>
    <w:rsid w:val="00DC026C"/>
    <w:rsid w:val="00DC041D"/>
    <w:rsid w:val="00DC045F"/>
    <w:rsid w:val="00DC04D5"/>
    <w:rsid w:val="00DC0645"/>
    <w:rsid w:val="00DC071A"/>
    <w:rsid w:val="00DC077D"/>
    <w:rsid w:val="00DC07CA"/>
    <w:rsid w:val="00DC08AF"/>
    <w:rsid w:val="00DC08E3"/>
    <w:rsid w:val="00DC09B5"/>
    <w:rsid w:val="00DC09F4"/>
    <w:rsid w:val="00DC0A24"/>
    <w:rsid w:val="00DC0B3D"/>
    <w:rsid w:val="00DC0BDA"/>
    <w:rsid w:val="00DC0E64"/>
    <w:rsid w:val="00DC0EB2"/>
    <w:rsid w:val="00DC0FAA"/>
    <w:rsid w:val="00DC0FF7"/>
    <w:rsid w:val="00DC104C"/>
    <w:rsid w:val="00DC112C"/>
    <w:rsid w:val="00DC115C"/>
    <w:rsid w:val="00DC119D"/>
    <w:rsid w:val="00DC11C4"/>
    <w:rsid w:val="00DC1230"/>
    <w:rsid w:val="00DC13BD"/>
    <w:rsid w:val="00DC1414"/>
    <w:rsid w:val="00DC1474"/>
    <w:rsid w:val="00DC151B"/>
    <w:rsid w:val="00DC1550"/>
    <w:rsid w:val="00DC155C"/>
    <w:rsid w:val="00DC169F"/>
    <w:rsid w:val="00DC1836"/>
    <w:rsid w:val="00DC1843"/>
    <w:rsid w:val="00DC1875"/>
    <w:rsid w:val="00DC195A"/>
    <w:rsid w:val="00DC19BE"/>
    <w:rsid w:val="00DC1A1D"/>
    <w:rsid w:val="00DC1D5F"/>
    <w:rsid w:val="00DC1E2C"/>
    <w:rsid w:val="00DC1F2C"/>
    <w:rsid w:val="00DC1F49"/>
    <w:rsid w:val="00DC20AE"/>
    <w:rsid w:val="00DC22B0"/>
    <w:rsid w:val="00DC24BC"/>
    <w:rsid w:val="00DC27D5"/>
    <w:rsid w:val="00DC27EB"/>
    <w:rsid w:val="00DC288F"/>
    <w:rsid w:val="00DC2930"/>
    <w:rsid w:val="00DC2958"/>
    <w:rsid w:val="00DC2A2D"/>
    <w:rsid w:val="00DC2A87"/>
    <w:rsid w:val="00DC2BB7"/>
    <w:rsid w:val="00DC2CBC"/>
    <w:rsid w:val="00DC2D1C"/>
    <w:rsid w:val="00DC2EDD"/>
    <w:rsid w:val="00DC2F9E"/>
    <w:rsid w:val="00DC3163"/>
    <w:rsid w:val="00DC323F"/>
    <w:rsid w:val="00DC32BE"/>
    <w:rsid w:val="00DC34D2"/>
    <w:rsid w:val="00DC34DC"/>
    <w:rsid w:val="00DC3673"/>
    <w:rsid w:val="00DC36E8"/>
    <w:rsid w:val="00DC36F6"/>
    <w:rsid w:val="00DC3745"/>
    <w:rsid w:val="00DC3777"/>
    <w:rsid w:val="00DC381D"/>
    <w:rsid w:val="00DC3B49"/>
    <w:rsid w:val="00DC3E54"/>
    <w:rsid w:val="00DC3E9E"/>
    <w:rsid w:val="00DC3F7F"/>
    <w:rsid w:val="00DC3FE9"/>
    <w:rsid w:val="00DC4164"/>
    <w:rsid w:val="00DC416D"/>
    <w:rsid w:val="00DC41A7"/>
    <w:rsid w:val="00DC41CE"/>
    <w:rsid w:val="00DC425A"/>
    <w:rsid w:val="00DC4315"/>
    <w:rsid w:val="00DC4536"/>
    <w:rsid w:val="00DC4AAC"/>
    <w:rsid w:val="00DC4AB4"/>
    <w:rsid w:val="00DC4B18"/>
    <w:rsid w:val="00DC4BB7"/>
    <w:rsid w:val="00DC4C90"/>
    <w:rsid w:val="00DC4CA9"/>
    <w:rsid w:val="00DC4CD4"/>
    <w:rsid w:val="00DC4F84"/>
    <w:rsid w:val="00DC51F3"/>
    <w:rsid w:val="00DC528A"/>
    <w:rsid w:val="00DC5321"/>
    <w:rsid w:val="00DC53C0"/>
    <w:rsid w:val="00DC5517"/>
    <w:rsid w:val="00DC5789"/>
    <w:rsid w:val="00DC5853"/>
    <w:rsid w:val="00DC5908"/>
    <w:rsid w:val="00DC5996"/>
    <w:rsid w:val="00DC5B95"/>
    <w:rsid w:val="00DC5BE1"/>
    <w:rsid w:val="00DC5C5D"/>
    <w:rsid w:val="00DC5C65"/>
    <w:rsid w:val="00DC5C85"/>
    <w:rsid w:val="00DC5DC3"/>
    <w:rsid w:val="00DC600C"/>
    <w:rsid w:val="00DC602B"/>
    <w:rsid w:val="00DC60C0"/>
    <w:rsid w:val="00DC60E0"/>
    <w:rsid w:val="00DC626E"/>
    <w:rsid w:val="00DC630A"/>
    <w:rsid w:val="00DC63BD"/>
    <w:rsid w:val="00DC63C8"/>
    <w:rsid w:val="00DC640C"/>
    <w:rsid w:val="00DC647A"/>
    <w:rsid w:val="00DC64C0"/>
    <w:rsid w:val="00DC6520"/>
    <w:rsid w:val="00DC655A"/>
    <w:rsid w:val="00DC66FE"/>
    <w:rsid w:val="00DC681A"/>
    <w:rsid w:val="00DC682A"/>
    <w:rsid w:val="00DC693B"/>
    <w:rsid w:val="00DC695E"/>
    <w:rsid w:val="00DC6B1E"/>
    <w:rsid w:val="00DC6B65"/>
    <w:rsid w:val="00DC6B71"/>
    <w:rsid w:val="00DC6B8D"/>
    <w:rsid w:val="00DC6D5D"/>
    <w:rsid w:val="00DC6DDC"/>
    <w:rsid w:val="00DC6E02"/>
    <w:rsid w:val="00DC6FF4"/>
    <w:rsid w:val="00DC709C"/>
    <w:rsid w:val="00DC70C6"/>
    <w:rsid w:val="00DC719B"/>
    <w:rsid w:val="00DC72A7"/>
    <w:rsid w:val="00DC7364"/>
    <w:rsid w:val="00DC74FF"/>
    <w:rsid w:val="00DC75D8"/>
    <w:rsid w:val="00DC7814"/>
    <w:rsid w:val="00DC7847"/>
    <w:rsid w:val="00DC7872"/>
    <w:rsid w:val="00DC787B"/>
    <w:rsid w:val="00DC7945"/>
    <w:rsid w:val="00DC79A1"/>
    <w:rsid w:val="00DC79B3"/>
    <w:rsid w:val="00DC7AC3"/>
    <w:rsid w:val="00DC7B0B"/>
    <w:rsid w:val="00DC7CA1"/>
    <w:rsid w:val="00DC7CDF"/>
    <w:rsid w:val="00DC7D53"/>
    <w:rsid w:val="00DC7E3A"/>
    <w:rsid w:val="00DC7EF1"/>
    <w:rsid w:val="00DD00F7"/>
    <w:rsid w:val="00DD01A9"/>
    <w:rsid w:val="00DD0351"/>
    <w:rsid w:val="00DD042B"/>
    <w:rsid w:val="00DD05C3"/>
    <w:rsid w:val="00DD060A"/>
    <w:rsid w:val="00DD078B"/>
    <w:rsid w:val="00DD0A8A"/>
    <w:rsid w:val="00DD0B05"/>
    <w:rsid w:val="00DD0B27"/>
    <w:rsid w:val="00DD0BCF"/>
    <w:rsid w:val="00DD0C04"/>
    <w:rsid w:val="00DD0C40"/>
    <w:rsid w:val="00DD0C7E"/>
    <w:rsid w:val="00DD0DBB"/>
    <w:rsid w:val="00DD0E4B"/>
    <w:rsid w:val="00DD0E7F"/>
    <w:rsid w:val="00DD0EDF"/>
    <w:rsid w:val="00DD0F02"/>
    <w:rsid w:val="00DD0F5F"/>
    <w:rsid w:val="00DD0F64"/>
    <w:rsid w:val="00DD0FBE"/>
    <w:rsid w:val="00DD117A"/>
    <w:rsid w:val="00DD117C"/>
    <w:rsid w:val="00DD11C7"/>
    <w:rsid w:val="00DD123D"/>
    <w:rsid w:val="00DD124B"/>
    <w:rsid w:val="00DD1345"/>
    <w:rsid w:val="00DD143A"/>
    <w:rsid w:val="00DD1486"/>
    <w:rsid w:val="00DD1588"/>
    <w:rsid w:val="00DD1921"/>
    <w:rsid w:val="00DD198B"/>
    <w:rsid w:val="00DD1A8A"/>
    <w:rsid w:val="00DD1B00"/>
    <w:rsid w:val="00DD1C01"/>
    <w:rsid w:val="00DD1C52"/>
    <w:rsid w:val="00DD1D07"/>
    <w:rsid w:val="00DD1D5B"/>
    <w:rsid w:val="00DD1D98"/>
    <w:rsid w:val="00DD1DBB"/>
    <w:rsid w:val="00DD1EB9"/>
    <w:rsid w:val="00DD1FF4"/>
    <w:rsid w:val="00DD208F"/>
    <w:rsid w:val="00DD21CC"/>
    <w:rsid w:val="00DD2343"/>
    <w:rsid w:val="00DD23C1"/>
    <w:rsid w:val="00DD24E8"/>
    <w:rsid w:val="00DD252A"/>
    <w:rsid w:val="00DD26A5"/>
    <w:rsid w:val="00DD273E"/>
    <w:rsid w:val="00DD279D"/>
    <w:rsid w:val="00DD28FD"/>
    <w:rsid w:val="00DD293F"/>
    <w:rsid w:val="00DD2992"/>
    <w:rsid w:val="00DD29D6"/>
    <w:rsid w:val="00DD2A13"/>
    <w:rsid w:val="00DD2B0B"/>
    <w:rsid w:val="00DD2B61"/>
    <w:rsid w:val="00DD2BEA"/>
    <w:rsid w:val="00DD2C64"/>
    <w:rsid w:val="00DD2D1E"/>
    <w:rsid w:val="00DD2DC8"/>
    <w:rsid w:val="00DD2E9C"/>
    <w:rsid w:val="00DD2EE1"/>
    <w:rsid w:val="00DD2F1C"/>
    <w:rsid w:val="00DD3095"/>
    <w:rsid w:val="00DD309A"/>
    <w:rsid w:val="00DD31A6"/>
    <w:rsid w:val="00DD33AD"/>
    <w:rsid w:val="00DD3404"/>
    <w:rsid w:val="00DD346B"/>
    <w:rsid w:val="00DD3750"/>
    <w:rsid w:val="00DD3782"/>
    <w:rsid w:val="00DD389A"/>
    <w:rsid w:val="00DD39F3"/>
    <w:rsid w:val="00DD3A29"/>
    <w:rsid w:val="00DD3A74"/>
    <w:rsid w:val="00DD3AFB"/>
    <w:rsid w:val="00DD3B04"/>
    <w:rsid w:val="00DD3C61"/>
    <w:rsid w:val="00DD3D58"/>
    <w:rsid w:val="00DD3D66"/>
    <w:rsid w:val="00DD3E3E"/>
    <w:rsid w:val="00DD3EE0"/>
    <w:rsid w:val="00DD3FED"/>
    <w:rsid w:val="00DD4142"/>
    <w:rsid w:val="00DD4162"/>
    <w:rsid w:val="00DD419F"/>
    <w:rsid w:val="00DD4287"/>
    <w:rsid w:val="00DD437C"/>
    <w:rsid w:val="00DD44A5"/>
    <w:rsid w:val="00DD4627"/>
    <w:rsid w:val="00DD4679"/>
    <w:rsid w:val="00DD4685"/>
    <w:rsid w:val="00DD47A1"/>
    <w:rsid w:val="00DD47CF"/>
    <w:rsid w:val="00DD47E7"/>
    <w:rsid w:val="00DD4848"/>
    <w:rsid w:val="00DD4A65"/>
    <w:rsid w:val="00DD4A6B"/>
    <w:rsid w:val="00DD4C09"/>
    <w:rsid w:val="00DD4C32"/>
    <w:rsid w:val="00DD4D44"/>
    <w:rsid w:val="00DD4E15"/>
    <w:rsid w:val="00DD4EEE"/>
    <w:rsid w:val="00DD4EEF"/>
    <w:rsid w:val="00DD4FF2"/>
    <w:rsid w:val="00DD5093"/>
    <w:rsid w:val="00DD50AA"/>
    <w:rsid w:val="00DD51ED"/>
    <w:rsid w:val="00DD541D"/>
    <w:rsid w:val="00DD54FE"/>
    <w:rsid w:val="00DD5579"/>
    <w:rsid w:val="00DD571B"/>
    <w:rsid w:val="00DD5892"/>
    <w:rsid w:val="00DD5977"/>
    <w:rsid w:val="00DD5BAA"/>
    <w:rsid w:val="00DD5C10"/>
    <w:rsid w:val="00DD5D27"/>
    <w:rsid w:val="00DD5E4D"/>
    <w:rsid w:val="00DD5E5A"/>
    <w:rsid w:val="00DD5ED1"/>
    <w:rsid w:val="00DD5F61"/>
    <w:rsid w:val="00DD6001"/>
    <w:rsid w:val="00DD6141"/>
    <w:rsid w:val="00DD62B7"/>
    <w:rsid w:val="00DD6452"/>
    <w:rsid w:val="00DD652D"/>
    <w:rsid w:val="00DD6562"/>
    <w:rsid w:val="00DD679E"/>
    <w:rsid w:val="00DD6971"/>
    <w:rsid w:val="00DD69EB"/>
    <w:rsid w:val="00DD6ABC"/>
    <w:rsid w:val="00DD6B58"/>
    <w:rsid w:val="00DD6BEF"/>
    <w:rsid w:val="00DD6C2C"/>
    <w:rsid w:val="00DD6F71"/>
    <w:rsid w:val="00DD6F8C"/>
    <w:rsid w:val="00DD6FC9"/>
    <w:rsid w:val="00DD71F1"/>
    <w:rsid w:val="00DD7451"/>
    <w:rsid w:val="00DD745B"/>
    <w:rsid w:val="00DD7465"/>
    <w:rsid w:val="00DD7575"/>
    <w:rsid w:val="00DD75F2"/>
    <w:rsid w:val="00DD76B9"/>
    <w:rsid w:val="00DD777C"/>
    <w:rsid w:val="00DD780B"/>
    <w:rsid w:val="00DD7A64"/>
    <w:rsid w:val="00DD7AC2"/>
    <w:rsid w:val="00DD7BD1"/>
    <w:rsid w:val="00DD7C48"/>
    <w:rsid w:val="00DD7E42"/>
    <w:rsid w:val="00DD7F46"/>
    <w:rsid w:val="00DD7FBC"/>
    <w:rsid w:val="00DE01FF"/>
    <w:rsid w:val="00DE021E"/>
    <w:rsid w:val="00DE03B8"/>
    <w:rsid w:val="00DE0481"/>
    <w:rsid w:val="00DE049E"/>
    <w:rsid w:val="00DE04B0"/>
    <w:rsid w:val="00DE05F0"/>
    <w:rsid w:val="00DE05F6"/>
    <w:rsid w:val="00DE06DD"/>
    <w:rsid w:val="00DE07B5"/>
    <w:rsid w:val="00DE0920"/>
    <w:rsid w:val="00DE0955"/>
    <w:rsid w:val="00DE09B4"/>
    <w:rsid w:val="00DE09DE"/>
    <w:rsid w:val="00DE0A25"/>
    <w:rsid w:val="00DE0A2B"/>
    <w:rsid w:val="00DE0C2C"/>
    <w:rsid w:val="00DE0CF8"/>
    <w:rsid w:val="00DE0D21"/>
    <w:rsid w:val="00DE0EAB"/>
    <w:rsid w:val="00DE0F29"/>
    <w:rsid w:val="00DE1132"/>
    <w:rsid w:val="00DE11AB"/>
    <w:rsid w:val="00DE11C7"/>
    <w:rsid w:val="00DE1281"/>
    <w:rsid w:val="00DE12E0"/>
    <w:rsid w:val="00DE1398"/>
    <w:rsid w:val="00DE1471"/>
    <w:rsid w:val="00DE153D"/>
    <w:rsid w:val="00DE15D2"/>
    <w:rsid w:val="00DE171E"/>
    <w:rsid w:val="00DE18F9"/>
    <w:rsid w:val="00DE19BC"/>
    <w:rsid w:val="00DE1AE5"/>
    <w:rsid w:val="00DE1C34"/>
    <w:rsid w:val="00DE1CE0"/>
    <w:rsid w:val="00DE1E06"/>
    <w:rsid w:val="00DE1E0B"/>
    <w:rsid w:val="00DE1F2C"/>
    <w:rsid w:val="00DE2001"/>
    <w:rsid w:val="00DE2035"/>
    <w:rsid w:val="00DE21BA"/>
    <w:rsid w:val="00DE22EA"/>
    <w:rsid w:val="00DE23FC"/>
    <w:rsid w:val="00DE2614"/>
    <w:rsid w:val="00DE26C5"/>
    <w:rsid w:val="00DE2769"/>
    <w:rsid w:val="00DE27AB"/>
    <w:rsid w:val="00DE2823"/>
    <w:rsid w:val="00DE2956"/>
    <w:rsid w:val="00DE2C38"/>
    <w:rsid w:val="00DE2CD0"/>
    <w:rsid w:val="00DE2CD1"/>
    <w:rsid w:val="00DE2D15"/>
    <w:rsid w:val="00DE2EAA"/>
    <w:rsid w:val="00DE2F42"/>
    <w:rsid w:val="00DE2F68"/>
    <w:rsid w:val="00DE304A"/>
    <w:rsid w:val="00DE3272"/>
    <w:rsid w:val="00DE32AA"/>
    <w:rsid w:val="00DE338B"/>
    <w:rsid w:val="00DE33BF"/>
    <w:rsid w:val="00DE3738"/>
    <w:rsid w:val="00DE373E"/>
    <w:rsid w:val="00DE39FD"/>
    <w:rsid w:val="00DE3A1D"/>
    <w:rsid w:val="00DE3AD3"/>
    <w:rsid w:val="00DE3B81"/>
    <w:rsid w:val="00DE3C77"/>
    <w:rsid w:val="00DE3E40"/>
    <w:rsid w:val="00DE3E62"/>
    <w:rsid w:val="00DE3F03"/>
    <w:rsid w:val="00DE3FE5"/>
    <w:rsid w:val="00DE4099"/>
    <w:rsid w:val="00DE40BB"/>
    <w:rsid w:val="00DE42CF"/>
    <w:rsid w:val="00DE4453"/>
    <w:rsid w:val="00DE45CB"/>
    <w:rsid w:val="00DE45E8"/>
    <w:rsid w:val="00DE4671"/>
    <w:rsid w:val="00DE4673"/>
    <w:rsid w:val="00DE47A4"/>
    <w:rsid w:val="00DE49DE"/>
    <w:rsid w:val="00DE4AE2"/>
    <w:rsid w:val="00DE4B07"/>
    <w:rsid w:val="00DE4C09"/>
    <w:rsid w:val="00DE4CB4"/>
    <w:rsid w:val="00DE4D41"/>
    <w:rsid w:val="00DE4E58"/>
    <w:rsid w:val="00DE4E92"/>
    <w:rsid w:val="00DE4ED6"/>
    <w:rsid w:val="00DE4F1A"/>
    <w:rsid w:val="00DE5016"/>
    <w:rsid w:val="00DE526E"/>
    <w:rsid w:val="00DE52B1"/>
    <w:rsid w:val="00DE548A"/>
    <w:rsid w:val="00DE54AD"/>
    <w:rsid w:val="00DE54BC"/>
    <w:rsid w:val="00DE5668"/>
    <w:rsid w:val="00DE56D7"/>
    <w:rsid w:val="00DE5A6F"/>
    <w:rsid w:val="00DE5AC9"/>
    <w:rsid w:val="00DE5CA6"/>
    <w:rsid w:val="00DE5CC5"/>
    <w:rsid w:val="00DE5D3A"/>
    <w:rsid w:val="00DE61A3"/>
    <w:rsid w:val="00DE6211"/>
    <w:rsid w:val="00DE628D"/>
    <w:rsid w:val="00DE62BD"/>
    <w:rsid w:val="00DE6382"/>
    <w:rsid w:val="00DE63BF"/>
    <w:rsid w:val="00DE6523"/>
    <w:rsid w:val="00DE65A0"/>
    <w:rsid w:val="00DE66BA"/>
    <w:rsid w:val="00DE67A4"/>
    <w:rsid w:val="00DE6866"/>
    <w:rsid w:val="00DE688B"/>
    <w:rsid w:val="00DE69ED"/>
    <w:rsid w:val="00DE69FC"/>
    <w:rsid w:val="00DE6A59"/>
    <w:rsid w:val="00DE6C2B"/>
    <w:rsid w:val="00DE6C9C"/>
    <w:rsid w:val="00DE6CE1"/>
    <w:rsid w:val="00DE6D92"/>
    <w:rsid w:val="00DE6DAB"/>
    <w:rsid w:val="00DE6DD3"/>
    <w:rsid w:val="00DE6E31"/>
    <w:rsid w:val="00DE6EFE"/>
    <w:rsid w:val="00DE6F5A"/>
    <w:rsid w:val="00DE7266"/>
    <w:rsid w:val="00DE7290"/>
    <w:rsid w:val="00DE7507"/>
    <w:rsid w:val="00DE7538"/>
    <w:rsid w:val="00DE7631"/>
    <w:rsid w:val="00DE77A4"/>
    <w:rsid w:val="00DE77A7"/>
    <w:rsid w:val="00DE787B"/>
    <w:rsid w:val="00DE796C"/>
    <w:rsid w:val="00DE7A00"/>
    <w:rsid w:val="00DE7A06"/>
    <w:rsid w:val="00DE7AC6"/>
    <w:rsid w:val="00DE7AED"/>
    <w:rsid w:val="00DE7B55"/>
    <w:rsid w:val="00DE7BA6"/>
    <w:rsid w:val="00DE7C36"/>
    <w:rsid w:val="00DE7C55"/>
    <w:rsid w:val="00DE7C77"/>
    <w:rsid w:val="00DE7D9F"/>
    <w:rsid w:val="00DE7DBB"/>
    <w:rsid w:val="00DE7E41"/>
    <w:rsid w:val="00DE7EF9"/>
    <w:rsid w:val="00DF0010"/>
    <w:rsid w:val="00DF01A5"/>
    <w:rsid w:val="00DF0235"/>
    <w:rsid w:val="00DF0580"/>
    <w:rsid w:val="00DF05B1"/>
    <w:rsid w:val="00DF0656"/>
    <w:rsid w:val="00DF0685"/>
    <w:rsid w:val="00DF06D7"/>
    <w:rsid w:val="00DF087E"/>
    <w:rsid w:val="00DF0992"/>
    <w:rsid w:val="00DF0A40"/>
    <w:rsid w:val="00DF0A57"/>
    <w:rsid w:val="00DF0B3D"/>
    <w:rsid w:val="00DF0B44"/>
    <w:rsid w:val="00DF0B51"/>
    <w:rsid w:val="00DF0C6F"/>
    <w:rsid w:val="00DF0E9B"/>
    <w:rsid w:val="00DF0F27"/>
    <w:rsid w:val="00DF0FAC"/>
    <w:rsid w:val="00DF10D0"/>
    <w:rsid w:val="00DF10D1"/>
    <w:rsid w:val="00DF11C3"/>
    <w:rsid w:val="00DF1367"/>
    <w:rsid w:val="00DF1456"/>
    <w:rsid w:val="00DF145A"/>
    <w:rsid w:val="00DF14EC"/>
    <w:rsid w:val="00DF15AC"/>
    <w:rsid w:val="00DF1609"/>
    <w:rsid w:val="00DF16DC"/>
    <w:rsid w:val="00DF16E8"/>
    <w:rsid w:val="00DF17E9"/>
    <w:rsid w:val="00DF1830"/>
    <w:rsid w:val="00DF194B"/>
    <w:rsid w:val="00DF1AD5"/>
    <w:rsid w:val="00DF1BA7"/>
    <w:rsid w:val="00DF1C68"/>
    <w:rsid w:val="00DF1D0B"/>
    <w:rsid w:val="00DF1DA2"/>
    <w:rsid w:val="00DF1E65"/>
    <w:rsid w:val="00DF1E70"/>
    <w:rsid w:val="00DF1FE8"/>
    <w:rsid w:val="00DF20CE"/>
    <w:rsid w:val="00DF21ED"/>
    <w:rsid w:val="00DF231A"/>
    <w:rsid w:val="00DF2320"/>
    <w:rsid w:val="00DF23C2"/>
    <w:rsid w:val="00DF23FC"/>
    <w:rsid w:val="00DF24F1"/>
    <w:rsid w:val="00DF24FA"/>
    <w:rsid w:val="00DF2630"/>
    <w:rsid w:val="00DF26E0"/>
    <w:rsid w:val="00DF2729"/>
    <w:rsid w:val="00DF275C"/>
    <w:rsid w:val="00DF2805"/>
    <w:rsid w:val="00DF291F"/>
    <w:rsid w:val="00DF2A41"/>
    <w:rsid w:val="00DF2A62"/>
    <w:rsid w:val="00DF2B7B"/>
    <w:rsid w:val="00DF2BC3"/>
    <w:rsid w:val="00DF2D23"/>
    <w:rsid w:val="00DF2D81"/>
    <w:rsid w:val="00DF2E2E"/>
    <w:rsid w:val="00DF2E98"/>
    <w:rsid w:val="00DF30AA"/>
    <w:rsid w:val="00DF327A"/>
    <w:rsid w:val="00DF3280"/>
    <w:rsid w:val="00DF330E"/>
    <w:rsid w:val="00DF339B"/>
    <w:rsid w:val="00DF33BE"/>
    <w:rsid w:val="00DF3434"/>
    <w:rsid w:val="00DF3523"/>
    <w:rsid w:val="00DF3537"/>
    <w:rsid w:val="00DF357A"/>
    <w:rsid w:val="00DF383A"/>
    <w:rsid w:val="00DF386F"/>
    <w:rsid w:val="00DF3910"/>
    <w:rsid w:val="00DF397C"/>
    <w:rsid w:val="00DF39E9"/>
    <w:rsid w:val="00DF3A07"/>
    <w:rsid w:val="00DF3A24"/>
    <w:rsid w:val="00DF3B55"/>
    <w:rsid w:val="00DF3B5A"/>
    <w:rsid w:val="00DF3C78"/>
    <w:rsid w:val="00DF3C80"/>
    <w:rsid w:val="00DF3C81"/>
    <w:rsid w:val="00DF3CD1"/>
    <w:rsid w:val="00DF3D31"/>
    <w:rsid w:val="00DF3DBF"/>
    <w:rsid w:val="00DF3EF1"/>
    <w:rsid w:val="00DF401A"/>
    <w:rsid w:val="00DF407B"/>
    <w:rsid w:val="00DF4267"/>
    <w:rsid w:val="00DF4388"/>
    <w:rsid w:val="00DF43EB"/>
    <w:rsid w:val="00DF4415"/>
    <w:rsid w:val="00DF4684"/>
    <w:rsid w:val="00DF4706"/>
    <w:rsid w:val="00DF47C4"/>
    <w:rsid w:val="00DF48E9"/>
    <w:rsid w:val="00DF49DB"/>
    <w:rsid w:val="00DF4AE7"/>
    <w:rsid w:val="00DF4C84"/>
    <w:rsid w:val="00DF4CD2"/>
    <w:rsid w:val="00DF4CD3"/>
    <w:rsid w:val="00DF4D2C"/>
    <w:rsid w:val="00DF4DF7"/>
    <w:rsid w:val="00DF4E58"/>
    <w:rsid w:val="00DF4ED2"/>
    <w:rsid w:val="00DF4FB5"/>
    <w:rsid w:val="00DF5049"/>
    <w:rsid w:val="00DF52E5"/>
    <w:rsid w:val="00DF5307"/>
    <w:rsid w:val="00DF5381"/>
    <w:rsid w:val="00DF54E1"/>
    <w:rsid w:val="00DF57F5"/>
    <w:rsid w:val="00DF5827"/>
    <w:rsid w:val="00DF58FA"/>
    <w:rsid w:val="00DF5A7C"/>
    <w:rsid w:val="00DF5B04"/>
    <w:rsid w:val="00DF5C06"/>
    <w:rsid w:val="00DF5CD6"/>
    <w:rsid w:val="00DF5CFB"/>
    <w:rsid w:val="00DF5D41"/>
    <w:rsid w:val="00DF5DF6"/>
    <w:rsid w:val="00DF5E4D"/>
    <w:rsid w:val="00DF5F05"/>
    <w:rsid w:val="00DF5F31"/>
    <w:rsid w:val="00DF5F73"/>
    <w:rsid w:val="00DF5FC9"/>
    <w:rsid w:val="00DF606C"/>
    <w:rsid w:val="00DF6101"/>
    <w:rsid w:val="00DF61B6"/>
    <w:rsid w:val="00DF6368"/>
    <w:rsid w:val="00DF6383"/>
    <w:rsid w:val="00DF638E"/>
    <w:rsid w:val="00DF63BB"/>
    <w:rsid w:val="00DF63E3"/>
    <w:rsid w:val="00DF63E4"/>
    <w:rsid w:val="00DF643D"/>
    <w:rsid w:val="00DF64D2"/>
    <w:rsid w:val="00DF6548"/>
    <w:rsid w:val="00DF6722"/>
    <w:rsid w:val="00DF6771"/>
    <w:rsid w:val="00DF68BC"/>
    <w:rsid w:val="00DF6982"/>
    <w:rsid w:val="00DF6AF0"/>
    <w:rsid w:val="00DF6D8E"/>
    <w:rsid w:val="00DF6E49"/>
    <w:rsid w:val="00DF6F41"/>
    <w:rsid w:val="00DF6F7E"/>
    <w:rsid w:val="00DF6FA5"/>
    <w:rsid w:val="00DF7108"/>
    <w:rsid w:val="00DF71BE"/>
    <w:rsid w:val="00DF71F7"/>
    <w:rsid w:val="00DF75C9"/>
    <w:rsid w:val="00DF75D5"/>
    <w:rsid w:val="00DF766B"/>
    <w:rsid w:val="00DF76CA"/>
    <w:rsid w:val="00DF77E4"/>
    <w:rsid w:val="00DF781C"/>
    <w:rsid w:val="00DF7899"/>
    <w:rsid w:val="00DF78EA"/>
    <w:rsid w:val="00DF7A1D"/>
    <w:rsid w:val="00DF7C35"/>
    <w:rsid w:val="00DF7CAF"/>
    <w:rsid w:val="00DF7CDD"/>
    <w:rsid w:val="00DF7D4F"/>
    <w:rsid w:val="00DF7D7B"/>
    <w:rsid w:val="00DF7E03"/>
    <w:rsid w:val="00DF7E42"/>
    <w:rsid w:val="00DF7E9F"/>
    <w:rsid w:val="00DF7FBC"/>
    <w:rsid w:val="00DFCC27"/>
    <w:rsid w:val="00E002A3"/>
    <w:rsid w:val="00E00317"/>
    <w:rsid w:val="00E0042A"/>
    <w:rsid w:val="00E0046B"/>
    <w:rsid w:val="00E004A7"/>
    <w:rsid w:val="00E004F9"/>
    <w:rsid w:val="00E004FD"/>
    <w:rsid w:val="00E0051D"/>
    <w:rsid w:val="00E006EC"/>
    <w:rsid w:val="00E00777"/>
    <w:rsid w:val="00E00905"/>
    <w:rsid w:val="00E00BA4"/>
    <w:rsid w:val="00E00BA6"/>
    <w:rsid w:val="00E00C86"/>
    <w:rsid w:val="00E00DD3"/>
    <w:rsid w:val="00E00FE8"/>
    <w:rsid w:val="00E01072"/>
    <w:rsid w:val="00E01085"/>
    <w:rsid w:val="00E01097"/>
    <w:rsid w:val="00E010C2"/>
    <w:rsid w:val="00E012F6"/>
    <w:rsid w:val="00E01500"/>
    <w:rsid w:val="00E0181C"/>
    <w:rsid w:val="00E019BD"/>
    <w:rsid w:val="00E019DD"/>
    <w:rsid w:val="00E01A4F"/>
    <w:rsid w:val="00E01ABD"/>
    <w:rsid w:val="00E01B2D"/>
    <w:rsid w:val="00E01B74"/>
    <w:rsid w:val="00E01C05"/>
    <w:rsid w:val="00E02023"/>
    <w:rsid w:val="00E02055"/>
    <w:rsid w:val="00E020D1"/>
    <w:rsid w:val="00E02108"/>
    <w:rsid w:val="00E02120"/>
    <w:rsid w:val="00E021F3"/>
    <w:rsid w:val="00E02281"/>
    <w:rsid w:val="00E022B5"/>
    <w:rsid w:val="00E023C6"/>
    <w:rsid w:val="00E0241B"/>
    <w:rsid w:val="00E02500"/>
    <w:rsid w:val="00E0263A"/>
    <w:rsid w:val="00E02821"/>
    <w:rsid w:val="00E029E9"/>
    <w:rsid w:val="00E02A6A"/>
    <w:rsid w:val="00E02BFE"/>
    <w:rsid w:val="00E02CC4"/>
    <w:rsid w:val="00E02CDF"/>
    <w:rsid w:val="00E02E64"/>
    <w:rsid w:val="00E02E6D"/>
    <w:rsid w:val="00E03160"/>
    <w:rsid w:val="00E03227"/>
    <w:rsid w:val="00E03506"/>
    <w:rsid w:val="00E03631"/>
    <w:rsid w:val="00E03636"/>
    <w:rsid w:val="00E0368D"/>
    <w:rsid w:val="00E03759"/>
    <w:rsid w:val="00E03766"/>
    <w:rsid w:val="00E03861"/>
    <w:rsid w:val="00E03A16"/>
    <w:rsid w:val="00E03A27"/>
    <w:rsid w:val="00E03AD2"/>
    <w:rsid w:val="00E03B29"/>
    <w:rsid w:val="00E03BD7"/>
    <w:rsid w:val="00E03BFE"/>
    <w:rsid w:val="00E03C13"/>
    <w:rsid w:val="00E03CBB"/>
    <w:rsid w:val="00E03D0D"/>
    <w:rsid w:val="00E03DC6"/>
    <w:rsid w:val="00E03F17"/>
    <w:rsid w:val="00E03F83"/>
    <w:rsid w:val="00E040BB"/>
    <w:rsid w:val="00E040C9"/>
    <w:rsid w:val="00E04168"/>
    <w:rsid w:val="00E04265"/>
    <w:rsid w:val="00E04598"/>
    <w:rsid w:val="00E04666"/>
    <w:rsid w:val="00E04712"/>
    <w:rsid w:val="00E048B4"/>
    <w:rsid w:val="00E048B8"/>
    <w:rsid w:val="00E048C1"/>
    <w:rsid w:val="00E04A61"/>
    <w:rsid w:val="00E04A6C"/>
    <w:rsid w:val="00E04B7D"/>
    <w:rsid w:val="00E04C5B"/>
    <w:rsid w:val="00E04C97"/>
    <w:rsid w:val="00E04CBF"/>
    <w:rsid w:val="00E04CC9"/>
    <w:rsid w:val="00E04D6F"/>
    <w:rsid w:val="00E05118"/>
    <w:rsid w:val="00E05133"/>
    <w:rsid w:val="00E05138"/>
    <w:rsid w:val="00E0528B"/>
    <w:rsid w:val="00E053A8"/>
    <w:rsid w:val="00E05450"/>
    <w:rsid w:val="00E05537"/>
    <w:rsid w:val="00E055DD"/>
    <w:rsid w:val="00E05647"/>
    <w:rsid w:val="00E0567C"/>
    <w:rsid w:val="00E057EF"/>
    <w:rsid w:val="00E05867"/>
    <w:rsid w:val="00E0586E"/>
    <w:rsid w:val="00E058BF"/>
    <w:rsid w:val="00E05913"/>
    <w:rsid w:val="00E05951"/>
    <w:rsid w:val="00E05985"/>
    <w:rsid w:val="00E059B7"/>
    <w:rsid w:val="00E05E36"/>
    <w:rsid w:val="00E05EAF"/>
    <w:rsid w:val="00E05F1F"/>
    <w:rsid w:val="00E060D2"/>
    <w:rsid w:val="00E060FD"/>
    <w:rsid w:val="00E0613E"/>
    <w:rsid w:val="00E061FC"/>
    <w:rsid w:val="00E06281"/>
    <w:rsid w:val="00E063CE"/>
    <w:rsid w:val="00E06444"/>
    <w:rsid w:val="00E0653C"/>
    <w:rsid w:val="00E06579"/>
    <w:rsid w:val="00E06654"/>
    <w:rsid w:val="00E06685"/>
    <w:rsid w:val="00E06691"/>
    <w:rsid w:val="00E066A7"/>
    <w:rsid w:val="00E06864"/>
    <w:rsid w:val="00E06878"/>
    <w:rsid w:val="00E06A4F"/>
    <w:rsid w:val="00E06BFD"/>
    <w:rsid w:val="00E06F89"/>
    <w:rsid w:val="00E06FD6"/>
    <w:rsid w:val="00E07045"/>
    <w:rsid w:val="00E07072"/>
    <w:rsid w:val="00E07101"/>
    <w:rsid w:val="00E07111"/>
    <w:rsid w:val="00E07202"/>
    <w:rsid w:val="00E07378"/>
    <w:rsid w:val="00E07492"/>
    <w:rsid w:val="00E074B9"/>
    <w:rsid w:val="00E07576"/>
    <w:rsid w:val="00E07606"/>
    <w:rsid w:val="00E0760D"/>
    <w:rsid w:val="00E0764D"/>
    <w:rsid w:val="00E076D9"/>
    <w:rsid w:val="00E0776E"/>
    <w:rsid w:val="00E077B5"/>
    <w:rsid w:val="00E07BB7"/>
    <w:rsid w:val="00E07D18"/>
    <w:rsid w:val="00E07D4C"/>
    <w:rsid w:val="00E07F73"/>
    <w:rsid w:val="00E07F91"/>
    <w:rsid w:val="00E10025"/>
    <w:rsid w:val="00E100E1"/>
    <w:rsid w:val="00E10134"/>
    <w:rsid w:val="00E1015D"/>
    <w:rsid w:val="00E101E5"/>
    <w:rsid w:val="00E1025A"/>
    <w:rsid w:val="00E10356"/>
    <w:rsid w:val="00E10369"/>
    <w:rsid w:val="00E10387"/>
    <w:rsid w:val="00E10625"/>
    <w:rsid w:val="00E10795"/>
    <w:rsid w:val="00E10862"/>
    <w:rsid w:val="00E10971"/>
    <w:rsid w:val="00E109DE"/>
    <w:rsid w:val="00E10A67"/>
    <w:rsid w:val="00E10AE8"/>
    <w:rsid w:val="00E10B19"/>
    <w:rsid w:val="00E10C42"/>
    <w:rsid w:val="00E10CCF"/>
    <w:rsid w:val="00E10F0D"/>
    <w:rsid w:val="00E10F1F"/>
    <w:rsid w:val="00E10FBB"/>
    <w:rsid w:val="00E1100D"/>
    <w:rsid w:val="00E1103B"/>
    <w:rsid w:val="00E11084"/>
    <w:rsid w:val="00E110E3"/>
    <w:rsid w:val="00E1111A"/>
    <w:rsid w:val="00E11302"/>
    <w:rsid w:val="00E11346"/>
    <w:rsid w:val="00E11539"/>
    <w:rsid w:val="00E11650"/>
    <w:rsid w:val="00E1166D"/>
    <w:rsid w:val="00E116BE"/>
    <w:rsid w:val="00E11794"/>
    <w:rsid w:val="00E117BD"/>
    <w:rsid w:val="00E1180C"/>
    <w:rsid w:val="00E11973"/>
    <w:rsid w:val="00E11997"/>
    <w:rsid w:val="00E11A50"/>
    <w:rsid w:val="00E11BC8"/>
    <w:rsid w:val="00E11BFA"/>
    <w:rsid w:val="00E11CC5"/>
    <w:rsid w:val="00E11D18"/>
    <w:rsid w:val="00E11D84"/>
    <w:rsid w:val="00E11E45"/>
    <w:rsid w:val="00E11F17"/>
    <w:rsid w:val="00E11FAA"/>
    <w:rsid w:val="00E11FFA"/>
    <w:rsid w:val="00E12013"/>
    <w:rsid w:val="00E120AC"/>
    <w:rsid w:val="00E120C4"/>
    <w:rsid w:val="00E121DF"/>
    <w:rsid w:val="00E12204"/>
    <w:rsid w:val="00E1227B"/>
    <w:rsid w:val="00E122DF"/>
    <w:rsid w:val="00E12325"/>
    <w:rsid w:val="00E1239D"/>
    <w:rsid w:val="00E12443"/>
    <w:rsid w:val="00E12565"/>
    <w:rsid w:val="00E12606"/>
    <w:rsid w:val="00E1263E"/>
    <w:rsid w:val="00E126FC"/>
    <w:rsid w:val="00E12722"/>
    <w:rsid w:val="00E1274C"/>
    <w:rsid w:val="00E12862"/>
    <w:rsid w:val="00E128A3"/>
    <w:rsid w:val="00E128FC"/>
    <w:rsid w:val="00E1291B"/>
    <w:rsid w:val="00E1295B"/>
    <w:rsid w:val="00E12B03"/>
    <w:rsid w:val="00E12BD6"/>
    <w:rsid w:val="00E12CE3"/>
    <w:rsid w:val="00E12D76"/>
    <w:rsid w:val="00E12F08"/>
    <w:rsid w:val="00E12FA2"/>
    <w:rsid w:val="00E130B1"/>
    <w:rsid w:val="00E131C1"/>
    <w:rsid w:val="00E13353"/>
    <w:rsid w:val="00E13680"/>
    <w:rsid w:val="00E137B1"/>
    <w:rsid w:val="00E137E2"/>
    <w:rsid w:val="00E137F5"/>
    <w:rsid w:val="00E1383D"/>
    <w:rsid w:val="00E13925"/>
    <w:rsid w:val="00E13939"/>
    <w:rsid w:val="00E13A5F"/>
    <w:rsid w:val="00E13CC0"/>
    <w:rsid w:val="00E13D0C"/>
    <w:rsid w:val="00E13D20"/>
    <w:rsid w:val="00E13D2A"/>
    <w:rsid w:val="00E13D9F"/>
    <w:rsid w:val="00E13E0F"/>
    <w:rsid w:val="00E13E9E"/>
    <w:rsid w:val="00E14033"/>
    <w:rsid w:val="00E14361"/>
    <w:rsid w:val="00E143C7"/>
    <w:rsid w:val="00E143EC"/>
    <w:rsid w:val="00E144A7"/>
    <w:rsid w:val="00E146F6"/>
    <w:rsid w:val="00E1473B"/>
    <w:rsid w:val="00E148CE"/>
    <w:rsid w:val="00E14966"/>
    <w:rsid w:val="00E14984"/>
    <w:rsid w:val="00E14BC2"/>
    <w:rsid w:val="00E14C82"/>
    <w:rsid w:val="00E14E99"/>
    <w:rsid w:val="00E14EB6"/>
    <w:rsid w:val="00E14F0B"/>
    <w:rsid w:val="00E14F74"/>
    <w:rsid w:val="00E153A2"/>
    <w:rsid w:val="00E155C6"/>
    <w:rsid w:val="00E155EF"/>
    <w:rsid w:val="00E15706"/>
    <w:rsid w:val="00E158D9"/>
    <w:rsid w:val="00E15918"/>
    <w:rsid w:val="00E159CF"/>
    <w:rsid w:val="00E15AB4"/>
    <w:rsid w:val="00E15B96"/>
    <w:rsid w:val="00E15BC6"/>
    <w:rsid w:val="00E15D2A"/>
    <w:rsid w:val="00E15DA1"/>
    <w:rsid w:val="00E15E01"/>
    <w:rsid w:val="00E15E09"/>
    <w:rsid w:val="00E1622E"/>
    <w:rsid w:val="00E162EB"/>
    <w:rsid w:val="00E16381"/>
    <w:rsid w:val="00E163CB"/>
    <w:rsid w:val="00E1643F"/>
    <w:rsid w:val="00E16451"/>
    <w:rsid w:val="00E16480"/>
    <w:rsid w:val="00E164A2"/>
    <w:rsid w:val="00E16689"/>
    <w:rsid w:val="00E16787"/>
    <w:rsid w:val="00E16A24"/>
    <w:rsid w:val="00E16BCB"/>
    <w:rsid w:val="00E16D62"/>
    <w:rsid w:val="00E16E33"/>
    <w:rsid w:val="00E170F3"/>
    <w:rsid w:val="00E17105"/>
    <w:rsid w:val="00E173D3"/>
    <w:rsid w:val="00E173DB"/>
    <w:rsid w:val="00E17446"/>
    <w:rsid w:val="00E17482"/>
    <w:rsid w:val="00E174DD"/>
    <w:rsid w:val="00E17783"/>
    <w:rsid w:val="00E17A8D"/>
    <w:rsid w:val="00E17BC8"/>
    <w:rsid w:val="00E17BD7"/>
    <w:rsid w:val="00E17BEB"/>
    <w:rsid w:val="00E17F19"/>
    <w:rsid w:val="00E17F7D"/>
    <w:rsid w:val="00E1BA21"/>
    <w:rsid w:val="00E1BC2B"/>
    <w:rsid w:val="00E200B9"/>
    <w:rsid w:val="00E20145"/>
    <w:rsid w:val="00E202D6"/>
    <w:rsid w:val="00E20366"/>
    <w:rsid w:val="00E20454"/>
    <w:rsid w:val="00E2045E"/>
    <w:rsid w:val="00E20617"/>
    <w:rsid w:val="00E2069E"/>
    <w:rsid w:val="00E20706"/>
    <w:rsid w:val="00E20722"/>
    <w:rsid w:val="00E20734"/>
    <w:rsid w:val="00E20853"/>
    <w:rsid w:val="00E208AA"/>
    <w:rsid w:val="00E208BB"/>
    <w:rsid w:val="00E20965"/>
    <w:rsid w:val="00E20C37"/>
    <w:rsid w:val="00E20CB7"/>
    <w:rsid w:val="00E20D29"/>
    <w:rsid w:val="00E20F03"/>
    <w:rsid w:val="00E20F06"/>
    <w:rsid w:val="00E20FE6"/>
    <w:rsid w:val="00E2108E"/>
    <w:rsid w:val="00E21137"/>
    <w:rsid w:val="00E2123C"/>
    <w:rsid w:val="00E21285"/>
    <w:rsid w:val="00E214CA"/>
    <w:rsid w:val="00E214EE"/>
    <w:rsid w:val="00E215D8"/>
    <w:rsid w:val="00E216D2"/>
    <w:rsid w:val="00E21A26"/>
    <w:rsid w:val="00E21B91"/>
    <w:rsid w:val="00E21BE1"/>
    <w:rsid w:val="00E21C1A"/>
    <w:rsid w:val="00E21C3A"/>
    <w:rsid w:val="00E21FBC"/>
    <w:rsid w:val="00E21FC6"/>
    <w:rsid w:val="00E220AF"/>
    <w:rsid w:val="00E220C1"/>
    <w:rsid w:val="00E221B1"/>
    <w:rsid w:val="00E22251"/>
    <w:rsid w:val="00E222BF"/>
    <w:rsid w:val="00E22416"/>
    <w:rsid w:val="00E2241D"/>
    <w:rsid w:val="00E224BF"/>
    <w:rsid w:val="00E224CB"/>
    <w:rsid w:val="00E225FA"/>
    <w:rsid w:val="00E226E6"/>
    <w:rsid w:val="00E229F9"/>
    <w:rsid w:val="00E22B2F"/>
    <w:rsid w:val="00E22C15"/>
    <w:rsid w:val="00E22CEC"/>
    <w:rsid w:val="00E22E4B"/>
    <w:rsid w:val="00E22F64"/>
    <w:rsid w:val="00E23094"/>
    <w:rsid w:val="00E23291"/>
    <w:rsid w:val="00E233D1"/>
    <w:rsid w:val="00E233DF"/>
    <w:rsid w:val="00E2348A"/>
    <w:rsid w:val="00E23525"/>
    <w:rsid w:val="00E23770"/>
    <w:rsid w:val="00E23A95"/>
    <w:rsid w:val="00E23A98"/>
    <w:rsid w:val="00E23B98"/>
    <w:rsid w:val="00E23BD0"/>
    <w:rsid w:val="00E23DC7"/>
    <w:rsid w:val="00E23E1A"/>
    <w:rsid w:val="00E23F01"/>
    <w:rsid w:val="00E23F48"/>
    <w:rsid w:val="00E24011"/>
    <w:rsid w:val="00E2405F"/>
    <w:rsid w:val="00E2407B"/>
    <w:rsid w:val="00E242B5"/>
    <w:rsid w:val="00E243CB"/>
    <w:rsid w:val="00E24520"/>
    <w:rsid w:val="00E24575"/>
    <w:rsid w:val="00E24924"/>
    <w:rsid w:val="00E249B7"/>
    <w:rsid w:val="00E24AE9"/>
    <w:rsid w:val="00E24B0F"/>
    <w:rsid w:val="00E24CC1"/>
    <w:rsid w:val="00E24D15"/>
    <w:rsid w:val="00E250BF"/>
    <w:rsid w:val="00E25115"/>
    <w:rsid w:val="00E252E4"/>
    <w:rsid w:val="00E2535F"/>
    <w:rsid w:val="00E25595"/>
    <w:rsid w:val="00E255B4"/>
    <w:rsid w:val="00E2563D"/>
    <w:rsid w:val="00E256E7"/>
    <w:rsid w:val="00E256FF"/>
    <w:rsid w:val="00E257E0"/>
    <w:rsid w:val="00E257F5"/>
    <w:rsid w:val="00E259BA"/>
    <w:rsid w:val="00E25AC2"/>
    <w:rsid w:val="00E25B4C"/>
    <w:rsid w:val="00E25B7A"/>
    <w:rsid w:val="00E25BC9"/>
    <w:rsid w:val="00E25C3E"/>
    <w:rsid w:val="00E25FAE"/>
    <w:rsid w:val="00E26049"/>
    <w:rsid w:val="00E261D7"/>
    <w:rsid w:val="00E26322"/>
    <w:rsid w:val="00E26324"/>
    <w:rsid w:val="00E26420"/>
    <w:rsid w:val="00E265E0"/>
    <w:rsid w:val="00E266D8"/>
    <w:rsid w:val="00E26774"/>
    <w:rsid w:val="00E26AB2"/>
    <w:rsid w:val="00E26B35"/>
    <w:rsid w:val="00E26D84"/>
    <w:rsid w:val="00E26DA3"/>
    <w:rsid w:val="00E26E6C"/>
    <w:rsid w:val="00E270B6"/>
    <w:rsid w:val="00E270FC"/>
    <w:rsid w:val="00E2731F"/>
    <w:rsid w:val="00E2735A"/>
    <w:rsid w:val="00E2744B"/>
    <w:rsid w:val="00E2749B"/>
    <w:rsid w:val="00E27574"/>
    <w:rsid w:val="00E276A7"/>
    <w:rsid w:val="00E276B7"/>
    <w:rsid w:val="00E27854"/>
    <w:rsid w:val="00E278A0"/>
    <w:rsid w:val="00E27A6B"/>
    <w:rsid w:val="00E27AFB"/>
    <w:rsid w:val="00E27C63"/>
    <w:rsid w:val="00E27C6D"/>
    <w:rsid w:val="00E27DAE"/>
    <w:rsid w:val="00E27DCE"/>
    <w:rsid w:val="00E27E0A"/>
    <w:rsid w:val="00E27F06"/>
    <w:rsid w:val="00E27F2E"/>
    <w:rsid w:val="00E30066"/>
    <w:rsid w:val="00E300C1"/>
    <w:rsid w:val="00E3018B"/>
    <w:rsid w:val="00E30349"/>
    <w:rsid w:val="00E30407"/>
    <w:rsid w:val="00E3065F"/>
    <w:rsid w:val="00E3066B"/>
    <w:rsid w:val="00E30704"/>
    <w:rsid w:val="00E30813"/>
    <w:rsid w:val="00E308DD"/>
    <w:rsid w:val="00E308F2"/>
    <w:rsid w:val="00E309EC"/>
    <w:rsid w:val="00E30BA5"/>
    <w:rsid w:val="00E30BF5"/>
    <w:rsid w:val="00E30CAF"/>
    <w:rsid w:val="00E30CD7"/>
    <w:rsid w:val="00E30FAC"/>
    <w:rsid w:val="00E3119F"/>
    <w:rsid w:val="00E311BF"/>
    <w:rsid w:val="00E311CE"/>
    <w:rsid w:val="00E31235"/>
    <w:rsid w:val="00E312F2"/>
    <w:rsid w:val="00E313A8"/>
    <w:rsid w:val="00E313AE"/>
    <w:rsid w:val="00E31490"/>
    <w:rsid w:val="00E314B8"/>
    <w:rsid w:val="00E314FA"/>
    <w:rsid w:val="00E31555"/>
    <w:rsid w:val="00E315A4"/>
    <w:rsid w:val="00E3170A"/>
    <w:rsid w:val="00E31922"/>
    <w:rsid w:val="00E31BE6"/>
    <w:rsid w:val="00E31E09"/>
    <w:rsid w:val="00E31E20"/>
    <w:rsid w:val="00E31ECD"/>
    <w:rsid w:val="00E31F00"/>
    <w:rsid w:val="00E31FB3"/>
    <w:rsid w:val="00E32067"/>
    <w:rsid w:val="00E321C7"/>
    <w:rsid w:val="00E323BC"/>
    <w:rsid w:val="00E3244A"/>
    <w:rsid w:val="00E3249E"/>
    <w:rsid w:val="00E3256C"/>
    <w:rsid w:val="00E32619"/>
    <w:rsid w:val="00E327F1"/>
    <w:rsid w:val="00E32807"/>
    <w:rsid w:val="00E3280D"/>
    <w:rsid w:val="00E3285D"/>
    <w:rsid w:val="00E32866"/>
    <w:rsid w:val="00E3286D"/>
    <w:rsid w:val="00E329A8"/>
    <w:rsid w:val="00E32C45"/>
    <w:rsid w:val="00E32E70"/>
    <w:rsid w:val="00E3307E"/>
    <w:rsid w:val="00E3312D"/>
    <w:rsid w:val="00E33131"/>
    <w:rsid w:val="00E33279"/>
    <w:rsid w:val="00E332FF"/>
    <w:rsid w:val="00E33300"/>
    <w:rsid w:val="00E3334D"/>
    <w:rsid w:val="00E33414"/>
    <w:rsid w:val="00E33534"/>
    <w:rsid w:val="00E335EE"/>
    <w:rsid w:val="00E339B5"/>
    <w:rsid w:val="00E339FC"/>
    <w:rsid w:val="00E33A45"/>
    <w:rsid w:val="00E33C89"/>
    <w:rsid w:val="00E33E52"/>
    <w:rsid w:val="00E33FF2"/>
    <w:rsid w:val="00E34017"/>
    <w:rsid w:val="00E34146"/>
    <w:rsid w:val="00E3419E"/>
    <w:rsid w:val="00E341A2"/>
    <w:rsid w:val="00E341C1"/>
    <w:rsid w:val="00E341F8"/>
    <w:rsid w:val="00E343D7"/>
    <w:rsid w:val="00E343DE"/>
    <w:rsid w:val="00E34548"/>
    <w:rsid w:val="00E3459A"/>
    <w:rsid w:val="00E3465F"/>
    <w:rsid w:val="00E346C5"/>
    <w:rsid w:val="00E34800"/>
    <w:rsid w:val="00E348E5"/>
    <w:rsid w:val="00E3498C"/>
    <w:rsid w:val="00E34A7E"/>
    <w:rsid w:val="00E34A8D"/>
    <w:rsid w:val="00E34B94"/>
    <w:rsid w:val="00E34E34"/>
    <w:rsid w:val="00E34E75"/>
    <w:rsid w:val="00E35023"/>
    <w:rsid w:val="00E350CF"/>
    <w:rsid w:val="00E3510D"/>
    <w:rsid w:val="00E3511C"/>
    <w:rsid w:val="00E352B8"/>
    <w:rsid w:val="00E352C4"/>
    <w:rsid w:val="00E35382"/>
    <w:rsid w:val="00E353B3"/>
    <w:rsid w:val="00E35460"/>
    <w:rsid w:val="00E354A4"/>
    <w:rsid w:val="00E3551B"/>
    <w:rsid w:val="00E35542"/>
    <w:rsid w:val="00E356DD"/>
    <w:rsid w:val="00E3575F"/>
    <w:rsid w:val="00E357AF"/>
    <w:rsid w:val="00E359C6"/>
    <w:rsid w:val="00E35B36"/>
    <w:rsid w:val="00E35B5B"/>
    <w:rsid w:val="00E35C85"/>
    <w:rsid w:val="00E35C9C"/>
    <w:rsid w:val="00E35CE6"/>
    <w:rsid w:val="00E35DE3"/>
    <w:rsid w:val="00E35E6C"/>
    <w:rsid w:val="00E35F76"/>
    <w:rsid w:val="00E3603C"/>
    <w:rsid w:val="00E3603F"/>
    <w:rsid w:val="00E360D1"/>
    <w:rsid w:val="00E36110"/>
    <w:rsid w:val="00E36180"/>
    <w:rsid w:val="00E361DB"/>
    <w:rsid w:val="00E36364"/>
    <w:rsid w:val="00E3636D"/>
    <w:rsid w:val="00E36413"/>
    <w:rsid w:val="00E36432"/>
    <w:rsid w:val="00E36613"/>
    <w:rsid w:val="00E36622"/>
    <w:rsid w:val="00E36750"/>
    <w:rsid w:val="00E368D1"/>
    <w:rsid w:val="00E368D7"/>
    <w:rsid w:val="00E3695F"/>
    <w:rsid w:val="00E369B1"/>
    <w:rsid w:val="00E36A20"/>
    <w:rsid w:val="00E36A54"/>
    <w:rsid w:val="00E36AF9"/>
    <w:rsid w:val="00E36B61"/>
    <w:rsid w:val="00E36B77"/>
    <w:rsid w:val="00E36C9F"/>
    <w:rsid w:val="00E36CD0"/>
    <w:rsid w:val="00E36CF3"/>
    <w:rsid w:val="00E36EFA"/>
    <w:rsid w:val="00E36F23"/>
    <w:rsid w:val="00E36F7C"/>
    <w:rsid w:val="00E36FE7"/>
    <w:rsid w:val="00E370C0"/>
    <w:rsid w:val="00E370DC"/>
    <w:rsid w:val="00E37198"/>
    <w:rsid w:val="00E3724F"/>
    <w:rsid w:val="00E3730C"/>
    <w:rsid w:val="00E37387"/>
    <w:rsid w:val="00E374F5"/>
    <w:rsid w:val="00E37571"/>
    <w:rsid w:val="00E3757A"/>
    <w:rsid w:val="00E375EC"/>
    <w:rsid w:val="00E3772C"/>
    <w:rsid w:val="00E37843"/>
    <w:rsid w:val="00E3787B"/>
    <w:rsid w:val="00E378EC"/>
    <w:rsid w:val="00E379F9"/>
    <w:rsid w:val="00E37AEB"/>
    <w:rsid w:val="00E37C23"/>
    <w:rsid w:val="00E37C8E"/>
    <w:rsid w:val="00E37E3F"/>
    <w:rsid w:val="00E37E44"/>
    <w:rsid w:val="00E37ED4"/>
    <w:rsid w:val="00E37EF5"/>
    <w:rsid w:val="00E37F80"/>
    <w:rsid w:val="00E37FDD"/>
    <w:rsid w:val="00E401C4"/>
    <w:rsid w:val="00E403D5"/>
    <w:rsid w:val="00E405B2"/>
    <w:rsid w:val="00E405D0"/>
    <w:rsid w:val="00E40845"/>
    <w:rsid w:val="00E408F3"/>
    <w:rsid w:val="00E409D6"/>
    <w:rsid w:val="00E40C5D"/>
    <w:rsid w:val="00E40D2C"/>
    <w:rsid w:val="00E40D50"/>
    <w:rsid w:val="00E4105C"/>
    <w:rsid w:val="00E410FF"/>
    <w:rsid w:val="00E411AC"/>
    <w:rsid w:val="00E41337"/>
    <w:rsid w:val="00E4142D"/>
    <w:rsid w:val="00E41479"/>
    <w:rsid w:val="00E415FB"/>
    <w:rsid w:val="00E4167C"/>
    <w:rsid w:val="00E417A4"/>
    <w:rsid w:val="00E417DF"/>
    <w:rsid w:val="00E4195B"/>
    <w:rsid w:val="00E41A15"/>
    <w:rsid w:val="00E41A96"/>
    <w:rsid w:val="00E41B02"/>
    <w:rsid w:val="00E41B4A"/>
    <w:rsid w:val="00E41BC6"/>
    <w:rsid w:val="00E41BF1"/>
    <w:rsid w:val="00E41C37"/>
    <w:rsid w:val="00E41C54"/>
    <w:rsid w:val="00E42042"/>
    <w:rsid w:val="00E42066"/>
    <w:rsid w:val="00E421A1"/>
    <w:rsid w:val="00E421ED"/>
    <w:rsid w:val="00E422BA"/>
    <w:rsid w:val="00E42353"/>
    <w:rsid w:val="00E423D2"/>
    <w:rsid w:val="00E424F9"/>
    <w:rsid w:val="00E42570"/>
    <w:rsid w:val="00E4258D"/>
    <w:rsid w:val="00E427F1"/>
    <w:rsid w:val="00E4284C"/>
    <w:rsid w:val="00E42A4C"/>
    <w:rsid w:val="00E42B0F"/>
    <w:rsid w:val="00E42B2B"/>
    <w:rsid w:val="00E42BDF"/>
    <w:rsid w:val="00E42BE9"/>
    <w:rsid w:val="00E42C08"/>
    <w:rsid w:val="00E431E8"/>
    <w:rsid w:val="00E433CB"/>
    <w:rsid w:val="00E43406"/>
    <w:rsid w:val="00E4348F"/>
    <w:rsid w:val="00E434DE"/>
    <w:rsid w:val="00E434E5"/>
    <w:rsid w:val="00E437E5"/>
    <w:rsid w:val="00E438E5"/>
    <w:rsid w:val="00E439FC"/>
    <w:rsid w:val="00E439FF"/>
    <w:rsid w:val="00E43A67"/>
    <w:rsid w:val="00E43B84"/>
    <w:rsid w:val="00E43D7A"/>
    <w:rsid w:val="00E43E01"/>
    <w:rsid w:val="00E43F81"/>
    <w:rsid w:val="00E43FBC"/>
    <w:rsid w:val="00E4400D"/>
    <w:rsid w:val="00E44049"/>
    <w:rsid w:val="00E44094"/>
    <w:rsid w:val="00E440F0"/>
    <w:rsid w:val="00E441EA"/>
    <w:rsid w:val="00E443AF"/>
    <w:rsid w:val="00E44420"/>
    <w:rsid w:val="00E44480"/>
    <w:rsid w:val="00E4453D"/>
    <w:rsid w:val="00E445F5"/>
    <w:rsid w:val="00E44606"/>
    <w:rsid w:val="00E4467F"/>
    <w:rsid w:val="00E446A7"/>
    <w:rsid w:val="00E447E3"/>
    <w:rsid w:val="00E447FC"/>
    <w:rsid w:val="00E449BE"/>
    <w:rsid w:val="00E44A5E"/>
    <w:rsid w:val="00E44A60"/>
    <w:rsid w:val="00E44BDC"/>
    <w:rsid w:val="00E44C14"/>
    <w:rsid w:val="00E44CFF"/>
    <w:rsid w:val="00E44DFF"/>
    <w:rsid w:val="00E44E94"/>
    <w:rsid w:val="00E44F32"/>
    <w:rsid w:val="00E44F8B"/>
    <w:rsid w:val="00E44FA2"/>
    <w:rsid w:val="00E45057"/>
    <w:rsid w:val="00E45246"/>
    <w:rsid w:val="00E45365"/>
    <w:rsid w:val="00E45467"/>
    <w:rsid w:val="00E45602"/>
    <w:rsid w:val="00E456A1"/>
    <w:rsid w:val="00E457CB"/>
    <w:rsid w:val="00E4588D"/>
    <w:rsid w:val="00E4589B"/>
    <w:rsid w:val="00E45BC9"/>
    <w:rsid w:val="00E45D79"/>
    <w:rsid w:val="00E45E5F"/>
    <w:rsid w:val="00E45F30"/>
    <w:rsid w:val="00E45F7C"/>
    <w:rsid w:val="00E46214"/>
    <w:rsid w:val="00E46267"/>
    <w:rsid w:val="00E46320"/>
    <w:rsid w:val="00E46517"/>
    <w:rsid w:val="00E46605"/>
    <w:rsid w:val="00E4664A"/>
    <w:rsid w:val="00E4668B"/>
    <w:rsid w:val="00E46824"/>
    <w:rsid w:val="00E468B7"/>
    <w:rsid w:val="00E468DB"/>
    <w:rsid w:val="00E46AA5"/>
    <w:rsid w:val="00E46AA7"/>
    <w:rsid w:val="00E46B5B"/>
    <w:rsid w:val="00E46BA8"/>
    <w:rsid w:val="00E46C27"/>
    <w:rsid w:val="00E46C44"/>
    <w:rsid w:val="00E46DA7"/>
    <w:rsid w:val="00E46E21"/>
    <w:rsid w:val="00E4702F"/>
    <w:rsid w:val="00E470D0"/>
    <w:rsid w:val="00E471E7"/>
    <w:rsid w:val="00E472C0"/>
    <w:rsid w:val="00E477AE"/>
    <w:rsid w:val="00E478AD"/>
    <w:rsid w:val="00E478D4"/>
    <w:rsid w:val="00E479E8"/>
    <w:rsid w:val="00E47A31"/>
    <w:rsid w:val="00E47B5E"/>
    <w:rsid w:val="00E47BE4"/>
    <w:rsid w:val="00E47C35"/>
    <w:rsid w:val="00E47D46"/>
    <w:rsid w:val="00E47D62"/>
    <w:rsid w:val="00E50162"/>
    <w:rsid w:val="00E501BF"/>
    <w:rsid w:val="00E50244"/>
    <w:rsid w:val="00E502BA"/>
    <w:rsid w:val="00E505D8"/>
    <w:rsid w:val="00E506F2"/>
    <w:rsid w:val="00E507B0"/>
    <w:rsid w:val="00E507DD"/>
    <w:rsid w:val="00E50807"/>
    <w:rsid w:val="00E50823"/>
    <w:rsid w:val="00E50931"/>
    <w:rsid w:val="00E509C1"/>
    <w:rsid w:val="00E50A15"/>
    <w:rsid w:val="00E50AFC"/>
    <w:rsid w:val="00E50BCC"/>
    <w:rsid w:val="00E50D46"/>
    <w:rsid w:val="00E50DE9"/>
    <w:rsid w:val="00E50F7F"/>
    <w:rsid w:val="00E51106"/>
    <w:rsid w:val="00E5137A"/>
    <w:rsid w:val="00E51396"/>
    <w:rsid w:val="00E514FA"/>
    <w:rsid w:val="00E51762"/>
    <w:rsid w:val="00E51883"/>
    <w:rsid w:val="00E518AB"/>
    <w:rsid w:val="00E51AA9"/>
    <w:rsid w:val="00E51BE8"/>
    <w:rsid w:val="00E51C30"/>
    <w:rsid w:val="00E51E3F"/>
    <w:rsid w:val="00E520A6"/>
    <w:rsid w:val="00E520CF"/>
    <w:rsid w:val="00E521A4"/>
    <w:rsid w:val="00E52409"/>
    <w:rsid w:val="00E524B9"/>
    <w:rsid w:val="00E524D8"/>
    <w:rsid w:val="00E5253A"/>
    <w:rsid w:val="00E52562"/>
    <w:rsid w:val="00E52579"/>
    <w:rsid w:val="00E525B5"/>
    <w:rsid w:val="00E52618"/>
    <w:rsid w:val="00E526BE"/>
    <w:rsid w:val="00E528CE"/>
    <w:rsid w:val="00E528FB"/>
    <w:rsid w:val="00E52905"/>
    <w:rsid w:val="00E529F1"/>
    <w:rsid w:val="00E52BDB"/>
    <w:rsid w:val="00E52CDF"/>
    <w:rsid w:val="00E52D2C"/>
    <w:rsid w:val="00E52DB3"/>
    <w:rsid w:val="00E52DCE"/>
    <w:rsid w:val="00E52E02"/>
    <w:rsid w:val="00E52E11"/>
    <w:rsid w:val="00E52E48"/>
    <w:rsid w:val="00E52EFE"/>
    <w:rsid w:val="00E5305A"/>
    <w:rsid w:val="00E53133"/>
    <w:rsid w:val="00E53157"/>
    <w:rsid w:val="00E53178"/>
    <w:rsid w:val="00E53361"/>
    <w:rsid w:val="00E5374E"/>
    <w:rsid w:val="00E5375D"/>
    <w:rsid w:val="00E5391E"/>
    <w:rsid w:val="00E53A11"/>
    <w:rsid w:val="00E53B8E"/>
    <w:rsid w:val="00E53F46"/>
    <w:rsid w:val="00E54015"/>
    <w:rsid w:val="00E5404C"/>
    <w:rsid w:val="00E5412D"/>
    <w:rsid w:val="00E5433C"/>
    <w:rsid w:val="00E543D3"/>
    <w:rsid w:val="00E5455E"/>
    <w:rsid w:val="00E5460A"/>
    <w:rsid w:val="00E54685"/>
    <w:rsid w:val="00E5476C"/>
    <w:rsid w:val="00E54844"/>
    <w:rsid w:val="00E54893"/>
    <w:rsid w:val="00E548D8"/>
    <w:rsid w:val="00E54921"/>
    <w:rsid w:val="00E549B3"/>
    <w:rsid w:val="00E54A2D"/>
    <w:rsid w:val="00E54B2F"/>
    <w:rsid w:val="00E54BF1"/>
    <w:rsid w:val="00E54C46"/>
    <w:rsid w:val="00E54CB3"/>
    <w:rsid w:val="00E54E2D"/>
    <w:rsid w:val="00E54E4D"/>
    <w:rsid w:val="00E54E53"/>
    <w:rsid w:val="00E54EF8"/>
    <w:rsid w:val="00E54F20"/>
    <w:rsid w:val="00E550DB"/>
    <w:rsid w:val="00E5516A"/>
    <w:rsid w:val="00E5517D"/>
    <w:rsid w:val="00E5522B"/>
    <w:rsid w:val="00E552C1"/>
    <w:rsid w:val="00E5538A"/>
    <w:rsid w:val="00E554C1"/>
    <w:rsid w:val="00E554F8"/>
    <w:rsid w:val="00E55633"/>
    <w:rsid w:val="00E556A2"/>
    <w:rsid w:val="00E55702"/>
    <w:rsid w:val="00E5576E"/>
    <w:rsid w:val="00E55D53"/>
    <w:rsid w:val="00E55EC5"/>
    <w:rsid w:val="00E56015"/>
    <w:rsid w:val="00E5605E"/>
    <w:rsid w:val="00E5628C"/>
    <w:rsid w:val="00E56343"/>
    <w:rsid w:val="00E563A6"/>
    <w:rsid w:val="00E563DF"/>
    <w:rsid w:val="00E56413"/>
    <w:rsid w:val="00E5669A"/>
    <w:rsid w:val="00E567B3"/>
    <w:rsid w:val="00E568BE"/>
    <w:rsid w:val="00E568E5"/>
    <w:rsid w:val="00E569AD"/>
    <w:rsid w:val="00E56A04"/>
    <w:rsid w:val="00E56A41"/>
    <w:rsid w:val="00E56ABB"/>
    <w:rsid w:val="00E56B64"/>
    <w:rsid w:val="00E56BEE"/>
    <w:rsid w:val="00E56C13"/>
    <w:rsid w:val="00E56C91"/>
    <w:rsid w:val="00E56DE0"/>
    <w:rsid w:val="00E56DE1"/>
    <w:rsid w:val="00E56F17"/>
    <w:rsid w:val="00E56F77"/>
    <w:rsid w:val="00E56FE5"/>
    <w:rsid w:val="00E56FFC"/>
    <w:rsid w:val="00E5703C"/>
    <w:rsid w:val="00E5704E"/>
    <w:rsid w:val="00E57090"/>
    <w:rsid w:val="00E5709F"/>
    <w:rsid w:val="00E571A3"/>
    <w:rsid w:val="00E571AD"/>
    <w:rsid w:val="00E57329"/>
    <w:rsid w:val="00E5752A"/>
    <w:rsid w:val="00E575C2"/>
    <w:rsid w:val="00E575FD"/>
    <w:rsid w:val="00E5760D"/>
    <w:rsid w:val="00E57612"/>
    <w:rsid w:val="00E576A6"/>
    <w:rsid w:val="00E57778"/>
    <w:rsid w:val="00E579D1"/>
    <w:rsid w:val="00E57B25"/>
    <w:rsid w:val="00E57CBE"/>
    <w:rsid w:val="00E57D1A"/>
    <w:rsid w:val="00E57D59"/>
    <w:rsid w:val="00E57D89"/>
    <w:rsid w:val="00E57E20"/>
    <w:rsid w:val="00E57E4F"/>
    <w:rsid w:val="00E57EC3"/>
    <w:rsid w:val="00E5BD35"/>
    <w:rsid w:val="00E6010F"/>
    <w:rsid w:val="00E60145"/>
    <w:rsid w:val="00E6028C"/>
    <w:rsid w:val="00E603E0"/>
    <w:rsid w:val="00E6042B"/>
    <w:rsid w:val="00E6047A"/>
    <w:rsid w:val="00E606B1"/>
    <w:rsid w:val="00E606BD"/>
    <w:rsid w:val="00E606F2"/>
    <w:rsid w:val="00E607A4"/>
    <w:rsid w:val="00E608D5"/>
    <w:rsid w:val="00E60A81"/>
    <w:rsid w:val="00E60A93"/>
    <w:rsid w:val="00E60AD9"/>
    <w:rsid w:val="00E60B0F"/>
    <w:rsid w:val="00E60D32"/>
    <w:rsid w:val="00E60E9D"/>
    <w:rsid w:val="00E610CE"/>
    <w:rsid w:val="00E611AF"/>
    <w:rsid w:val="00E613A3"/>
    <w:rsid w:val="00E613C8"/>
    <w:rsid w:val="00E61704"/>
    <w:rsid w:val="00E61856"/>
    <w:rsid w:val="00E61930"/>
    <w:rsid w:val="00E61A8A"/>
    <w:rsid w:val="00E61BA0"/>
    <w:rsid w:val="00E61D34"/>
    <w:rsid w:val="00E61D6E"/>
    <w:rsid w:val="00E61DDD"/>
    <w:rsid w:val="00E61DF1"/>
    <w:rsid w:val="00E61E3D"/>
    <w:rsid w:val="00E61FCD"/>
    <w:rsid w:val="00E621B0"/>
    <w:rsid w:val="00E62209"/>
    <w:rsid w:val="00E6235E"/>
    <w:rsid w:val="00E62463"/>
    <w:rsid w:val="00E6248F"/>
    <w:rsid w:val="00E627AE"/>
    <w:rsid w:val="00E62A27"/>
    <w:rsid w:val="00E62A40"/>
    <w:rsid w:val="00E62B25"/>
    <w:rsid w:val="00E62BEB"/>
    <w:rsid w:val="00E62D72"/>
    <w:rsid w:val="00E62E15"/>
    <w:rsid w:val="00E62E8C"/>
    <w:rsid w:val="00E62F21"/>
    <w:rsid w:val="00E62FED"/>
    <w:rsid w:val="00E63120"/>
    <w:rsid w:val="00E63123"/>
    <w:rsid w:val="00E63127"/>
    <w:rsid w:val="00E63458"/>
    <w:rsid w:val="00E63712"/>
    <w:rsid w:val="00E637EB"/>
    <w:rsid w:val="00E637FD"/>
    <w:rsid w:val="00E6396B"/>
    <w:rsid w:val="00E63AC4"/>
    <w:rsid w:val="00E63AF4"/>
    <w:rsid w:val="00E63B3A"/>
    <w:rsid w:val="00E63B51"/>
    <w:rsid w:val="00E63CBE"/>
    <w:rsid w:val="00E63CCD"/>
    <w:rsid w:val="00E63CEC"/>
    <w:rsid w:val="00E63D35"/>
    <w:rsid w:val="00E63DC5"/>
    <w:rsid w:val="00E63DD1"/>
    <w:rsid w:val="00E63E17"/>
    <w:rsid w:val="00E63E5B"/>
    <w:rsid w:val="00E63E85"/>
    <w:rsid w:val="00E63FC7"/>
    <w:rsid w:val="00E640A9"/>
    <w:rsid w:val="00E64113"/>
    <w:rsid w:val="00E64122"/>
    <w:rsid w:val="00E6431E"/>
    <w:rsid w:val="00E64484"/>
    <w:rsid w:val="00E644B3"/>
    <w:rsid w:val="00E644B4"/>
    <w:rsid w:val="00E64589"/>
    <w:rsid w:val="00E645A5"/>
    <w:rsid w:val="00E6468C"/>
    <w:rsid w:val="00E64B2A"/>
    <w:rsid w:val="00E64D62"/>
    <w:rsid w:val="00E64E0E"/>
    <w:rsid w:val="00E65132"/>
    <w:rsid w:val="00E65300"/>
    <w:rsid w:val="00E6537E"/>
    <w:rsid w:val="00E6543A"/>
    <w:rsid w:val="00E654B3"/>
    <w:rsid w:val="00E6555F"/>
    <w:rsid w:val="00E656A5"/>
    <w:rsid w:val="00E656C4"/>
    <w:rsid w:val="00E65833"/>
    <w:rsid w:val="00E658C0"/>
    <w:rsid w:val="00E65A60"/>
    <w:rsid w:val="00E65A64"/>
    <w:rsid w:val="00E65B6D"/>
    <w:rsid w:val="00E65BE4"/>
    <w:rsid w:val="00E65BEC"/>
    <w:rsid w:val="00E65C13"/>
    <w:rsid w:val="00E65C14"/>
    <w:rsid w:val="00E65D08"/>
    <w:rsid w:val="00E65E0F"/>
    <w:rsid w:val="00E65F37"/>
    <w:rsid w:val="00E65F52"/>
    <w:rsid w:val="00E660A9"/>
    <w:rsid w:val="00E66121"/>
    <w:rsid w:val="00E66635"/>
    <w:rsid w:val="00E66688"/>
    <w:rsid w:val="00E66783"/>
    <w:rsid w:val="00E66802"/>
    <w:rsid w:val="00E66CF3"/>
    <w:rsid w:val="00E66D5D"/>
    <w:rsid w:val="00E66E9C"/>
    <w:rsid w:val="00E66F66"/>
    <w:rsid w:val="00E6701B"/>
    <w:rsid w:val="00E67135"/>
    <w:rsid w:val="00E671A4"/>
    <w:rsid w:val="00E671AB"/>
    <w:rsid w:val="00E67296"/>
    <w:rsid w:val="00E67374"/>
    <w:rsid w:val="00E673E9"/>
    <w:rsid w:val="00E6747C"/>
    <w:rsid w:val="00E6779F"/>
    <w:rsid w:val="00E67AAA"/>
    <w:rsid w:val="00E67AAB"/>
    <w:rsid w:val="00E67B61"/>
    <w:rsid w:val="00E67B6D"/>
    <w:rsid w:val="00E67D21"/>
    <w:rsid w:val="00E67DBB"/>
    <w:rsid w:val="00E67FFD"/>
    <w:rsid w:val="00E70058"/>
    <w:rsid w:val="00E7007C"/>
    <w:rsid w:val="00E7009D"/>
    <w:rsid w:val="00E70391"/>
    <w:rsid w:val="00E704CE"/>
    <w:rsid w:val="00E70577"/>
    <w:rsid w:val="00E7060A"/>
    <w:rsid w:val="00E7063D"/>
    <w:rsid w:val="00E7065A"/>
    <w:rsid w:val="00E70679"/>
    <w:rsid w:val="00E706A4"/>
    <w:rsid w:val="00E70702"/>
    <w:rsid w:val="00E7073B"/>
    <w:rsid w:val="00E70744"/>
    <w:rsid w:val="00E70745"/>
    <w:rsid w:val="00E7074D"/>
    <w:rsid w:val="00E707D0"/>
    <w:rsid w:val="00E70A3C"/>
    <w:rsid w:val="00E70A6A"/>
    <w:rsid w:val="00E70AA1"/>
    <w:rsid w:val="00E70D2B"/>
    <w:rsid w:val="00E70E85"/>
    <w:rsid w:val="00E70F1D"/>
    <w:rsid w:val="00E70F77"/>
    <w:rsid w:val="00E71078"/>
    <w:rsid w:val="00E71158"/>
    <w:rsid w:val="00E71354"/>
    <w:rsid w:val="00E716DD"/>
    <w:rsid w:val="00E71819"/>
    <w:rsid w:val="00E718CE"/>
    <w:rsid w:val="00E71932"/>
    <w:rsid w:val="00E719F7"/>
    <w:rsid w:val="00E71A46"/>
    <w:rsid w:val="00E71A74"/>
    <w:rsid w:val="00E71AC6"/>
    <w:rsid w:val="00E71BD0"/>
    <w:rsid w:val="00E71C2C"/>
    <w:rsid w:val="00E71C5A"/>
    <w:rsid w:val="00E71C62"/>
    <w:rsid w:val="00E71D05"/>
    <w:rsid w:val="00E71DF6"/>
    <w:rsid w:val="00E71E31"/>
    <w:rsid w:val="00E71E49"/>
    <w:rsid w:val="00E71E9C"/>
    <w:rsid w:val="00E71EB5"/>
    <w:rsid w:val="00E71FBA"/>
    <w:rsid w:val="00E72206"/>
    <w:rsid w:val="00E7226A"/>
    <w:rsid w:val="00E7239A"/>
    <w:rsid w:val="00E723EE"/>
    <w:rsid w:val="00E7244C"/>
    <w:rsid w:val="00E72742"/>
    <w:rsid w:val="00E72825"/>
    <w:rsid w:val="00E72843"/>
    <w:rsid w:val="00E7295C"/>
    <w:rsid w:val="00E72A99"/>
    <w:rsid w:val="00E72AD9"/>
    <w:rsid w:val="00E72C14"/>
    <w:rsid w:val="00E72C5E"/>
    <w:rsid w:val="00E72E28"/>
    <w:rsid w:val="00E72FBA"/>
    <w:rsid w:val="00E73393"/>
    <w:rsid w:val="00E73464"/>
    <w:rsid w:val="00E737CA"/>
    <w:rsid w:val="00E737D6"/>
    <w:rsid w:val="00E737E7"/>
    <w:rsid w:val="00E73B23"/>
    <w:rsid w:val="00E73BD0"/>
    <w:rsid w:val="00E73CBC"/>
    <w:rsid w:val="00E73D68"/>
    <w:rsid w:val="00E73F02"/>
    <w:rsid w:val="00E73F84"/>
    <w:rsid w:val="00E74023"/>
    <w:rsid w:val="00E741B6"/>
    <w:rsid w:val="00E7437F"/>
    <w:rsid w:val="00E743FD"/>
    <w:rsid w:val="00E74486"/>
    <w:rsid w:val="00E74652"/>
    <w:rsid w:val="00E74805"/>
    <w:rsid w:val="00E74823"/>
    <w:rsid w:val="00E7484F"/>
    <w:rsid w:val="00E74943"/>
    <w:rsid w:val="00E74A24"/>
    <w:rsid w:val="00E74B37"/>
    <w:rsid w:val="00E74D52"/>
    <w:rsid w:val="00E74D96"/>
    <w:rsid w:val="00E74DA1"/>
    <w:rsid w:val="00E74DEB"/>
    <w:rsid w:val="00E74E74"/>
    <w:rsid w:val="00E75198"/>
    <w:rsid w:val="00E751CF"/>
    <w:rsid w:val="00E75299"/>
    <w:rsid w:val="00E752E5"/>
    <w:rsid w:val="00E75431"/>
    <w:rsid w:val="00E755EC"/>
    <w:rsid w:val="00E75617"/>
    <w:rsid w:val="00E75629"/>
    <w:rsid w:val="00E7571B"/>
    <w:rsid w:val="00E75863"/>
    <w:rsid w:val="00E758A2"/>
    <w:rsid w:val="00E759A3"/>
    <w:rsid w:val="00E75A9E"/>
    <w:rsid w:val="00E75B68"/>
    <w:rsid w:val="00E75BF8"/>
    <w:rsid w:val="00E75F22"/>
    <w:rsid w:val="00E760AD"/>
    <w:rsid w:val="00E7625F"/>
    <w:rsid w:val="00E76263"/>
    <w:rsid w:val="00E762A2"/>
    <w:rsid w:val="00E7637E"/>
    <w:rsid w:val="00E764B5"/>
    <w:rsid w:val="00E76508"/>
    <w:rsid w:val="00E76568"/>
    <w:rsid w:val="00E76668"/>
    <w:rsid w:val="00E76682"/>
    <w:rsid w:val="00E76869"/>
    <w:rsid w:val="00E7688B"/>
    <w:rsid w:val="00E7694A"/>
    <w:rsid w:val="00E76980"/>
    <w:rsid w:val="00E76A94"/>
    <w:rsid w:val="00E76A96"/>
    <w:rsid w:val="00E76BA0"/>
    <w:rsid w:val="00E76BA6"/>
    <w:rsid w:val="00E76D37"/>
    <w:rsid w:val="00E76D52"/>
    <w:rsid w:val="00E76DB2"/>
    <w:rsid w:val="00E76FAC"/>
    <w:rsid w:val="00E77023"/>
    <w:rsid w:val="00E771A6"/>
    <w:rsid w:val="00E771F0"/>
    <w:rsid w:val="00E77239"/>
    <w:rsid w:val="00E7729E"/>
    <w:rsid w:val="00E7736F"/>
    <w:rsid w:val="00E77513"/>
    <w:rsid w:val="00E776E7"/>
    <w:rsid w:val="00E776F3"/>
    <w:rsid w:val="00E77942"/>
    <w:rsid w:val="00E7799D"/>
    <w:rsid w:val="00E77A8C"/>
    <w:rsid w:val="00E77B81"/>
    <w:rsid w:val="00E77BBC"/>
    <w:rsid w:val="00E77BEC"/>
    <w:rsid w:val="00E77CF5"/>
    <w:rsid w:val="00E77E33"/>
    <w:rsid w:val="00E77FD1"/>
    <w:rsid w:val="00E80031"/>
    <w:rsid w:val="00E80138"/>
    <w:rsid w:val="00E8024A"/>
    <w:rsid w:val="00E8025B"/>
    <w:rsid w:val="00E802CC"/>
    <w:rsid w:val="00E803DE"/>
    <w:rsid w:val="00E80484"/>
    <w:rsid w:val="00E80528"/>
    <w:rsid w:val="00E80557"/>
    <w:rsid w:val="00E80604"/>
    <w:rsid w:val="00E80709"/>
    <w:rsid w:val="00E807EA"/>
    <w:rsid w:val="00E809DD"/>
    <w:rsid w:val="00E80AA8"/>
    <w:rsid w:val="00E80B17"/>
    <w:rsid w:val="00E80BD2"/>
    <w:rsid w:val="00E80BE9"/>
    <w:rsid w:val="00E80CE2"/>
    <w:rsid w:val="00E80E4E"/>
    <w:rsid w:val="00E8103C"/>
    <w:rsid w:val="00E8107F"/>
    <w:rsid w:val="00E81094"/>
    <w:rsid w:val="00E811E1"/>
    <w:rsid w:val="00E812AB"/>
    <w:rsid w:val="00E812D1"/>
    <w:rsid w:val="00E813F4"/>
    <w:rsid w:val="00E814DC"/>
    <w:rsid w:val="00E814F8"/>
    <w:rsid w:val="00E815EE"/>
    <w:rsid w:val="00E81678"/>
    <w:rsid w:val="00E816A7"/>
    <w:rsid w:val="00E818BE"/>
    <w:rsid w:val="00E81A92"/>
    <w:rsid w:val="00E81C1E"/>
    <w:rsid w:val="00E81C3E"/>
    <w:rsid w:val="00E81C8E"/>
    <w:rsid w:val="00E81DCF"/>
    <w:rsid w:val="00E81E23"/>
    <w:rsid w:val="00E81E56"/>
    <w:rsid w:val="00E82091"/>
    <w:rsid w:val="00E821CC"/>
    <w:rsid w:val="00E821E7"/>
    <w:rsid w:val="00E822CB"/>
    <w:rsid w:val="00E82344"/>
    <w:rsid w:val="00E8242F"/>
    <w:rsid w:val="00E82444"/>
    <w:rsid w:val="00E8247D"/>
    <w:rsid w:val="00E82540"/>
    <w:rsid w:val="00E82620"/>
    <w:rsid w:val="00E82871"/>
    <w:rsid w:val="00E8287C"/>
    <w:rsid w:val="00E828BB"/>
    <w:rsid w:val="00E82904"/>
    <w:rsid w:val="00E8299E"/>
    <w:rsid w:val="00E82A18"/>
    <w:rsid w:val="00E82AFA"/>
    <w:rsid w:val="00E82B6A"/>
    <w:rsid w:val="00E82C24"/>
    <w:rsid w:val="00E82C29"/>
    <w:rsid w:val="00E82C65"/>
    <w:rsid w:val="00E82CE0"/>
    <w:rsid w:val="00E82D3F"/>
    <w:rsid w:val="00E82E40"/>
    <w:rsid w:val="00E82EAE"/>
    <w:rsid w:val="00E82ED4"/>
    <w:rsid w:val="00E82F06"/>
    <w:rsid w:val="00E831A9"/>
    <w:rsid w:val="00E831F3"/>
    <w:rsid w:val="00E83274"/>
    <w:rsid w:val="00E832EF"/>
    <w:rsid w:val="00E8340D"/>
    <w:rsid w:val="00E83468"/>
    <w:rsid w:val="00E834EF"/>
    <w:rsid w:val="00E8357F"/>
    <w:rsid w:val="00E8358A"/>
    <w:rsid w:val="00E836EB"/>
    <w:rsid w:val="00E836F5"/>
    <w:rsid w:val="00E8371B"/>
    <w:rsid w:val="00E838DC"/>
    <w:rsid w:val="00E83B07"/>
    <w:rsid w:val="00E83BC4"/>
    <w:rsid w:val="00E83D00"/>
    <w:rsid w:val="00E83DBE"/>
    <w:rsid w:val="00E83DC1"/>
    <w:rsid w:val="00E83EB7"/>
    <w:rsid w:val="00E83ECE"/>
    <w:rsid w:val="00E83F53"/>
    <w:rsid w:val="00E83F98"/>
    <w:rsid w:val="00E841B6"/>
    <w:rsid w:val="00E842E2"/>
    <w:rsid w:val="00E84394"/>
    <w:rsid w:val="00E8459B"/>
    <w:rsid w:val="00E8463F"/>
    <w:rsid w:val="00E84695"/>
    <w:rsid w:val="00E84816"/>
    <w:rsid w:val="00E8484F"/>
    <w:rsid w:val="00E84917"/>
    <w:rsid w:val="00E84B36"/>
    <w:rsid w:val="00E84B46"/>
    <w:rsid w:val="00E84D02"/>
    <w:rsid w:val="00E84D2D"/>
    <w:rsid w:val="00E84D64"/>
    <w:rsid w:val="00E84D9B"/>
    <w:rsid w:val="00E84E6A"/>
    <w:rsid w:val="00E84F2D"/>
    <w:rsid w:val="00E84F99"/>
    <w:rsid w:val="00E8509F"/>
    <w:rsid w:val="00E851A2"/>
    <w:rsid w:val="00E851FD"/>
    <w:rsid w:val="00E852D2"/>
    <w:rsid w:val="00E8541B"/>
    <w:rsid w:val="00E855CF"/>
    <w:rsid w:val="00E855D0"/>
    <w:rsid w:val="00E85615"/>
    <w:rsid w:val="00E85788"/>
    <w:rsid w:val="00E858AA"/>
    <w:rsid w:val="00E8598E"/>
    <w:rsid w:val="00E85CEE"/>
    <w:rsid w:val="00E85DD4"/>
    <w:rsid w:val="00E85DF8"/>
    <w:rsid w:val="00E85F15"/>
    <w:rsid w:val="00E86039"/>
    <w:rsid w:val="00E8609E"/>
    <w:rsid w:val="00E860C0"/>
    <w:rsid w:val="00E861A1"/>
    <w:rsid w:val="00E861C3"/>
    <w:rsid w:val="00E861D3"/>
    <w:rsid w:val="00E861EE"/>
    <w:rsid w:val="00E86309"/>
    <w:rsid w:val="00E8632A"/>
    <w:rsid w:val="00E863AB"/>
    <w:rsid w:val="00E863EF"/>
    <w:rsid w:val="00E8651B"/>
    <w:rsid w:val="00E8654F"/>
    <w:rsid w:val="00E865B7"/>
    <w:rsid w:val="00E86634"/>
    <w:rsid w:val="00E86647"/>
    <w:rsid w:val="00E86755"/>
    <w:rsid w:val="00E867A8"/>
    <w:rsid w:val="00E867BC"/>
    <w:rsid w:val="00E86838"/>
    <w:rsid w:val="00E86871"/>
    <w:rsid w:val="00E868DE"/>
    <w:rsid w:val="00E86955"/>
    <w:rsid w:val="00E86AFF"/>
    <w:rsid w:val="00E86D69"/>
    <w:rsid w:val="00E86D77"/>
    <w:rsid w:val="00E86DC9"/>
    <w:rsid w:val="00E86DDA"/>
    <w:rsid w:val="00E86EE4"/>
    <w:rsid w:val="00E86F77"/>
    <w:rsid w:val="00E870D4"/>
    <w:rsid w:val="00E87124"/>
    <w:rsid w:val="00E87297"/>
    <w:rsid w:val="00E8784A"/>
    <w:rsid w:val="00E8786D"/>
    <w:rsid w:val="00E87CFD"/>
    <w:rsid w:val="00E87D02"/>
    <w:rsid w:val="00E87D32"/>
    <w:rsid w:val="00E87E5E"/>
    <w:rsid w:val="00E87E8E"/>
    <w:rsid w:val="00E90039"/>
    <w:rsid w:val="00E900DC"/>
    <w:rsid w:val="00E9012C"/>
    <w:rsid w:val="00E90403"/>
    <w:rsid w:val="00E90450"/>
    <w:rsid w:val="00E9051B"/>
    <w:rsid w:val="00E9063A"/>
    <w:rsid w:val="00E9076B"/>
    <w:rsid w:val="00E907B1"/>
    <w:rsid w:val="00E907B7"/>
    <w:rsid w:val="00E907E4"/>
    <w:rsid w:val="00E90954"/>
    <w:rsid w:val="00E90B8E"/>
    <w:rsid w:val="00E90BE3"/>
    <w:rsid w:val="00E90C76"/>
    <w:rsid w:val="00E90C79"/>
    <w:rsid w:val="00E90D10"/>
    <w:rsid w:val="00E90D3E"/>
    <w:rsid w:val="00E90D5F"/>
    <w:rsid w:val="00E90D73"/>
    <w:rsid w:val="00E90DAB"/>
    <w:rsid w:val="00E90E25"/>
    <w:rsid w:val="00E9119B"/>
    <w:rsid w:val="00E91327"/>
    <w:rsid w:val="00E9138F"/>
    <w:rsid w:val="00E914DB"/>
    <w:rsid w:val="00E91529"/>
    <w:rsid w:val="00E91818"/>
    <w:rsid w:val="00E918EE"/>
    <w:rsid w:val="00E91AAC"/>
    <w:rsid w:val="00E91B15"/>
    <w:rsid w:val="00E91B85"/>
    <w:rsid w:val="00E91C91"/>
    <w:rsid w:val="00E91D26"/>
    <w:rsid w:val="00E91EED"/>
    <w:rsid w:val="00E92086"/>
    <w:rsid w:val="00E92189"/>
    <w:rsid w:val="00E92221"/>
    <w:rsid w:val="00E92269"/>
    <w:rsid w:val="00E92381"/>
    <w:rsid w:val="00E92398"/>
    <w:rsid w:val="00E923BF"/>
    <w:rsid w:val="00E9256F"/>
    <w:rsid w:val="00E92638"/>
    <w:rsid w:val="00E92664"/>
    <w:rsid w:val="00E92697"/>
    <w:rsid w:val="00E92744"/>
    <w:rsid w:val="00E927BF"/>
    <w:rsid w:val="00E92827"/>
    <w:rsid w:val="00E92830"/>
    <w:rsid w:val="00E928F7"/>
    <w:rsid w:val="00E92962"/>
    <w:rsid w:val="00E9296A"/>
    <w:rsid w:val="00E929FF"/>
    <w:rsid w:val="00E92A86"/>
    <w:rsid w:val="00E92B57"/>
    <w:rsid w:val="00E92BFA"/>
    <w:rsid w:val="00E92DE5"/>
    <w:rsid w:val="00E92E6C"/>
    <w:rsid w:val="00E92EC8"/>
    <w:rsid w:val="00E9307B"/>
    <w:rsid w:val="00E930CA"/>
    <w:rsid w:val="00E93104"/>
    <w:rsid w:val="00E9311D"/>
    <w:rsid w:val="00E93313"/>
    <w:rsid w:val="00E93368"/>
    <w:rsid w:val="00E933E0"/>
    <w:rsid w:val="00E934BB"/>
    <w:rsid w:val="00E934BD"/>
    <w:rsid w:val="00E9362F"/>
    <w:rsid w:val="00E93697"/>
    <w:rsid w:val="00E938DC"/>
    <w:rsid w:val="00E93C09"/>
    <w:rsid w:val="00E93CC6"/>
    <w:rsid w:val="00E93CEA"/>
    <w:rsid w:val="00E93D0C"/>
    <w:rsid w:val="00E93E6E"/>
    <w:rsid w:val="00E93E8F"/>
    <w:rsid w:val="00E93F8D"/>
    <w:rsid w:val="00E942BC"/>
    <w:rsid w:val="00E942E6"/>
    <w:rsid w:val="00E9433C"/>
    <w:rsid w:val="00E944B5"/>
    <w:rsid w:val="00E945D0"/>
    <w:rsid w:val="00E94688"/>
    <w:rsid w:val="00E9481D"/>
    <w:rsid w:val="00E94822"/>
    <w:rsid w:val="00E94835"/>
    <w:rsid w:val="00E94857"/>
    <w:rsid w:val="00E948B2"/>
    <w:rsid w:val="00E9490E"/>
    <w:rsid w:val="00E94929"/>
    <w:rsid w:val="00E94A7C"/>
    <w:rsid w:val="00E94A90"/>
    <w:rsid w:val="00E94B5C"/>
    <w:rsid w:val="00E94CD9"/>
    <w:rsid w:val="00E94D2A"/>
    <w:rsid w:val="00E94F83"/>
    <w:rsid w:val="00E9520A"/>
    <w:rsid w:val="00E952A5"/>
    <w:rsid w:val="00E952F8"/>
    <w:rsid w:val="00E95322"/>
    <w:rsid w:val="00E95603"/>
    <w:rsid w:val="00E9564A"/>
    <w:rsid w:val="00E957DF"/>
    <w:rsid w:val="00E9595C"/>
    <w:rsid w:val="00E95E1C"/>
    <w:rsid w:val="00E95E3A"/>
    <w:rsid w:val="00E95E67"/>
    <w:rsid w:val="00E95E91"/>
    <w:rsid w:val="00E960D3"/>
    <w:rsid w:val="00E9611A"/>
    <w:rsid w:val="00E9614C"/>
    <w:rsid w:val="00E961F5"/>
    <w:rsid w:val="00E96320"/>
    <w:rsid w:val="00E9633C"/>
    <w:rsid w:val="00E964E2"/>
    <w:rsid w:val="00E9668B"/>
    <w:rsid w:val="00E9672A"/>
    <w:rsid w:val="00E96750"/>
    <w:rsid w:val="00E967D0"/>
    <w:rsid w:val="00E968FC"/>
    <w:rsid w:val="00E96939"/>
    <w:rsid w:val="00E96A0A"/>
    <w:rsid w:val="00E96BB7"/>
    <w:rsid w:val="00E96BDD"/>
    <w:rsid w:val="00E96C06"/>
    <w:rsid w:val="00E96DC5"/>
    <w:rsid w:val="00E970C9"/>
    <w:rsid w:val="00E972F2"/>
    <w:rsid w:val="00E97306"/>
    <w:rsid w:val="00E9733A"/>
    <w:rsid w:val="00E973B5"/>
    <w:rsid w:val="00E973F5"/>
    <w:rsid w:val="00E9742D"/>
    <w:rsid w:val="00E9768D"/>
    <w:rsid w:val="00E976DE"/>
    <w:rsid w:val="00E97727"/>
    <w:rsid w:val="00E9777C"/>
    <w:rsid w:val="00E97825"/>
    <w:rsid w:val="00E97916"/>
    <w:rsid w:val="00E97A39"/>
    <w:rsid w:val="00E97BB5"/>
    <w:rsid w:val="00E97BDE"/>
    <w:rsid w:val="00E97C83"/>
    <w:rsid w:val="00E97F08"/>
    <w:rsid w:val="00EA0073"/>
    <w:rsid w:val="00EA0231"/>
    <w:rsid w:val="00EA0254"/>
    <w:rsid w:val="00EA0336"/>
    <w:rsid w:val="00EA0342"/>
    <w:rsid w:val="00EA049C"/>
    <w:rsid w:val="00EA04D9"/>
    <w:rsid w:val="00EA05FD"/>
    <w:rsid w:val="00EA0610"/>
    <w:rsid w:val="00EA063E"/>
    <w:rsid w:val="00EA0788"/>
    <w:rsid w:val="00EA07DD"/>
    <w:rsid w:val="00EA0877"/>
    <w:rsid w:val="00EA08EC"/>
    <w:rsid w:val="00EA0987"/>
    <w:rsid w:val="00EA0A9F"/>
    <w:rsid w:val="00EA0C7C"/>
    <w:rsid w:val="00EA0CEF"/>
    <w:rsid w:val="00EA0D6A"/>
    <w:rsid w:val="00EA0D89"/>
    <w:rsid w:val="00EA0DDC"/>
    <w:rsid w:val="00EA0E47"/>
    <w:rsid w:val="00EA0E7B"/>
    <w:rsid w:val="00EA0F5E"/>
    <w:rsid w:val="00EA1315"/>
    <w:rsid w:val="00EA13C9"/>
    <w:rsid w:val="00EA13E1"/>
    <w:rsid w:val="00EA141C"/>
    <w:rsid w:val="00EA14EE"/>
    <w:rsid w:val="00EA16FE"/>
    <w:rsid w:val="00EA1729"/>
    <w:rsid w:val="00EA174A"/>
    <w:rsid w:val="00EA181A"/>
    <w:rsid w:val="00EA19BB"/>
    <w:rsid w:val="00EA1BAA"/>
    <w:rsid w:val="00EA1C45"/>
    <w:rsid w:val="00EA1D26"/>
    <w:rsid w:val="00EA1D68"/>
    <w:rsid w:val="00EA1E9D"/>
    <w:rsid w:val="00EA1F71"/>
    <w:rsid w:val="00EA209C"/>
    <w:rsid w:val="00EA2142"/>
    <w:rsid w:val="00EA2213"/>
    <w:rsid w:val="00EA222F"/>
    <w:rsid w:val="00EA23BA"/>
    <w:rsid w:val="00EA23FA"/>
    <w:rsid w:val="00EA24FD"/>
    <w:rsid w:val="00EA2558"/>
    <w:rsid w:val="00EA2795"/>
    <w:rsid w:val="00EA28EF"/>
    <w:rsid w:val="00EA28F6"/>
    <w:rsid w:val="00EA29CB"/>
    <w:rsid w:val="00EA2A48"/>
    <w:rsid w:val="00EA2AC1"/>
    <w:rsid w:val="00EA2B88"/>
    <w:rsid w:val="00EA2C50"/>
    <w:rsid w:val="00EA2CC8"/>
    <w:rsid w:val="00EA2E40"/>
    <w:rsid w:val="00EA2FE2"/>
    <w:rsid w:val="00EA30B2"/>
    <w:rsid w:val="00EA314E"/>
    <w:rsid w:val="00EA33BD"/>
    <w:rsid w:val="00EA3650"/>
    <w:rsid w:val="00EA3775"/>
    <w:rsid w:val="00EA37DD"/>
    <w:rsid w:val="00EA38BF"/>
    <w:rsid w:val="00EA38FC"/>
    <w:rsid w:val="00EA3991"/>
    <w:rsid w:val="00EA3A7C"/>
    <w:rsid w:val="00EA3AFB"/>
    <w:rsid w:val="00EA3C33"/>
    <w:rsid w:val="00EA3D04"/>
    <w:rsid w:val="00EA3D0F"/>
    <w:rsid w:val="00EA3D45"/>
    <w:rsid w:val="00EA3EA7"/>
    <w:rsid w:val="00EA3EE9"/>
    <w:rsid w:val="00EA4154"/>
    <w:rsid w:val="00EA4444"/>
    <w:rsid w:val="00EA456D"/>
    <w:rsid w:val="00EA4570"/>
    <w:rsid w:val="00EA4606"/>
    <w:rsid w:val="00EA4637"/>
    <w:rsid w:val="00EA467E"/>
    <w:rsid w:val="00EA4690"/>
    <w:rsid w:val="00EA47F5"/>
    <w:rsid w:val="00EA4842"/>
    <w:rsid w:val="00EA487F"/>
    <w:rsid w:val="00EA49C7"/>
    <w:rsid w:val="00EA4B10"/>
    <w:rsid w:val="00EA4B2C"/>
    <w:rsid w:val="00EA4B4F"/>
    <w:rsid w:val="00EA4C93"/>
    <w:rsid w:val="00EA4FE0"/>
    <w:rsid w:val="00EA538D"/>
    <w:rsid w:val="00EA55CF"/>
    <w:rsid w:val="00EA5695"/>
    <w:rsid w:val="00EA586D"/>
    <w:rsid w:val="00EA589F"/>
    <w:rsid w:val="00EA58E5"/>
    <w:rsid w:val="00EA59F4"/>
    <w:rsid w:val="00EA5A3F"/>
    <w:rsid w:val="00EA5ADA"/>
    <w:rsid w:val="00EA5B83"/>
    <w:rsid w:val="00EA5D14"/>
    <w:rsid w:val="00EA5D8C"/>
    <w:rsid w:val="00EA5DD0"/>
    <w:rsid w:val="00EA5DF7"/>
    <w:rsid w:val="00EA60DB"/>
    <w:rsid w:val="00EA621E"/>
    <w:rsid w:val="00EA62C5"/>
    <w:rsid w:val="00EA64A1"/>
    <w:rsid w:val="00EA64F0"/>
    <w:rsid w:val="00EA6562"/>
    <w:rsid w:val="00EA66C7"/>
    <w:rsid w:val="00EA68DB"/>
    <w:rsid w:val="00EA6938"/>
    <w:rsid w:val="00EA6AFF"/>
    <w:rsid w:val="00EA6B75"/>
    <w:rsid w:val="00EA6B8D"/>
    <w:rsid w:val="00EA6C57"/>
    <w:rsid w:val="00EA6CE1"/>
    <w:rsid w:val="00EA6D3F"/>
    <w:rsid w:val="00EA6D8F"/>
    <w:rsid w:val="00EA6DFD"/>
    <w:rsid w:val="00EA6E80"/>
    <w:rsid w:val="00EA6F66"/>
    <w:rsid w:val="00EA6F71"/>
    <w:rsid w:val="00EA704B"/>
    <w:rsid w:val="00EA70ED"/>
    <w:rsid w:val="00EA710B"/>
    <w:rsid w:val="00EA7172"/>
    <w:rsid w:val="00EA7192"/>
    <w:rsid w:val="00EA721B"/>
    <w:rsid w:val="00EA7544"/>
    <w:rsid w:val="00EA75F6"/>
    <w:rsid w:val="00EA7609"/>
    <w:rsid w:val="00EA7635"/>
    <w:rsid w:val="00EA76EE"/>
    <w:rsid w:val="00EA76F3"/>
    <w:rsid w:val="00EA776A"/>
    <w:rsid w:val="00EA7771"/>
    <w:rsid w:val="00EA7789"/>
    <w:rsid w:val="00EA7892"/>
    <w:rsid w:val="00EA7940"/>
    <w:rsid w:val="00EA7A38"/>
    <w:rsid w:val="00EA7A3E"/>
    <w:rsid w:val="00EA7D07"/>
    <w:rsid w:val="00EA7DBA"/>
    <w:rsid w:val="00EA7DD5"/>
    <w:rsid w:val="00EA7E38"/>
    <w:rsid w:val="00EA7E5B"/>
    <w:rsid w:val="00EA7F48"/>
    <w:rsid w:val="00EB00DD"/>
    <w:rsid w:val="00EB010A"/>
    <w:rsid w:val="00EB01BF"/>
    <w:rsid w:val="00EB02C9"/>
    <w:rsid w:val="00EB031E"/>
    <w:rsid w:val="00EB03AB"/>
    <w:rsid w:val="00EB069A"/>
    <w:rsid w:val="00EB06C8"/>
    <w:rsid w:val="00EB0896"/>
    <w:rsid w:val="00EB08C7"/>
    <w:rsid w:val="00EB08E9"/>
    <w:rsid w:val="00EB0A20"/>
    <w:rsid w:val="00EB0A2A"/>
    <w:rsid w:val="00EB0A58"/>
    <w:rsid w:val="00EB0A7D"/>
    <w:rsid w:val="00EB0BED"/>
    <w:rsid w:val="00EB0C28"/>
    <w:rsid w:val="00EB0C71"/>
    <w:rsid w:val="00EB0C8F"/>
    <w:rsid w:val="00EB0CDD"/>
    <w:rsid w:val="00EB0CF9"/>
    <w:rsid w:val="00EB0D26"/>
    <w:rsid w:val="00EB0D76"/>
    <w:rsid w:val="00EB0DAA"/>
    <w:rsid w:val="00EB0E17"/>
    <w:rsid w:val="00EB0FB6"/>
    <w:rsid w:val="00EB1137"/>
    <w:rsid w:val="00EB11BA"/>
    <w:rsid w:val="00EB12DB"/>
    <w:rsid w:val="00EB1345"/>
    <w:rsid w:val="00EB13C0"/>
    <w:rsid w:val="00EB13C1"/>
    <w:rsid w:val="00EB150F"/>
    <w:rsid w:val="00EB1559"/>
    <w:rsid w:val="00EB1652"/>
    <w:rsid w:val="00EB1698"/>
    <w:rsid w:val="00EB169C"/>
    <w:rsid w:val="00EB176C"/>
    <w:rsid w:val="00EB19F6"/>
    <w:rsid w:val="00EB1D53"/>
    <w:rsid w:val="00EB1D7F"/>
    <w:rsid w:val="00EB1D8B"/>
    <w:rsid w:val="00EB1E90"/>
    <w:rsid w:val="00EB2181"/>
    <w:rsid w:val="00EB257C"/>
    <w:rsid w:val="00EB261E"/>
    <w:rsid w:val="00EB2680"/>
    <w:rsid w:val="00EB273B"/>
    <w:rsid w:val="00EB284A"/>
    <w:rsid w:val="00EB2972"/>
    <w:rsid w:val="00EB2A10"/>
    <w:rsid w:val="00EB2B84"/>
    <w:rsid w:val="00EB2C31"/>
    <w:rsid w:val="00EB2D66"/>
    <w:rsid w:val="00EB2DBB"/>
    <w:rsid w:val="00EB2E2C"/>
    <w:rsid w:val="00EB2F66"/>
    <w:rsid w:val="00EB3179"/>
    <w:rsid w:val="00EB31DD"/>
    <w:rsid w:val="00EB325E"/>
    <w:rsid w:val="00EB34B6"/>
    <w:rsid w:val="00EB3640"/>
    <w:rsid w:val="00EB36BD"/>
    <w:rsid w:val="00EB36BE"/>
    <w:rsid w:val="00EB3752"/>
    <w:rsid w:val="00EB3837"/>
    <w:rsid w:val="00EB392C"/>
    <w:rsid w:val="00EB3B89"/>
    <w:rsid w:val="00EB3C17"/>
    <w:rsid w:val="00EB3CAA"/>
    <w:rsid w:val="00EB3D0B"/>
    <w:rsid w:val="00EB3D3D"/>
    <w:rsid w:val="00EB3E4B"/>
    <w:rsid w:val="00EB3EC0"/>
    <w:rsid w:val="00EB3F37"/>
    <w:rsid w:val="00EB3F76"/>
    <w:rsid w:val="00EB3FDC"/>
    <w:rsid w:val="00EB40D5"/>
    <w:rsid w:val="00EB42BB"/>
    <w:rsid w:val="00EB4358"/>
    <w:rsid w:val="00EB4398"/>
    <w:rsid w:val="00EB44FA"/>
    <w:rsid w:val="00EB4565"/>
    <w:rsid w:val="00EB45A0"/>
    <w:rsid w:val="00EB466F"/>
    <w:rsid w:val="00EB46DF"/>
    <w:rsid w:val="00EB46F1"/>
    <w:rsid w:val="00EB4A16"/>
    <w:rsid w:val="00EB4B0C"/>
    <w:rsid w:val="00EB4CF2"/>
    <w:rsid w:val="00EB4E8A"/>
    <w:rsid w:val="00EB4F6C"/>
    <w:rsid w:val="00EB507E"/>
    <w:rsid w:val="00EB50C7"/>
    <w:rsid w:val="00EB5212"/>
    <w:rsid w:val="00EB5245"/>
    <w:rsid w:val="00EB52F2"/>
    <w:rsid w:val="00EB5305"/>
    <w:rsid w:val="00EB5474"/>
    <w:rsid w:val="00EB565B"/>
    <w:rsid w:val="00EB5720"/>
    <w:rsid w:val="00EB57AB"/>
    <w:rsid w:val="00EB57AF"/>
    <w:rsid w:val="00EB57DB"/>
    <w:rsid w:val="00EB57E0"/>
    <w:rsid w:val="00EB58D1"/>
    <w:rsid w:val="00EB5B4D"/>
    <w:rsid w:val="00EB5CEE"/>
    <w:rsid w:val="00EB5DF9"/>
    <w:rsid w:val="00EB5EB1"/>
    <w:rsid w:val="00EB5ED9"/>
    <w:rsid w:val="00EB5F52"/>
    <w:rsid w:val="00EB5F55"/>
    <w:rsid w:val="00EB5FDA"/>
    <w:rsid w:val="00EB60A6"/>
    <w:rsid w:val="00EB6115"/>
    <w:rsid w:val="00EB62F6"/>
    <w:rsid w:val="00EB6314"/>
    <w:rsid w:val="00EB635C"/>
    <w:rsid w:val="00EB63F1"/>
    <w:rsid w:val="00EB640A"/>
    <w:rsid w:val="00EB6426"/>
    <w:rsid w:val="00EB64EE"/>
    <w:rsid w:val="00EB65F9"/>
    <w:rsid w:val="00EB66D2"/>
    <w:rsid w:val="00EB66EB"/>
    <w:rsid w:val="00EB67D3"/>
    <w:rsid w:val="00EB6978"/>
    <w:rsid w:val="00EB6983"/>
    <w:rsid w:val="00EB6A48"/>
    <w:rsid w:val="00EB6B15"/>
    <w:rsid w:val="00EB6B2C"/>
    <w:rsid w:val="00EB6BC2"/>
    <w:rsid w:val="00EB6C1A"/>
    <w:rsid w:val="00EB6E14"/>
    <w:rsid w:val="00EB6E6D"/>
    <w:rsid w:val="00EB6E72"/>
    <w:rsid w:val="00EB71A2"/>
    <w:rsid w:val="00EB71C1"/>
    <w:rsid w:val="00EB72A3"/>
    <w:rsid w:val="00EB72BE"/>
    <w:rsid w:val="00EB7322"/>
    <w:rsid w:val="00EB7395"/>
    <w:rsid w:val="00EB7406"/>
    <w:rsid w:val="00EB7481"/>
    <w:rsid w:val="00EB74DA"/>
    <w:rsid w:val="00EB74EB"/>
    <w:rsid w:val="00EB77A1"/>
    <w:rsid w:val="00EB7954"/>
    <w:rsid w:val="00EB7AE0"/>
    <w:rsid w:val="00EB7AFE"/>
    <w:rsid w:val="00EB7B63"/>
    <w:rsid w:val="00EB7BC5"/>
    <w:rsid w:val="00EB7C23"/>
    <w:rsid w:val="00EB7D52"/>
    <w:rsid w:val="00EB7DE7"/>
    <w:rsid w:val="00EB7FAD"/>
    <w:rsid w:val="00EBD006"/>
    <w:rsid w:val="00EC014F"/>
    <w:rsid w:val="00EC020F"/>
    <w:rsid w:val="00EC03CB"/>
    <w:rsid w:val="00EC03FD"/>
    <w:rsid w:val="00EC0413"/>
    <w:rsid w:val="00EC0434"/>
    <w:rsid w:val="00EC0451"/>
    <w:rsid w:val="00EC05B2"/>
    <w:rsid w:val="00EC05EB"/>
    <w:rsid w:val="00EC06BE"/>
    <w:rsid w:val="00EC075D"/>
    <w:rsid w:val="00EC083A"/>
    <w:rsid w:val="00EC0853"/>
    <w:rsid w:val="00EC08C0"/>
    <w:rsid w:val="00EC0920"/>
    <w:rsid w:val="00EC0962"/>
    <w:rsid w:val="00EC09F5"/>
    <w:rsid w:val="00EC0A8F"/>
    <w:rsid w:val="00EC0AAF"/>
    <w:rsid w:val="00EC0BAB"/>
    <w:rsid w:val="00EC0DC9"/>
    <w:rsid w:val="00EC0FFA"/>
    <w:rsid w:val="00EC1010"/>
    <w:rsid w:val="00EC102E"/>
    <w:rsid w:val="00EC10D0"/>
    <w:rsid w:val="00EC110A"/>
    <w:rsid w:val="00EC1111"/>
    <w:rsid w:val="00EC134C"/>
    <w:rsid w:val="00EC13DA"/>
    <w:rsid w:val="00EC14EB"/>
    <w:rsid w:val="00EC1625"/>
    <w:rsid w:val="00EC1627"/>
    <w:rsid w:val="00EC16FB"/>
    <w:rsid w:val="00EC1717"/>
    <w:rsid w:val="00EC17A5"/>
    <w:rsid w:val="00EC17E7"/>
    <w:rsid w:val="00EC17F4"/>
    <w:rsid w:val="00EC196A"/>
    <w:rsid w:val="00EC19B7"/>
    <w:rsid w:val="00EC1A58"/>
    <w:rsid w:val="00EC1AE6"/>
    <w:rsid w:val="00EC1B92"/>
    <w:rsid w:val="00EC1D03"/>
    <w:rsid w:val="00EC1D9B"/>
    <w:rsid w:val="00EC1DEC"/>
    <w:rsid w:val="00EC1E9A"/>
    <w:rsid w:val="00EC1F11"/>
    <w:rsid w:val="00EC1F3D"/>
    <w:rsid w:val="00EC20AB"/>
    <w:rsid w:val="00EC2224"/>
    <w:rsid w:val="00EC2269"/>
    <w:rsid w:val="00EC251D"/>
    <w:rsid w:val="00EC2589"/>
    <w:rsid w:val="00EC26EC"/>
    <w:rsid w:val="00EC2771"/>
    <w:rsid w:val="00EC2776"/>
    <w:rsid w:val="00EC2810"/>
    <w:rsid w:val="00EC2815"/>
    <w:rsid w:val="00EC2881"/>
    <w:rsid w:val="00EC2937"/>
    <w:rsid w:val="00EC2F21"/>
    <w:rsid w:val="00EC2FD9"/>
    <w:rsid w:val="00EC31C1"/>
    <w:rsid w:val="00EC34E3"/>
    <w:rsid w:val="00EC36E6"/>
    <w:rsid w:val="00EC38BE"/>
    <w:rsid w:val="00EC3993"/>
    <w:rsid w:val="00EC3A0E"/>
    <w:rsid w:val="00EC3BBD"/>
    <w:rsid w:val="00EC3C41"/>
    <w:rsid w:val="00EC3D11"/>
    <w:rsid w:val="00EC3E04"/>
    <w:rsid w:val="00EC3EDD"/>
    <w:rsid w:val="00EC3F3E"/>
    <w:rsid w:val="00EC3F85"/>
    <w:rsid w:val="00EC41BE"/>
    <w:rsid w:val="00EC41D7"/>
    <w:rsid w:val="00EC423E"/>
    <w:rsid w:val="00EC424A"/>
    <w:rsid w:val="00EC4296"/>
    <w:rsid w:val="00EC4479"/>
    <w:rsid w:val="00EC44B5"/>
    <w:rsid w:val="00EC4527"/>
    <w:rsid w:val="00EC4697"/>
    <w:rsid w:val="00EC49B0"/>
    <w:rsid w:val="00EC49F1"/>
    <w:rsid w:val="00EC4A91"/>
    <w:rsid w:val="00EC4AF7"/>
    <w:rsid w:val="00EC4B97"/>
    <w:rsid w:val="00EC4BBE"/>
    <w:rsid w:val="00EC4CCE"/>
    <w:rsid w:val="00EC4CD8"/>
    <w:rsid w:val="00EC4D88"/>
    <w:rsid w:val="00EC4E25"/>
    <w:rsid w:val="00EC4E48"/>
    <w:rsid w:val="00EC4EE5"/>
    <w:rsid w:val="00EC4F90"/>
    <w:rsid w:val="00EC4F92"/>
    <w:rsid w:val="00EC508A"/>
    <w:rsid w:val="00EC5186"/>
    <w:rsid w:val="00EC52EB"/>
    <w:rsid w:val="00EC533F"/>
    <w:rsid w:val="00EC54EE"/>
    <w:rsid w:val="00EC5500"/>
    <w:rsid w:val="00EC5530"/>
    <w:rsid w:val="00EC5603"/>
    <w:rsid w:val="00EC56D2"/>
    <w:rsid w:val="00EC58FF"/>
    <w:rsid w:val="00EC59C7"/>
    <w:rsid w:val="00EC5B9A"/>
    <w:rsid w:val="00EC5CB9"/>
    <w:rsid w:val="00EC5DD7"/>
    <w:rsid w:val="00EC5E5C"/>
    <w:rsid w:val="00EC5E8B"/>
    <w:rsid w:val="00EC5F4A"/>
    <w:rsid w:val="00EC6024"/>
    <w:rsid w:val="00EC6173"/>
    <w:rsid w:val="00EC6180"/>
    <w:rsid w:val="00EC6222"/>
    <w:rsid w:val="00EC6223"/>
    <w:rsid w:val="00EC62AC"/>
    <w:rsid w:val="00EC62CC"/>
    <w:rsid w:val="00EC6312"/>
    <w:rsid w:val="00EC6345"/>
    <w:rsid w:val="00EC638A"/>
    <w:rsid w:val="00EC66F6"/>
    <w:rsid w:val="00EC6850"/>
    <w:rsid w:val="00EC68AE"/>
    <w:rsid w:val="00EC6A0C"/>
    <w:rsid w:val="00EC6A47"/>
    <w:rsid w:val="00EC6A58"/>
    <w:rsid w:val="00EC6B1E"/>
    <w:rsid w:val="00EC6B9C"/>
    <w:rsid w:val="00EC6BA3"/>
    <w:rsid w:val="00EC6BC1"/>
    <w:rsid w:val="00EC6D1F"/>
    <w:rsid w:val="00EC6DDF"/>
    <w:rsid w:val="00EC6EE3"/>
    <w:rsid w:val="00EC6F04"/>
    <w:rsid w:val="00EC6F4C"/>
    <w:rsid w:val="00EC6F50"/>
    <w:rsid w:val="00EC6F56"/>
    <w:rsid w:val="00EC7003"/>
    <w:rsid w:val="00EC7052"/>
    <w:rsid w:val="00EC714F"/>
    <w:rsid w:val="00EC741F"/>
    <w:rsid w:val="00EC7498"/>
    <w:rsid w:val="00EC7534"/>
    <w:rsid w:val="00EC77A3"/>
    <w:rsid w:val="00EC7832"/>
    <w:rsid w:val="00EC7911"/>
    <w:rsid w:val="00EC7971"/>
    <w:rsid w:val="00EC7A11"/>
    <w:rsid w:val="00EC7B56"/>
    <w:rsid w:val="00EC7C90"/>
    <w:rsid w:val="00EC7D5C"/>
    <w:rsid w:val="00EC7F13"/>
    <w:rsid w:val="00ED0030"/>
    <w:rsid w:val="00ED0105"/>
    <w:rsid w:val="00ED01F5"/>
    <w:rsid w:val="00ED02DE"/>
    <w:rsid w:val="00ED0491"/>
    <w:rsid w:val="00ED06BB"/>
    <w:rsid w:val="00ED0764"/>
    <w:rsid w:val="00ED08A6"/>
    <w:rsid w:val="00ED0A0F"/>
    <w:rsid w:val="00ED0A5B"/>
    <w:rsid w:val="00ED0BB5"/>
    <w:rsid w:val="00ED0BEB"/>
    <w:rsid w:val="00ED0C93"/>
    <w:rsid w:val="00ED0CD0"/>
    <w:rsid w:val="00ED0D45"/>
    <w:rsid w:val="00ED0D7C"/>
    <w:rsid w:val="00ED0E9F"/>
    <w:rsid w:val="00ED0EED"/>
    <w:rsid w:val="00ED0EEF"/>
    <w:rsid w:val="00ED0F69"/>
    <w:rsid w:val="00ED100D"/>
    <w:rsid w:val="00ED1110"/>
    <w:rsid w:val="00ED129F"/>
    <w:rsid w:val="00ED1455"/>
    <w:rsid w:val="00ED145E"/>
    <w:rsid w:val="00ED14D6"/>
    <w:rsid w:val="00ED1653"/>
    <w:rsid w:val="00ED1675"/>
    <w:rsid w:val="00ED16CD"/>
    <w:rsid w:val="00ED170C"/>
    <w:rsid w:val="00ED1883"/>
    <w:rsid w:val="00ED18F5"/>
    <w:rsid w:val="00ED194E"/>
    <w:rsid w:val="00ED1A19"/>
    <w:rsid w:val="00ED1B5B"/>
    <w:rsid w:val="00ED1B71"/>
    <w:rsid w:val="00ED1BB4"/>
    <w:rsid w:val="00ED1BC1"/>
    <w:rsid w:val="00ED1D0E"/>
    <w:rsid w:val="00ED1D38"/>
    <w:rsid w:val="00ED1F07"/>
    <w:rsid w:val="00ED2081"/>
    <w:rsid w:val="00ED20ED"/>
    <w:rsid w:val="00ED2193"/>
    <w:rsid w:val="00ED22CB"/>
    <w:rsid w:val="00ED23C9"/>
    <w:rsid w:val="00ED242F"/>
    <w:rsid w:val="00ED2540"/>
    <w:rsid w:val="00ED2722"/>
    <w:rsid w:val="00ED27FA"/>
    <w:rsid w:val="00ED2811"/>
    <w:rsid w:val="00ED286B"/>
    <w:rsid w:val="00ED291D"/>
    <w:rsid w:val="00ED2958"/>
    <w:rsid w:val="00ED2B1F"/>
    <w:rsid w:val="00ED2CE5"/>
    <w:rsid w:val="00ED2DE4"/>
    <w:rsid w:val="00ED2F25"/>
    <w:rsid w:val="00ED3078"/>
    <w:rsid w:val="00ED30FB"/>
    <w:rsid w:val="00ED3287"/>
    <w:rsid w:val="00ED32BF"/>
    <w:rsid w:val="00ED334C"/>
    <w:rsid w:val="00ED33FA"/>
    <w:rsid w:val="00ED3552"/>
    <w:rsid w:val="00ED3574"/>
    <w:rsid w:val="00ED369A"/>
    <w:rsid w:val="00ED3886"/>
    <w:rsid w:val="00ED38E4"/>
    <w:rsid w:val="00ED38F4"/>
    <w:rsid w:val="00ED3962"/>
    <w:rsid w:val="00ED3ADF"/>
    <w:rsid w:val="00ED3BA9"/>
    <w:rsid w:val="00ED3BF1"/>
    <w:rsid w:val="00ED3C07"/>
    <w:rsid w:val="00ED3C3F"/>
    <w:rsid w:val="00ED3C85"/>
    <w:rsid w:val="00ED3D67"/>
    <w:rsid w:val="00ED3E96"/>
    <w:rsid w:val="00ED4016"/>
    <w:rsid w:val="00ED405E"/>
    <w:rsid w:val="00ED405F"/>
    <w:rsid w:val="00ED409C"/>
    <w:rsid w:val="00ED41A3"/>
    <w:rsid w:val="00ED4264"/>
    <w:rsid w:val="00ED4405"/>
    <w:rsid w:val="00ED4441"/>
    <w:rsid w:val="00ED4526"/>
    <w:rsid w:val="00ED4574"/>
    <w:rsid w:val="00ED4595"/>
    <w:rsid w:val="00ED45D2"/>
    <w:rsid w:val="00ED46B7"/>
    <w:rsid w:val="00ED470E"/>
    <w:rsid w:val="00ED496F"/>
    <w:rsid w:val="00ED4A73"/>
    <w:rsid w:val="00ED4CD3"/>
    <w:rsid w:val="00ED4D98"/>
    <w:rsid w:val="00ED4F05"/>
    <w:rsid w:val="00ED4F45"/>
    <w:rsid w:val="00ED5240"/>
    <w:rsid w:val="00ED528B"/>
    <w:rsid w:val="00ED5575"/>
    <w:rsid w:val="00ED55A9"/>
    <w:rsid w:val="00ED5735"/>
    <w:rsid w:val="00ED5772"/>
    <w:rsid w:val="00ED578B"/>
    <w:rsid w:val="00ED58DF"/>
    <w:rsid w:val="00ED592B"/>
    <w:rsid w:val="00ED5A36"/>
    <w:rsid w:val="00ED5AE9"/>
    <w:rsid w:val="00ED5B53"/>
    <w:rsid w:val="00ED5B99"/>
    <w:rsid w:val="00ED5BC1"/>
    <w:rsid w:val="00ED5C5A"/>
    <w:rsid w:val="00ED5C95"/>
    <w:rsid w:val="00ED5DA4"/>
    <w:rsid w:val="00ED5F7F"/>
    <w:rsid w:val="00ED6007"/>
    <w:rsid w:val="00ED638B"/>
    <w:rsid w:val="00ED63FA"/>
    <w:rsid w:val="00ED652B"/>
    <w:rsid w:val="00ED652F"/>
    <w:rsid w:val="00ED653D"/>
    <w:rsid w:val="00ED6559"/>
    <w:rsid w:val="00ED664A"/>
    <w:rsid w:val="00ED66C1"/>
    <w:rsid w:val="00ED671C"/>
    <w:rsid w:val="00ED6A28"/>
    <w:rsid w:val="00ED6A62"/>
    <w:rsid w:val="00ED6BAF"/>
    <w:rsid w:val="00ED6BC9"/>
    <w:rsid w:val="00ED6BDF"/>
    <w:rsid w:val="00ED6C02"/>
    <w:rsid w:val="00ED6C59"/>
    <w:rsid w:val="00ED6D43"/>
    <w:rsid w:val="00ED6DD3"/>
    <w:rsid w:val="00ED6E4B"/>
    <w:rsid w:val="00ED6E85"/>
    <w:rsid w:val="00ED6FB5"/>
    <w:rsid w:val="00ED7197"/>
    <w:rsid w:val="00ED7280"/>
    <w:rsid w:val="00ED72E8"/>
    <w:rsid w:val="00ED73C4"/>
    <w:rsid w:val="00ED740D"/>
    <w:rsid w:val="00ED74A5"/>
    <w:rsid w:val="00ED7696"/>
    <w:rsid w:val="00ED76C2"/>
    <w:rsid w:val="00ED7911"/>
    <w:rsid w:val="00ED79C3"/>
    <w:rsid w:val="00ED7AF9"/>
    <w:rsid w:val="00ED7BDC"/>
    <w:rsid w:val="00ED7C2E"/>
    <w:rsid w:val="00ED7C7B"/>
    <w:rsid w:val="00ED7CFF"/>
    <w:rsid w:val="00ED7DAF"/>
    <w:rsid w:val="00ED7E27"/>
    <w:rsid w:val="00ED7EDF"/>
    <w:rsid w:val="00ED81AB"/>
    <w:rsid w:val="00EDCE86"/>
    <w:rsid w:val="00EE0020"/>
    <w:rsid w:val="00EE00B2"/>
    <w:rsid w:val="00EE0109"/>
    <w:rsid w:val="00EE02C5"/>
    <w:rsid w:val="00EE0334"/>
    <w:rsid w:val="00EE0469"/>
    <w:rsid w:val="00EE0480"/>
    <w:rsid w:val="00EE06FE"/>
    <w:rsid w:val="00EE0786"/>
    <w:rsid w:val="00EE07E8"/>
    <w:rsid w:val="00EE0862"/>
    <w:rsid w:val="00EE0B1E"/>
    <w:rsid w:val="00EE0BA8"/>
    <w:rsid w:val="00EE0C6A"/>
    <w:rsid w:val="00EE0E33"/>
    <w:rsid w:val="00EE0F57"/>
    <w:rsid w:val="00EE0FE5"/>
    <w:rsid w:val="00EE0FFD"/>
    <w:rsid w:val="00EE121B"/>
    <w:rsid w:val="00EE121F"/>
    <w:rsid w:val="00EE1272"/>
    <w:rsid w:val="00EE133D"/>
    <w:rsid w:val="00EE1578"/>
    <w:rsid w:val="00EE164C"/>
    <w:rsid w:val="00EE1701"/>
    <w:rsid w:val="00EE18C7"/>
    <w:rsid w:val="00EE18EE"/>
    <w:rsid w:val="00EE191E"/>
    <w:rsid w:val="00EE1926"/>
    <w:rsid w:val="00EE19E0"/>
    <w:rsid w:val="00EE1A32"/>
    <w:rsid w:val="00EE1A4B"/>
    <w:rsid w:val="00EE1BCA"/>
    <w:rsid w:val="00EE1C52"/>
    <w:rsid w:val="00EE1CCF"/>
    <w:rsid w:val="00EE1D8B"/>
    <w:rsid w:val="00EE1F0D"/>
    <w:rsid w:val="00EE2055"/>
    <w:rsid w:val="00EE219A"/>
    <w:rsid w:val="00EE21F8"/>
    <w:rsid w:val="00EE2269"/>
    <w:rsid w:val="00EE2338"/>
    <w:rsid w:val="00EE238B"/>
    <w:rsid w:val="00EE23FA"/>
    <w:rsid w:val="00EE261F"/>
    <w:rsid w:val="00EE2676"/>
    <w:rsid w:val="00EE27D1"/>
    <w:rsid w:val="00EE2A31"/>
    <w:rsid w:val="00EE2B5C"/>
    <w:rsid w:val="00EE2BA6"/>
    <w:rsid w:val="00EE2C76"/>
    <w:rsid w:val="00EE2F68"/>
    <w:rsid w:val="00EE2FB7"/>
    <w:rsid w:val="00EE30B1"/>
    <w:rsid w:val="00EE31BB"/>
    <w:rsid w:val="00EE3264"/>
    <w:rsid w:val="00EE3277"/>
    <w:rsid w:val="00EE32B9"/>
    <w:rsid w:val="00EE34FA"/>
    <w:rsid w:val="00EE3532"/>
    <w:rsid w:val="00EE354F"/>
    <w:rsid w:val="00EE35AF"/>
    <w:rsid w:val="00EE36EC"/>
    <w:rsid w:val="00EE37B1"/>
    <w:rsid w:val="00EE3A19"/>
    <w:rsid w:val="00EE3B7F"/>
    <w:rsid w:val="00EE3BB5"/>
    <w:rsid w:val="00EE3BF4"/>
    <w:rsid w:val="00EE3C14"/>
    <w:rsid w:val="00EE3D0A"/>
    <w:rsid w:val="00EE3E7D"/>
    <w:rsid w:val="00EE4008"/>
    <w:rsid w:val="00EE4079"/>
    <w:rsid w:val="00EE40DF"/>
    <w:rsid w:val="00EE41A0"/>
    <w:rsid w:val="00EE42A3"/>
    <w:rsid w:val="00EE4347"/>
    <w:rsid w:val="00EE436F"/>
    <w:rsid w:val="00EE4519"/>
    <w:rsid w:val="00EE46E2"/>
    <w:rsid w:val="00EE480B"/>
    <w:rsid w:val="00EE4BAC"/>
    <w:rsid w:val="00EE4D90"/>
    <w:rsid w:val="00EE4DF7"/>
    <w:rsid w:val="00EE4E00"/>
    <w:rsid w:val="00EE4EC6"/>
    <w:rsid w:val="00EE50B7"/>
    <w:rsid w:val="00EE50BE"/>
    <w:rsid w:val="00EE5273"/>
    <w:rsid w:val="00EE529A"/>
    <w:rsid w:val="00EE536A"/>
    <w:rsid w:val="00EE53B7"/>
    <w:rsid w:val="00EE5440"/>
    <w:rsid w:val="00EE5592"/>
    <w:rsid w:val="00EE55E3"/>
    <w:rsid w:val="00EE56E9"/>
    <w:rsid w:val="00EE5757"/>
    <w:rsid w:val="00EE5792"/>
    <w:rsid w:val="00EE57A4"/>
    <w:rsid w:val="00EE57F4"/>
    <w:rsid w:val="00EE5821"/>
    <w:rsid w:val="00EE5C0A"/>
    <w:rsid w:val="00EE5C48"/>
    <w:rsid w:val="00EE5D47"/>
    <w:rsid w:val="00EE5DA3"/>
    <w:rsid w:val="00EE5DFE"/>
    <w:rsid w:val="00EE5F06"/>
    <w:rsid w:val="00EE5F25"/>
    <w:rsid w:val="00EE5F2D"/>
    <w:rsid w:val="00EE5F53"/>
    <w:rsid w:val="00EE605A"/>
    <w:rsid w:val="00EE60EB"/>
    <w:rsid w:val="00EE61E7"/>
    <w:rsid w:val="00EE6228"/>
    <w:rsid w:val="00EE624A"/>
    <w:rsid w:val="00EE62AA"/>
    <w:rsid w:val="00EE667D"/>
    <w:rsid w:val="00EE66DF"/>
    <w:rsid w:val="00EE6750"/>
    <w:rsid w:val="00EE6870"/>
    <w:rsid w:val="00EE6999"/>
    <w:rsid w:val="00EE6B8E"/>
    <w:rsid w:val="00EE6CBE"/>
    <w:rsid w:val="00EE6CE7"/>
    <w:rsid w:val="00EE6D21"/>
    <w:rsid w:val="00EE6D93"/>
    <w:rsid w:val="00EE6D98"/>
    <w:rsid w:val="00EE6EC5"/>
    <w:rsid w:val="00EE6ED8"/>
    <w:rsid w:val="00EE6F11"/>
    <w:rsid w:val="00EE6F12"/>
    <w:rsid w:val="00EE706D"/>
    <w:rsid w:val="00EE71B9"/>
    <w:rsid w:val="00EE7457"/>
    <w:rsid w:val="00EE75F8"/>
    <w:rsid w:val="00EE7658"/>
    <w:rsid w:val="00EE77D3"/>
    <w:rsid w:val="00EE782E"/>
    <w:rsid w:val="00EE785A"/>
    <w:rsid w:val="00EE7872"/>
    <w:rsid w:val="00EE7883"/>
    <w:rsid w:val="00EE78EA"/>
    <w:rsid w:val="00EE78F1"/>
    <w:rsid w:val="00EE79FF"/>
    <w:rsid w:val="00EE7A04"/>
    <w:rsid w:val="00EE7A0E"/>
    <w:rsid w:val="00EE7A1D"/>
    <w:rsid w:val="00EE7A91"/>
    <w:rsid w:val="00EE7AC0"/>
    <w:rsid w:val="00EE7AFE"/>
    <w:rsid w:val="00EE7B70"/>
    <w:rsid w:val="00EE7C2D"/>
    <w:rsid w:val="00EE7DDD"/>
    <w:rsid w:val="00EE7E61"/>
    <w:rsid w:val="00EE7FB5"/>
    <w:rsid w:val="00EE7FB6"/>
    <w:rsid w:val="00EE7FB8"/>
    <w:rsid w:val="00EF013C"/>
    <w:rsid w:val="00EF01DB"/>
    <w:rsid w:val="00EF01FF"/>
    <w:rsid w:val="00EF0374"/>
    <w:rsid w:val="00EF058D"/>
    <w:rsid w:val="00EF0610"/>
    <w:rsid w:val="00EF0828"/>
    <w:rsid w:val="00EF09BF"/>
    <w:rsid w:val="00EF0C14"/>
    <w:rsid w:val="00EF0C78"/>
    <w:rsid w:val="00EF0D6B"/>
    <w:rsid w:val="00EF0EAA"/>
    <w:rsid w:val="00EF0F89"/>
    <w:rsid w:val="00EF1007"/>
    <w:rsid w:val="00EF1101"/>
    <w:rsid w:val="00EF111A"/>
    <w:rsid w:val="00EF1185"/>
    <w:rsid w:val="00EF11CD"/>
    <w:rsid w:val="00EF1267"/>
    <w:rsid w:val="00EF14FC"/>
    <w:rsid w:val="00EF1515"/>
    <w:rsid w:val="00EF183E"/>
    <w:rsid w:val="00EF1860"/>
    <w:rsid w:val="00EF1A9B"/>
    <w:rsid w:val="00EF1AEF"/>
    <w:rsid w:val="00EF1AFE"/>
    <w:rsid w:val="00EF1B6A"/>
    <w:rsid w:val="00EF1C56"/>
    <w:rsid w:val="00EF1C62"/>
    <w:rsid w:val="00EF1E3B"/>
    <w:rsid w:val="00EF1F16"/>
    <w:rsid w:val="00EF2069"/>
    <w:rsid w:val="00EF218D"/>
    <w:rsid w:val="00EF2367"/>
    <w:rsid w:val="00EF2373"/>
    <w:rsid w:val="00EF2399"/>
    <w:rsid w:val="00EF23A3"/>
    <w:rsid w:val="00EF2457"/>
    <w:rsid w:val="00EF2461"/>
    <w:rsid w:val="00EF251F"/>
    <w:rsid w:val="00EF2534"/>
    <w:rsid w:val="00EF2742"/>
    <w:rsid w:val="00EF281F"/>
    <w:rsid w:val="00EF28C7"/>
    <w:rsid w:val="00EF2BB6"/>
    <w:rsid w:val="00EF2C8F"/>
    <w:rsid w:val="00EF2CB9"/>
    <w:rsid w:val="00EF2DB8"/>
    <w:rsid w:val="00EF31FA"/>
    <w:rsid w:val="00EF3219"/>
    <w:rsid w:val="00EF33FB"/>
    <w:rsid w:val="00EF3401"/>
    <w:rsid w:val="00EF3410"/>
    <w:rsid w:val="00EF34BB"/>
    <w:rsid w:val="00EF3570"/>
    <w:rsid w:val="00EF3573"/>
    <w:rsid w:val="00EF3682"/>
    <w:rsid w:val="00EF36A2"/>
    <w:rsid w:val="00EF36EB"/>
    <w:rsid w:val="00EF37A0"/>
    <w:rsid w:val="00EF392C"/>
    <w:rsid w:val="00EF3A2B"/>
    <w:rsid w:val="00EF3A50"/>
    <w:rsid w:val="00EF3A9F"/>
    <w:rsid w:val="00EF3B02"/>
    <w:rsid w:val="00EF3DE6"/>
    <w:rsid w:val="00EF3DFF"/>
    <w:rsid w:val="00EF3E77"/>
    <w:rsid w:val="00EF3E84"/>
    <w:rsid w:val="00EF3F5E"/>
    <w:rsid w:val="00EF40E1"/>
    <w:rsid w:val="00EF4120"/>
    <w:rsid w:val="00EF415C"/>
    <w:rsid w:val="00EF4224"/>
    <w:rsid w:val="00EF4377"/>
    <w:rsid w:val="00EF449E"/>
    <w:rsid w:val="00EF4512"/>
    <w:rsid w:val="00EF4608"/>
    <w:rsid w:val="00EF47CA"/>
    <w:rsid w:val="00EF4950"/>
    <w:rsid w:val="00EF49E4"/>
    <w:rsid w:val="00EF4B4B"/>
    <w:rsid w:val="00EF4BB8"/>
    <w:rsid w:val="00EF4DA5"/>
    <w:rsid w:val="00EF4F09"/>
    <w:rsid w:val="00EF4FF1"/>
    <w:rsid w:val="00EF50FE"/>
    <w:rsid w:val="00EF517C"/>
    <w:rsid w:val="00EF51EA"/>
    <w:rsid w:val="00EF5288"/>
    <w:rsid w:val="00EF536D"/>
    <w:rsid w:val="00EF55DB"/>
    <w:rsid w:val="00EF5666"/>
    <w:rsid w:val="00EF56F2"/>
    <w:rsid w:val="00EF570B"/>
    <w:rsid w:val="00EF5987"/>
    <w:rsid w:val="00EF5AC3"/>
    <w:rsid w:val="00EF5D86"/>
    <w:rsid w:val="00EF5E05"/>
    <w:rsid w:val="00EF5ECD"/>
    <w:rsid w:val="00EF6134"/>
    <w:rsid w:val="00EF6171"/>
    <w:rsid w:val="00EF61DD"/>
    <w:rsid w:val="00EF61F1"/>
    <w:rsid w:val="00EF61FD"/>
    <w:rsid w:val="00EF64B3"/>
    <w:rsid w:val="00EF64CE"/>
    <w:rsid w:val="00EF64F7"/>
    <w:rsid w:val="00EF65B3"/>
    <w:rsid w:val="00EF65CD"/>
    <w:rsid w:val="00EF661D"/>
    <w:rsid w:val="00EF662E"/>
    <w:rsid w:val="00EF6630"/>
    <w:rsid w:val="00EF6642"/>
    <w:rsid w:val="00EF670C"/>
    <w:rsid w:val="00EF6729"/>
    <w:rsid w:val="00EF6775"/>
    <w:rsid w:val="00EF67A7"/>
    <w:rsid w:val="00EF681A"/>
    <w:rsid w:val="00EF6839"/>
    <w:rsid w:val="00EF6972"/>
    <w:rsid w:val="00EF69DA"/>
    <w:rsid w:val="00EF6A34"/>
    <w:rsid w:val="00EF6A36"/>
    <w:rsid w:val="00EF6B97"/>
    <w:rsid w:val="00EF6C7E"/>
    <w:rsid w:val="00EF6C9E"/>
    <w:rsid w:val="00EF7177"/>
    <w:rsid w:val="00EF7193"/>
    <w:rsid w:val="00EF722A"/>
    <w:rsid w:val="00EF7290"/>
    <w:rsid w:val="00EF7302"/>
    <w:rsid w:val="00EF734C"/>
    <w:rsid w:val="00EF7493"/>
    <w:rsid w:val="00EF74CF"/>
    <w:rsid w:val="00EF755F"/>
    <w:rsid w:val="00EF7891"/>
    <w:rsid w:val="00EF7913"/>
    <w:rsid w:val="00EF7A2F"/>
    <w:rsid w:val="00EF7B66"/>
    <w:rsid w:val="00EF7CEA"/>
    <w:rsid w:val="00EF7D4C"/>
    <w:rsid w:val="00EF8FFF"/>
    <w:rsid w:val="00F000EE"/>
    <w:rsid w:val="00F00111"/>
    <w:rsid w:val="00F002BA"/>
    <w:rsid w:val="00F003F4"/>
    <w:rsid w:val="00F003FC"/>
    <w:rsid w:val="00F00400"/>
    <w:rsid w:val="00F005B8"/>
    <w:rsid w:val="00F006B8"/>
    <w:rsid w:val="00F00724"/>
    <w:rsid w:val="00F00795"/>
    <w:rsid w:val="00F00876"/>
    <w:rsid w:val="00F00A3F"/>
    <w:rsid w:val="00F00A71"/>
    <w:rsid w:val="00F00B31"/>
    <w:rsid w:val="00F00C6A"/>
    <w:rsid w:val="00F00CB6"/>
    <w:rsid w:val="00F00FF4"/>
    <w:rsid w:val="00F00FFE"/>
    <w:rsid w:val="00F01164"/>
    <w:rsid w:val="00F01200"/>
    <w:rsid w:val="00F012D3"/>
    <w:rsid w:val="00F01366"/>
    <w:rsid w:val="00F016A8"/>
    <w:rsid w:val="00F017BD"/>
    <w:rsid w:val="00F017F6"/>
    <w:rsid w:val="00F018AB"/>
    <w:rsid w:val="00F018B0"/>
    <w:rsid w:val="00F0196B"/>
    <w:rsid w:val="00F01A27"/>
    <w:rsid w:val="00F01A4C"/>
    <w:rsid w:val="00F01AA2"/>
    <w:rsid w:val="00F01AD8"/>
    <w:rsid w:val="00F01C01"/>
    <w:rsid w:val="00F01DC4"/>
    <w:rsid w:val="00F01E17"/>
    <w:rsid w:val="00F01E49"/>
    <w:rsid w:val="00F01F75"/>
    <w:rsid w:val="00F01F85"/>
    <w:rsid w:val="00F0203E"/>
    <w:rsid w:val="00F0211D"/>
    <w:rsid w:val="00F02224"/>
    <w:rsid w:val="00F02250"/>
    <w:rsid w:val="00F0229F"/>
    <w:rsid w:val="00F02357"/>
    <w:rsid w:val="00F023A4"/>
    <w:rsid w:val="00F02405"/>
    <w:rsid w:val="00F02422"/>
    <w:rsid w:val="00F0246E"/>
    <w:rsid w:val="00F024B9"/>
    <w:rsid w:val="00F0253A"/>
    <w:rsid w:val="00F0267C"/>
    <w:rsid w:val="00F026B2"/>
    <w:rsid w:val="00F02900"/>
    <w:rsid w:val="00F029DD"/>
    <w:rsid w:val="00F02C79"/>
    <w:rsid w:val="00F02C94"/>
    <w:rsid w:val="00F02CDD"/>
    <w:rsid w:val="00F03033"/>
    <w:rsid w:val="00F030A4"/>
    <w:rsid w:val="00F031D8"/>
    <w:rsid w:val="00F032D4"/>
    <w:rsid w:val="00F035FF"/>
    <w:rsid w:val="00F0360E"/>
    <w:rsid w:val="00F03722"/>
    <w:rsid w:val="00F03771"/>
    <w:rsid w:val="00F03775"/>
    <w:rsid w:val="00F038EB"/>
    <w:rsid w:val="00F03C0E"/>
    <w:rsid w:val="00F03DCA"/>
    <w:rsid w:val="00F03DCB"/>
    <w:rsid w:val="00F03F71"/>
    <w:rsid w:val="00F04055"/>
    <w:rsid w:val="00F0414F"/>
    <w:rsid w:val="00F041B9"/>
    <w:rsid w:val="00F04233"/>
    <w:rsid w:val="00F04258"/>
    <w:rsid w:val="00F04377"/>
    <w:rsid w:val="00F04460"/>
    <w:rsid w:val="00F04553"/>
    <w:rsid w:val="00F047AE"/>
    <w:rsid w:val="00F0485E"/>
    <w:rsid w:val="00F04A0B"/>
    <w:rsid w:val="00F04A48"/>
    <w:rsid w:val="00F04A90"/>
    <w:rsid w:val="00F04B44"/>
    <w:rsid w:val="00F04B51"/>
    <w:rsid w:val="00F04C25"/>
    <w:rsid w:val="00F04CF1"/>
    <w:rsid w:val="00F04E3C"/>
    <w:rsid w:val="00F04EA7"/>
    <w:rsid w:val="00F04EDC"/>
    <w:rsid w:val="00F04F33"/>
    <w:rsid w:val="00F04FBF"/>
    <w:rsid w:val="00F05050"/>
    <w:rsid w:val="00F05191"/>
    <w:rsid w:val="00F0528A"/>
    <w:rsid w:val="00F052A9"/>
    <w:rsid w:val="00F052E3"/>
    <w:rsid w:val="00F05347"/>
    <w:rsid w:val="00F05356"/>
    <w:rsid w:val="00F05424"/>
    <w:rsid w:val="00F05426"/>
    <w:rsid w:val="00F05643"/>
    <w:rsid w:val="00F057A6"/>
    <w:rsid w:val="00F057FC"/>
    <w:rsid w:val="00F05AD7"/>
    <w:rsid w:val="00F05C27"/>
    <w:rsid w:val="00F05CB2"/>
    <w:rsid w:val="00F05E25"/>
    <w:rsid w:val="00F05EFA"/>
    <w:rsid w:val="00F06021"/>
    <w:rsid w:val="00F0615F"/>
    <w:rsid w:val="00F06273"/>
    <w:rsid w:val="00F06330"/>
    <w:rsid w:val="00F06386"/>
    <w:rsid w:val="00F065F1"/>
    <w:rsid w:val="00F06646"/>
    <w:rsid w:val="00F066CB"/>
    <w:rsid w:val="00F06700"/>
    <w:rsid w:val="00F068E9"/>
    <w:rsid w:val="00F06926"/>
    <w:rsid w:val="00F0694F"/>
    <w:rsid w:val="00F069A6"/>
    <w:rsid w:val="00F06A26"/>
    <w:rsid w:val="00F06B51"/>
    <w:rsid w:val="00F06B6B"/>
    <w:rsid w:val="00F06C9B"/>
    <w:rsid w:val="00F06CA8"/>
    <w:rsid w:val="00F06CAE"/>
    <w:rsid w:val="00F06CF8"/>
    <w:rsid w:val="00F06DBE"/>
    <w:rsid w:val="00F06DCD"/>
    <w:rsid w:val="00F06EA7"/>
    <w:rsid w:val="00F0724A"/>
    <w:rsid w:val="00F0725C"/>
    <w:rsid w:val="00F075E1"/>
    <w:rsid w:val="00F075FD"/>
    <w:rsid w:val="00F076D5"/>
    <w:rsid w:val="00F077A4"/>
    <w:rsid w:val="00F077FB"/>
    <w:rsid w:val="00F078CA"/>
    <w:rsid w:val="00F07927"/>
    <w:rsid w:val="00F079CB"/>
    <w:rsid w:val="00F07BA0"/>
    <w:rsid w:val="00F07BDB"/>
    <w:rsid w:val="00F07BE7"/>
    <w:rsid w:val="00F07CD4"/>
    <w:rsid w:val="00F07D3E"/>
    <w:rsid w:val="00F07D69"/>
    <w:rsid w:val="00F07F60"/>
    <w:rsid w:val="00F07F98"/>
    <w:rsid w:val="00F100C3"/>
    <w:rsid w:val="00F1016B"/>
    <w:rsid w:val="00F10205"/>
    <w:rsid w:val="00F1022B"/>
    <w:rsid w:val="00F10234"/>
    <w:rsid w:val="00F102E3"/>
    <w:rsid w:val="00F103C9"/>
    <w:rsid w:val="00F103CF"/>
    <w:rsid w:val="00F10565"/>
    <w:rsid w:val="00F105A2"/>
    <w:rsid w:val="00F105E8"/>
    <w:rsid w:val="00F1085A"/>
    <w:rsid w:val="00F108CB"/>
    <w:rsid w:val="00F108DC"/>
    <w:rsid w:val="00F10A68"/>
    <w:rsid w:val="00F10A77"/>
    <w:rsid w:val="00F10AC1"/>
    <w:rsid w:val="00F10D7A"/>
    <w:rsid w:val="00F10E55"/>
    <w:rsid w:val="00F10F01"/>
    <w:rsid w:val="00F1104C"/>
    <w:rsid w:val="00F11066"/>
    <w:rsid w:val="00F11088"/>
    <w:rsid w:val="00F110A8"/>
    <w:rsid w:val="00F110EE"/>
    <w:rsid w:val="00F1116A"/>
    <w:rsid w:val="00F11247"/>
    <w:rsid w:val="00F1128F"/>
    <w:rsid w:val="00F11298"/>
    <w:rsid w:val="00F112DA"/>
    <w:rsid w:val="00F11429"/>
    <w:rsid w:val="00F114BC"/>
    <w:rsid w:val="00F11688"/>
    <w:rsid w:val="00F116F8"/>
    <w:rsid w:val="00F1170D"/>
    <w:rsid w:val="00F1175B"/>
    <w:rsid w:val="00F11887"/>
    <w:rsid w:val="00F119D4"/>
    <w:rsid w:val="00F11A39"/>
    <w:rsid w:val="00F11B24"/>
    <w:rsid w:val="00F11C0A"/>
    <w:rsid w:val="00F11C70"/>
    <w:rsid w:val="00F11FFA"/>
    <w:rsid w:val="00F1222E"/>
    <w:rsid w:val="00F1229A"/>
    <w:rsid w:val="00F122EC"/>
    <w:rsid w:val="00F1245F"/>
    <w:rsid w:val="00F126C8"/>
    <w:rsid w:val="00F128EA"/>
    <w:rsid w:val="00F1292F"/>
    <w:rsid w:val="00F12B10"/>
    <w:rsid w:val="00F12E95"/>
    <w:rsid w:val="00F12F6A"/>
    <w:rsid w:val="00F12FDC"/>
    <w:rsid w:val="00F12FF6"/>
    <w:rsid w:val="00F1309B"/>
    <w:rsid w:val="00F130F0"/>
    <w:rsid w:val="00F13276"/>
    <w:rsid w:val="00F13629"/>
    <w:rsid w:val="00F136F1"/>
    <w:rsid w:val="00F13830"/>
    <w:rsid w:val="00F1393F"/>
    <w:rsid w:val="00F13A2B"/>
    <w:rsid w:val="00F13ABF"/>
    <w:rsid w:val="00F13BF3"/>
    <w:rsid w:val="00F13C44"/>
    <w:rsid w:val="00F13CAA"/>
    <w:rsid w:val="00F13D17"/>
    <w:rsid w:val="00F13DC1"/>
    <w:rsid w:val="00F13E43"/>
    <w:rsid w:val="00F13EA9"/>
    <w:rsid w:val="00F13EAA"/>
    <w:rsid w:val="00F13F3A"/>
    <w:rsid w:val="00F1414D"/>
    <w:rsid w:val="00F1414F"/>
    <w:rsid w:val="00F14203"/>
    <w:rsid w:val="00F14241"/>
    <w:rsid w:val="00F144C9"/>
    <w:rsid w:val="00F144EB"/>
    <w:rsid w:val="00F146D0"/>
    <w:rsid w:val="00F1490F"/>
    <w:rsid w:val="00F1496A"/>
    <w:rsid w:val="00F14A0A"/>
    <w:rsid w:val="00F14A28"/>
    <w:rsid w:val="00F14ABB"/>
    <w:rsid w:val="00F14AF8"/>
    <w:rsid w:val="00F14BFF"/>
    <w:rsid w:val="00F14C9C"/>
    <w:rsid w:val="00F14D39"/>
    <w:rsid w:val="00F14DAB"/>
    <w:rsid w:val="00F14DE3"/>
    <w:rsid w:val="00F14E2D"/>
    <w:rsid w:val="00F14E4B"/>
    <w:rsid w:val="00F14E51"/>
    <w:rsid w:val="00F150B2"/>
    <w:rsid w:val="00F152A1"/>
    <w:rsid w:val="00F153BB"/>
    <w:rsid w:val="00F154B4"/>
    <w:rsid w:val="00F154DF"/>
    <w:rsid w:val="00F155C8"/>
    <w:rsid w:val="00F155CF"/>
    <w:rsid w:val="00F15629"/>
    <w:rsid w:val="00F15674"/>
    <w:rsid w:val="00F15680"/>
    <w:rsid w:val="00F158D2"/>
    <w:rsid w:val="00F158ED"/>
    <w:rsid w:val="00F15BC1"/>
    <w:rsid w:val="00F15BDD"/>
    <w:rsid w:val="00F15BE7"/>
    <w:rsid w:val="00F15CB1"/>
    <w:rsid w:val="00F15CE6"/>
    <w:rsid w:val="00F15DCB"/>
    <w:rsid w:val="00F15DDE"/>
    <w:rsid w:val="00F15FEA"/>
    <w:rsid w:val="00F15FF4"/>
    <w:rsid w:val="00F160E9"/>
    <w:rsid w:val="00F162E5"/>
    <w:rsid w:val="00F1631B"/>
    <w:rsid w:val="00F16420"/>
    <w:rsid w:val="00F164A5"/>
    <w:rsid w:val="00F1654F"/>
    <w:rsid w:val="00F165DC"/>
    <w:rsid w:val="00F1677B"/>
    <w:rsid w:val="00F16815"/>
    <w:rsid w:val="00F168E8"/>
    <w:rsid w:val="00F1691B"/>
    <w:rsid w:val="00F16998"/>
    <w:rsid w:val="00F16A1F"/>
    <w:rsid w:val="00F16A7A"/>
    <w:rsid w:val="00F16B1F"/>
    <w:rsid w:val="00F16F03"/>
    <w:rsid w:val="00F170CC"/>
    <w:rsid w:val="00F1715E"/>
    <w:rsid w:val="00F17203"/>
    <w:rsid w:val="00F17377"/>
    <w:rsid w:val="00F17507"/>
    <w:rsid w:val="00F17550"/>
    <w:rsid w:val="00F175CF"/>
    <w:rsid w:val="00F175F7"/>
    <w:rsid w:val="00F17644"/>
    <w:rsid w:val="00F176B0"/>
    <w:rsid w:val="00F17760"/>
    <w:rsid w:val="00F177DA"/>
    <w:rsid w:val="00F1781A"/>
    <w:rsid w:val="00F17825"/>
    <w:rsid w:val="00F17A87"/>
    <w:rsid w:val="00F17AA3"/>
    <w:rsid w:val="00F17AD1"/>
    <w:rsid w:val="00F17C13"/>
    <w:rsid w:val="00F17C4C"/>
    <w:rsid w:val="00F17C9A"/>
    <w:rsid w:val="00F17E2C"/>
    <w:rsid w:val="00F17E8D"/>
    <w:rsid w:val="00F17EAC"/>
    <w:rsid w:val="00F17EBF"/>
    <w:rsid w:val="00F20098"/>
    <w:rsid w:val="00F200EE"/>
    <w:rsid w:val="00F2021E"/>
    <w:rsid w:val="00F20239"/>
    <w:rsid w:val="00F202FE"/>
    <w:rsid w:val="00F20434"/>
    <w:rsid w:val="00F2080E"/>
    <w:rsid w:val="00F20A4E"/>
    <w:rsid w:val="00F20A62"/>
    <w:rsid w:val="00F20B1F"/>
    <w:rsid w:val="00F20B2D"/>
    <w:rsid w:val="00F20BA1"/>
    <w:rsid w:val="00F20BB7"/>
    <w:rsid w:val="00F20C19"/>
    <w:rsid w:val="00F20D2C"/>
    <w:rsid w:val="00F20F88"/>
    <w:rsid w:val="00F21079"/>
    <w:rsid w:val="00F212A7"/>
    <w:rsid w:val="00F212FE"/>
    <w:rsid w:val="00F21339"/>
    <w:rsid w:val="00F21460"/>
    <w:rsid w:val="00F21472"/>
    <w:rsid w:val="00F21629"/>
    <w:rsid w:val="00F21748"/>
    <w:rsid w:val="00F21802"/>
    <w:rsid w:val="00F21937"/>
    <w:rsid w:val="00F21D16"/>
    <w:rsid w:val="00F21DB0"/>
    <w:rsid w:val="00F21F6F"/>
    <w:rsid w:val="00F21F7A"/>
    <w:rsid w:val="00F22541"/>
    <w:rsid w:val="00F225CE"/>
    <w:rsid w:val="00F226CB"/>
    <w:rsid w:val="00F2295D"/>
    <w:rsid w:val="00F22987"/>
    <w:rsid w:val="00F229F4"/>
    <w:rsid w:val="00F22A09"/>
    <w:rsid w:val="00F22AA2"/>
    <w:rsid w:val="00F22BA1"/>
    <w:rsid w:val="00F22C44"/>
    <w:rsid w:val="00F23070"/>
    <w:rsid w:val="00F2309E"/>
    <w:rsid w:val="00F231BC"/>
    <w:rsid w:val="00F23374"/>
    <w:rsid w:val="00F23376"/>
    <w:rsid w:val="00F23438"/>
    <w:rsid w:val="00F23488"/>
    <w:rsid w:val="00F23557"/>
    <w:rsid w:val="00F2358E"/>
    <w:rsid w:val="00F235C5"/>
    <w:rsid w:val="00F23838"/>
    <w:rsid w:val="00F239A1"/>
    <w:rsid w:val="00F23AEA"/>
    <w:rsid w:val="00F23CBA"/>
    <w:rsid w:val="00F23DCF"/>
    <w:rsid w:val="00F23E24"/>
    <w:rsid w:val="00F23E3F"/>
    <w:rsid w:val="00F23EC1"/>
    <w:rsid w:val="00F2415A"/>
    <w:rsid w:val="00F241DE"/>
    <w:rsid w:val="00F243AF"/>
    <w:rsid w:val="00F243C2"/>
    <w:rsid w:val="00F244DB"/>
    <w:rsid w:val="00F245F7"/>
    <w:rsid w:val="00F24833"/>
    <w:rsid w:val="00F249F4"/>
    <w:rsid w:val="00F24A1F"/>
    <w:rsid w:val="00F24B0E"/>
    <w:rsid w:val="00F24B11"/>
    <w:rsid w:val="00F24B46"/>
    <w:rsid w:val="00F24BAD"/>
    <w:rsid w:val="00F24CB9"/>
    <w:rsid w:val="00F24CDA"/>
    <w:rsid w:val="00F24E78"/>
    <w:rsid w:val="00F25008"/>
    <w:rsid w:val="00F25136"/>
    <w:rsid w:val="00F254C5"/>
    <w:rsid w:val="00F25684"/>
    <w:rsid w:val="00F257D1"/>
    <w:rsid w:val="00F259B5"/>
    <w:rsid w:val="00F25AF7"/>
    <w:rsid w:val="00F25B7C"/>
    <w:rsid w:val="00F25B87"/>
    <w:rsid w:val="00F25C6B"/>
    <w:rsid w:val="00F25C7F"/>
    <w:rsid w:val="00F25CC6"/>
    <w:rsid w:val="00F25EB1"/>
    <w:rsid w:val="00F25F53"/>
    <w:rsid w:val="00F26100"/>
    <w:rsid w:val="00F26120"/>
    <w:rsid w:val="00F262A4"/>
    <w:rsid w:val="00F262F8"/>
    <w:rsid w:val="00F26302"/>
    <w:rsid w:val="00F26389"/>
    <w:rsid w:val="00F264AF"/>
    <w:rsid w:val="00F265C3"/>
    <w:rsid w:val="00F2661A"/>
    <w:rsid w:val="00F26831"/>
    <w:rsid w:val="00F268E0"/>
    <w:rsid w:val="00F26940"/>
    <w:rsid w:val="00F26944"/>
    <w:rsid w:val="00F269D8"/>
    <w:rsid w:val="00F26A2C"/>
    <w:rsid w:val="00F26A5E"/>
    <w:rsid w:val="00F26ABD"/>
    <w:rsid w:val="00F26B95"/>
    <w:rsid w:val="00F26DEA"/>
    <w:rsid w:val="00F26E88"/>
    <w:rsid w:val="00F26EDD"/>
    <w:rsid w:val="00F26EE5"/>
    <w:rsid w:val="00F26F2A"/>
    <w:rsid w:val="00F27044"/>
    <w:rsid w:val="00F2733C"/>
    <w:rsid w:val="00F27396"/>
    <w:rsid w:val="00F2753F"/>
    <w:rsid w:val="00F2757A"/>
    <w:rsid w:val="00F2758B"/>
    <w:rsid w:val="00F2761B"/>
    <w:rsid w:val="00F276CB"/>
    <w:rsid w:val="00F27791"/>
    <w:rsid w:val="00F27970"/>
    <w:rsid w:val="00F27973"/>
    <w:rsid w:val="00F27A3F"/>
    <w:rsid w:val="00F27C14"/>
    <w:rsid w:val="00F27E97"/>
    <w:rsid w:val="00F27F4C"/>
    <w:rsid w:val="00F27F7D"/>
    <w:rsid w:val="00F300AF"/>
    <w:rsid w:val="00F300DA"/>
    <w:rsid w:val="00F30168"/>
    <w:rsid w:val="00F30243"/>
    <w:rsid w:val="00F302CA"/>
    <w:rsid w:val="00F302F4"/>
    <w:rsid w:val="00F30302"/>
    <w:rsid w:val="00F30346"/>
    <w:rsid w:val="00F3035B"/>
    <w:rsid w:val="00F3045F"/>
    <w:rsid w:val="00F304B5"/>
    <w:rsid w:val="00F305BF"/>
    <w:rsid w:val="00F305C1"/>
    <w:rsid w:val="00F3066A"/>
    <w:rsid w:val="00F306D4"/>
    <w:rsid w:val="00F307E1"/>
    <w:rsid w:val="00F307FE"/>
    <w:rsid w:val="00F30A1A"/>
    <w:rsid w:val="00F30A99"/>
    <w:rsid w:val="00F30CF1"/>
    <w:rsid w:val="00F30D00"/>
    <w:rsid w:val="00F30D0F"/>
    <w:rsid w:val="00F30D4F"/>
    <w:rsid w:val="00F30DE0"/>
    <w:rsid w:val="00F30E3B"/>
    <w:rsid w:val="00F30EB8"/>
    <w:rsid w:val="00F30EEA"/>
    <w:rsid w:val="00F30FDA"/>
    <w:rsid w:val="00F31123"/>
    <w:rsid w:val="00F31304"/>
    <w:rsid w:val="00F3130A"/>
    <w:rsid w:val="00F31314"/>
    <w:rsid w:val="00F313B4"/>
    <w:rsid w:val="00F31436"/>
    <w:rsid w:val="00F3146B"/>
    <w:rsid w:val="00F31493"/>
    <w:rsid w:val="00F314DC"/>
    <w:rsid w:val="00F316AF"/>
    <w:rsid w:val="00F319A2"/>
    <w:rsid w:val="00F319C7"/>
    <w:rsid w:val="00F319DA"/>
    <w:rsid w:val="00F31A39"/>
    <w:rsid w:val="00F31BD6"/>
    <w:rsid w:val="00F31C59"/>
    <w:rsid w:val="00F31CDC"/>
    <w:rsid w:val="00F31CF1"/>
    <w:rsid w:val="00F31CF9"/>
    <w:rsid w:val="00F31CFD"/>
    <w:rsid w:val="00F31E5A"/>
    <w:rsid w:val="00F31EBC"/>
    <w:rsid w:val="00F32034"/>
    <w:rsid w:val="00F32045"/>
    <w:rsid w:val="00F320BF"/>
    <w:rsid w:val="00F320F9"/>
    <w:rsid w:val="00F321F7"/>
    <w:rsid w:val="00F3249B"/>
    <w:rsid w:val="00F3253B"/>
    <w:rsid w:val="00F32658"/>
    <w:rsid w:val="00F32770"/>
    <w:rsid w:val="00F328D6"/>
    <w:rsid w:val="00F328F3"/>
    <w:rsid w:val="00F32958"/>
    <w:rsid w:val="00F32A13"/>
    <w:rsid w:val="00F32A89"/>
    <w:rsid w:val="00F32AB3"/>
    <w:rsid w:val="00F32AE8"/>
    <w:rsid w:val="00F32BE6"/>
    <w:rsid w:val="00F32E5D"/>
    <w:rsid w:val="00F32FBC"/>
    <w:rsid w:val="00F330C6"/>
    <w:rsid w:val="00F33284"/>
    <w:rsid w:val="00F3362D"/>
    <w:rsid w:val="00F33889"/>
    <w:rsid w:val="00F33902"/>
    <w:rsid w:val="00F33948"/>
    <w:rsid w:val="00F33A95"/>
    <w:rsid w:val="00F33AB2"/>
    <w:rsid w:val="00F33C6F"/>
    <w:rsid w:val="00F33D51"/>
    <w:rsid w:val="00F33DB9"/>
    <w:rsid w:val="00F33E29"/>
    <w:rsid w:val="00F33E60"/>
    <w:rsid w:val="00F340B4"/>
    <w:rsid w:val="00F341D3"/>
    <w:rsid w:val="00F34266"/>
    <w:rsid w:val="00F34519"/>
    <w:rsid w:val="00F3459B"/>
    <w:rsid w:val="00F34708"/>
    <w:rsid w:val="00F3473B"/>
    <w:rsid w:val="00F34861"/>
    <w:rsid w:val="00F349F4"/>
    <w:rsid w:val="00F349FB"/>
    <w:rsid w:val="00F34B35"/>
    <w:rsid w:val="00F34B96"/>
    <w:rsid w:val="00F34C2F"/>
    <w:rsid w:val="00F34C59"/>
    <w:rsid w:val="00F34CBD"/>
    <w:rsid w:val="00F34FED"/>
    <w:rsid w:val="00F3506F"/>
    <w:rsid w:val="00F35111"/>
    <w:rsid w:val="00F35123"/>
    <w:rsid w:val="00F35167"/>
    <w:rsid w:val="00F352CC"/>
    <w:rsid w:val="00F35353"/>
    <w:rsid w:val="00F3539A"/>
    <w:rsid w:val="00F353FC"/>
    <w:rsid w:val="00F357CC"/>
    <w:rsid w:val="00F357F7"/>
    <w:rsid w:val="00F357FF"/>
    <w:rsid w:val="00F3587D"/>
    <w:rsid w:val="00F358D1"/>
    <w:rsid w:val="00F3592A"/>
    <w:rsid w:val="00F359FD"/>
    <w:rsid w:val="00F35AAF"/>
    <w:rsid w:val="00F35CD4"/>
    <w:rsid w:val="00F35E3E"/>
    <w:rsid w:val="00F35E8F"/>
    <w:rsid w:val="00F35F07"/>
    <w:rsid w:val="00F360F5"/>
    <w:rsid w:val="00F3622B"/>
    <w:rsid w:val="00F364A5"/>
    <w:rsid w:val="00F36564"/>
    <w:rsid w:val="00F366C1"/>
    <w:rsid w:val="00F369DB"/>
    <w:rsid w:val="00F36B23"/>
    <w:rsid w:val="00F36B9C"/>
    <w:rsid w:val="00F36BD1"/>
    <w:rsid w:val="00F36C2B"/>
    <w:rsid w:val="00F36C48"/>
    <w:rsid w:val="00F36DAA"/>
    <w:rsid w:val="00F36E14"/>
    <w:rsid w:val="00F36EB2"/>
    <w:rsid w:val="00F36EB9"/>
    <w:rsid w:val="00F36F65"/>
    <w:rsid w:val="00F370A0"/>
    <w:rsid w:val="00F370AB"/>
    <w:rsid w:val="00F370BB"/>
    <w:rsid w:val="00F37123"/>
    <w:rsid w:val="00F371A2"/>
    <w:rsid w:val="00F371B5"/>
    <w:rsid w:val="00F37338"/>
    <w:rsid w:val="00F37341"/>
    <w:rsid w:val="00F37576"/>
    <w:rsid w:val="00F3766B"/>
    <w:rsid w:val="00F376D0"/>
    <w:rsid w:val="00F376E6"/>
    <w:rsid w:val="00F37DDE"/>
    <w:rsid w:val="00F37F88"/>
    <w:rsid w:val="00F40017"/>
    <w:rsid w:val="00F4002F"/>
    <w:rsid w:val="00F40083"/>
    <w:rsid w:val="00F400CB"/>
    <w:rsid w:val="00F4031B"/>
    <w:rsid w:val="00F40590"/>
    <w:rsid w:val="00F405B9"/>
    <w:rsid w:val="00F40653"/>
    <w:rsid w:val="00F40834"/>
    <w:rsid w:val="00F40A55"/>
    <w:rsid w:val="00F40B23"/>
    <w:rsid w:val="00F40C0B"/>
    <w:rsid w:val="00F40C8E"/>
    <w:rsid w:val="00F40F62"/>
    <w:rsid w:val="00F40FAA"/>
    <w:rsid w:val="00F40FC3"/>
    <w:rsid w:val="00F41181"/>
    <w:rsid w:val="00F41247"/>
    <w:rsid w:val="00F41257"/>
    <w:rsid w:val="00F41548"/>
    <w:rsid w:val="00F41959"/>
    <w:rsid w:val="00F419B4"/>
    <w:rsid w:val="00F41C75"/>
    <w:rsid w:val="00F41CA7"/>
    <w:rsid w:val="00F41E1E"/>
    <w:rsid w:val="00F41EC3"/>
    <w:rsid w:val="00F41ECA"/>
    <w:rsid w:val="00F41FD5"/>
    <w:rsid w:val="00F4203A"/>
    <w:rsid w:val="00F42074"/>
    <w:rsid w:val="00F42105"/>
    <w:rsid w:val="00F421E4"/>
    <w:rsid w:val="00F42332"/>
    <w:rsid w:val="00F4235C"/>
    <w:rsid w:val="00F4243E"/>
    <w:rsid w:val="00F42470"/>
    <w:rsid w:val="00F4251D"/>
    <w:rsid w:val="00F42522"/>
    <w:rsid w:val="00F42A3E"/>
    <w:rsid w:val="00F42ACF"/>
    <w:rsid w:val="00F42BBC"/>
    <w:rsid w:val="00F42C37"/>
    <w:rsid w:val="00F42C3F"/>
    <w:rsid w:val="00F42CD8"/>
    <w:rsid w:val="00F42D8A"/>
    <w:rsid w:val="00F42DAB"/>
    <w:rsid w:val="00F42E6B"/>
    <w:rsid w:val="00F42F1E"/>
    <w:rsid w:val="00F430E7"/>
    <w:rsid w:val="00F4315A"/>
    <w:rsid w:val="00F4317F"/>
    <w:rsid w:val="00F431F5"/>
    <w:rsid w:val="00F43210"/>
    <w:rsid w:val="00F4324F"/>
    <w:rsid w:val="00F432FB"/>
    <w:rsid w:val="00F434ED"/>
    <w:rsid w:val="00F43554"/>
    <w:rsid w:val="00F43924"/>
    <w:rsid w:val="00F4395B"/>
    <w:rsid w:val="00F43998"/>
    <w:rsid w:val="00F439CD"/>
    <w:rsid w:val="00F43A8F"/>
    <w:rsid w:val="00F43A98"/>
    <w:rsid w:val="00F43AF2"/>
    <w:rsid w:val="00F43BD6"/>
    <w:rsid w:val="00F43BE2"/>
    <w:rsid w:val="00F43C64"/>
    <w:rsid w:val="00F43D59"/>
    <w:rsid w:val="00F43F02"/>
    <w:rsid w:val="00F43F6E"/>
    <w:rsid w:val="00F43F85"/>
    <w:rsid w:val="00F43F8A"/>
    <w:rsid w:val="00F44147"/>
    <w:rsid w:val="00F44193"/>
    <w:rsid w:val="00F441A3"/>
    <w:rsid w:val="00F441F3"/>
    <w:rsid w:val="00F44256"/>
    <w:rsid w:val="00F442C6"/>
    <w:rsid w:val="00F44399"/>
    <w:rsid w:val="00F4447B"/>
    <w:rsid w:val="00F44486"/>
    <w:rsid w:val="00F4490C"/>
    <w:rsid w:val="00F44955"/>
    <w:rsid w:val="00F44A32"/>
    <w:rsid w:val="00F44A52"/>
    <w:rsid w:val="00F44C27"/>
    <w:rsid w:val="00F44CCA"/>
    <w:rsid w:val="00F44D4D"/>
    <w:rsid w:val="00F44D4F"/>
    <w:rsid w:val="00F44E56"/>
    <w:rsid w:val="00F44EBD"/>
    <w:rsid w:val="00F45093"/>
    <w:rsid w:val="00F45162"/>
    <w:rsid w:val="00F45230"/>
    <w:rsid w:val="00F452DD"/>
    <w:rsid w:val="00F45350"/>
    <w:rsid w:val="00F454A3"/>
    <w:rsid w:val="00F454FF"/>
    <w:rsid w:val="00F45653"/>
    <w:rsid w:val="00F45698"/>
    <w:rsid w:val="00F45800"/>
    <w:rsid w:val="00F458B4"/>
    <w:rsid w:val="00F45976"/>
    <w:rsid w:val="00F45981"/>
    <w:rsid w:val="00F459DB"/>
    <w:rsid w:val="00F45CAA"/>
    <w:rsid w:val="00F45CD3"/>
    <w:rsid w:val="00F45D0D"/>
    <w:rsid w:val="00F45E12"/>
    <w:rsid w:val="00F45E18"/>
    <w:rsid w:val="00F45E41"/>
    <w:rsid w:val="00F45FF5"/>
    <w:rsid w:val="00F460B9"/>
    <w:rsid w:val="00F461E3"/>
    <w:rsid w:val="00F46231"/>
    <w:rsid w:val="00F46415"/>
    <w:rsid w:val="00F46473"/>
    <w:rsid w:val="00F464F6"/>
    <w:rsid w:val="00F464FB"/>
    <w:rsid w:val="00F464FD"/>
    <w:rsid w:val="00F4654B"/>
    <w:rsid w:val="00F465BF"/>
    <w:rsid w:val="00F4669B"/>
    <w:rsid w:val="00F46761"/>
    <w:rsid w:val="00F46870"/>
    <w:rsid w:val="00F4694A"/>
    <w:rsid w:val="00F46B23"/>
    <w:rsid w:val="00F46B6D"/>
    <w:rsid w:val="00F46E7D"/>
    <w:rsid w:val="00F46ECB"/>
    <w:rsid w:val="00F46F55"/>
    <w:rsid w:val="00F46F79"/>
    <w:rsid w:val="00F46FBC"/>
    <w:rsid w:val="00F46FED"/>
    <w:rsid w:val="00F47022"/>
    <w:rsid w:val="00F47063"/>
    <w:rsid w:val="00F470FC"/>
    <w:rsid w:val="00F47105"/>
    <w:rsid w:val="00F47126"/>
    <w:rsid w:val="00F47397"/>
    <w:rsid w:val="00F4744F"/>
    <w:rsid w:val="00F47499"/>
    <w:rsid w:val="00F475E0"/>
    <w:rsid w:val="00F475EE"/>
    <w:rsid w:val="00F4763B"/>
    <w:rsid w:val="00F4768A"/>
    <w:rsid w:val="00F477EE"/>
    <w:rsid w:val="00F478F0"/>
    <w:rsid w:val="00F47970"/>
    <w:rsid w:val="00F47997"/>
    <w:rsid w:val="00F479FC"/>
    <w:rsid w:val="00F47C33"/>
    <w:rsid w:val="00F47C3C"/>
    <w:rsid w:val="00F47D35"/>
    <w:rsid w:val="00F47D39"/>
    <w:rsid w:val="00F47DDD"/>
    <w:rsid w:val="00F47E16"/>
    <w:rsid w:val="00F47E47"/>
    <w:rsid w:val="00F47EA4"/>
    <w:rsid w:val="00F500DD"/>
    <w:rsid w:val="00F50237"/>
    <w:rsid w:val="00F50247"/>
    <w:rsid w:val="00F50286"/>
    <w:rsid w:val="00F502E3"/>
    <w:rsid w:val="00F504D4"/>
    <w:rsid w:val="00F5050F"/>
    <w:rsid w:val="00F50515"/>
    <w:rsid w:val="00F50692"/>
    <w:rsid w:val="00F5075F"/>
    <w:rsid w:val="00F508D8"/>
    <w:rsid w:val="00F508DF"/>
    <w:rsid w:val="00F5091A"/>
    <w:rsid w:val="00F50994"/>
    <w:rsid w:val="00F50A6B"/>
    <w:rsid w:val="00F50C10"/>
    <w:rsid w:val="00F50D1A"/>
    <w:rsid w:val="00F50D4F"/>
    <w:rsid w:val="00F50E83"/>
    <w:rsid w:val="00F50E91"/>
    <w:rsid w:val="00F50EE8"/>
    <w:rsid w:val="00F510CA"/>
    <w:rsid w:val="00F510E1"/>
    <w:rsid w:val="00F511A7"/>
    <w:rsid w:val="00F511D4"/>
    <w:rsid w:val="00F513CF"/>
    <w:rsid w:val="00F513E9"/>
    <w:rsid w:val="00F5148A"/>
    <w:rsid w:val="00F51712"/>
    <w:rsid w:val="00F51808"/>
    <w:rsid w:val="00F51996"/>
    <w:rsid w:val="00F51A69"/>
    <w:rsid w:val="00F51A8C"/>
    <w:rsid w:val="00F51BD5"/>
    <w:rsid w:val="00F51C0F"/>
    <w:rsid w:val="00F51C8D"/>
    <w:rsid w:val="00F520AE"/>
    <w:rsid w:val="00F52477"/>
    <w:rsid w:val="00F52601"/>
    <w:rsid w:val="00F5261D"/>
    <w:rsid w:val="00F5267D"/>
    <w:rsid w:val="00F52734"/>
    <w:rsid w:val="00F5280C"/>
    <w:rsid w:val="00F52897"/>
    <w:rsid w:val="00F528B9"/>
    <w:rsid w:val="00F52976"/>
    <w:rsid w:val="00F52AD8"/>
    <w:rsid w:val="00F52CC9"/>
    <w:rsid w:val="00F52D88"/>
    <w:rsid w:val="00F530D4"/>
    <w:rsid w:val="00F53101"/>
    <w:rsid w:val="00F53141"/>
    <w:rsid w:val="00F5314D"/>
    <w:rsid w:val="00F532F9"/>
    <w:rsid w:val="00F5336E"/>
    <w:rsid w:val="00F533A5"/>
    <w:rsid w:val="00F533F3"/>
    <w:rsid w:val="00F53446"/>
    <w:rsid w:val="00F535A1"/>
    <w:rsid w:val="00F535E1"/>
    <w:rsid w:val="00F536DB"/>
    <w:rsid w:val="00F5379B"/>
    <w:rsid w:val="00F537F9"/>
    <w:rsid w:val="00F5385E"/>
    <w:rsid w:val="00F538B3"/>
    <w:rsid w:val="00F53A85"/>
    <w:rsid w:val="00F53ACE"/>
    <w:rsid w:val="00F53B50"/>
    <w:rsid w:val="00F53CBC"/>
    <w:rsid w:val="00F53D8F"/>
    <w:rsid w:val="00F53F10"/>
    <w:rsid w:val="00F5413F"/>
    <w:rsid w:val="00F54155"/>
    <w:rsid w:val="00F54169"/>
    <w:rsid w:val="00F54206"/>
    <w:rsid w:val="00F54518"/>
    <w:rsid w:val="00F54599"/>
    <w:rsid w:val="00F54665"/>
    <w:rsid w:val="00F546E0"/>
    <w:rsid w:val="00F54721"/>
    <w:rsid w:val="00F54726"/>
    <w:rsid w:val="00F54824"/>
    <w:rsid w:val="00F54B09"/>
    <w:rsid w:val="00F54BB1"/>
    <w:rsid w:val="00F54C13"/>
    <w:rsid w:val="00F54F95"/>
    <w:rsid w:val="00F55002"/>
    <w:rsid w:val="00F55116"/>
    <w:rsid w:val="00F551AB"/>
    <w:rsid w:val="00F551F8"/>
    <w:rsid w:val="00F55279"/>
    <w:rsid w:val="00F5528B"/>
    <w:rsid w:val="00F552C6"/>
    <w:rsid w:val="00F552E8"/>
    <w:rsid w:val="00F5540A"/>
    <w:rsid w:val="00F5551A"/>
    <w:rsid w:val="00F55886"/>
    <w:rsid w:val="00F5590F"/>
    <w:rsid w:val="00F55921"/>
    <w:rsid w:val="00F559DB"/>
    <w:rsid w:val="00F55B6C"/>
    <w:rsid w:val="00F55CC6"/>
    <w:rsid w:val="00F55F60"/>
    <w:rsid w:val="00F56004"/>
    <w:rsid w:val="00F56020"/>
    <w:rsid w:val="00F560BE"/>
    <w:rsid w:val="00F5616B"/>
    <w:rsid w:val="00F561AD"/>
    <w:rsid w:val="00F561CD"/>
    <w:rsid w:val="00F56524"/>
    <w:rsid w:val="00F565D5"/>
    <w:rsid w:val="00F56609"/>
    <w:rsid w:val="00F56632"/>
    <w:rsid w:val="00F5668C"/>
    <w:rsid w:val="00F566F2"/>
    <w:rsid w:val="00F5679E"/>
    <w:rsid w:val="00F568D6"/>
    <w:rsid w:val="00F56928"/>
    <w:rsid w:val="00F56979"/>
    <w:rsid w:val="00F569E9"/>
    <w:rsid w:val="00F56BBE"/>
    <w:rsid w:val="00F56BF5"/>
    <w:rsid w:val="00F56C03"/>
    <w:rsid w:val="00F56C78"/>
    <w:rsid w:val="00F56F5D"/>
    <w:rsid w:val="00F57082"/>
    <w:rsid w:val="00F570A5"/>
    <w:rsid w:val="00F570A9"/>
    <w:rsid w:val="00F571C7"/>
    <w:rsid w:val="00F57414"/>
    <w:rsid w:val="00F57435"/>
    <w:rsid w:val="00F5753E"/>
    <w:rsid w:val="00F57547"/>
    <w:rsid w:val="00F5769C"/>
    <w:rsid w:val="00F57701"/>
    <w:rsid w:val="00F5774F"/>
    <w:rsid w:val="00F57991"/>
    <w:rsid w:val="00F57A1A"/>
    <w:rsid w:val="00F57A70"/>
    <w:rsid w:val="00F57A97"/>
    <w:rsid w:val="00F57AA6"/>
    <w:rsid w:val="00F57D17"/>
    <w:rsid w:val="00F57DAB"/>
    <w:rsid w:val="00F57F7D"/>
    <w:rsid w:val="00F6019B"/>
    <w:rsid w:val="00F601FF"/>
    <w:rsid w:val="00F60297"/>
    <w:rsid w:val="00F603E1"/>
    <w:rsid w:val="00F605B2"/>
    <w:rsid w:val="00F606A5"/>
    <w:rsid w:val="00F607AD"/>
    <w:rsid w:val="00F6085B"/>
    <w:rsid w:val="00F6085D"/>
    <w:rsid w:val="00F608C1"/>
    <w:rsid w:val="00F60A07"/>
    <w:rsid w:val="00F60A3F"/>
    <w:rsid w:val="00F60A55"/>
    <w:rsid w:val="00F60BB6"/>
    <w:rsid w:val="00F60C36"/>
    <w:rsid w:val="00F60CD2"/>
    <w:rsid w:val="00F60E21"/>
    <w:rsid w:val="00F60E66"/>
    <w:rsid w:val="00F60EB3"/>
    <w:rsid w:val="00F60F6B"/>
    <w:rsid w:val="00F60F78"/>
    <w:rsid w:val="00F60FAE"/>
    <w:rsid w:val="00F611CF"/>
    <w:rsid w:val="00F61238"/>
    <w:rsid w:val="00F61301"/>
    <w:rsid w:val="00F6132F"/>
    <w:rsid w:val="00F61342"/>
    <w:rsid w:val="00F6135B"/>
    <w:rsid w:val="00F613B2"/>
    <w:rsid w:val="00F6144F"/>
    <w:rsid w:val="00F614E5"/>
    <w:rsid w:val="00F6151B"/>
    <w:rsid w:val="00F6155A"/>
    <w:rsid w:val="00F615AB"/>
    <w:rsid w:val="00F615D0"/>
    <w:rsid w:val="00F615E6"/>
    <w:rsid w:val="00F61603"/>
    <w:rsid w:val="00F6170B"/>
    <w:rsid w:val="00F61944"/>
    <w:rsid w:val="00F6194E"/>
    <w:rsid w:val="00F61A76"/>
    <w:rsid w:val="00F61AF6"/>
    <w:rsid w:val="00F61C66"/>
    <w:rsid w:val="00F61D1C"/>
    <w:rsid w:val="00F61E68"/>
    <w:rsid w:val="00F61EBC"/>
    <w:rsid w:val="00F61F18"/>
    <w:rsid w:val="00F61F46"/>
    <w:rsid w:val="00F62030"/>
    <w:rsid w:val="00F6209A"/>
    <w:rsid w:val="00F6226A"/>
    <w:rsid w:val="00F623B1"/>
    <w:rsid w:val="00F62519"/>
    <w:rsid w:val="00F625C1"/>
    <w:rsid w:val="00F626B4"/>
    <w:rsid w:val="00F62708"/>
    <w:rsid w:val="00F6274F"/>
    <w:rsid w:val="00F62995"/>
    <w:rsid w:val="00F62A16"/>
    <w:rsid w:val="00F62A51"/>
    <w:rsid w:val="00F62B25"/>
    <w:rsid w:val="00F62DD7"/>
    <w:rsid w:val="00F63230"/>
    <w:rsid w:val="00F6330D"/>
    <w:rsid w:val="00F633C7"/>
    <w:rsid w:val="00F63448"/>
    <w:rsid w:val="00F6350B"/>
    <w:rsid w:val="00F63524"/>
    <w:rsid w:val="00F63740"/>
    <w:rsid w:val="00F63983"/>
    <w:rsid w:val="00F63B5D"/>
    <w:rsid w:val="00F63BBB"/>
    <w:rsid w:val="00F63BFE"/>
    <w:rsid w:val="00F63C52"/>
    <w:rsid w:val="00F63CD1"/>
    <w:rsid w:val="00F63E39"/>
    <w:rsid w:val="00F63FA4"/>
    <w:rsid w:val="00F63FDD"/>
    <w:rsid w:val="00F6416B"/>
    <w:rsid w:val="00F641D0"/>
    <w:rsid w:val="00F6428C"/>
    <w:rsid w:val="00F6433C"/>
    <w:rsid w:val="00F64373"/>
    <w:rsid w:val="00F6440A"/>
    <w:rsid w:val="00F64424"/>
    <w:rsid w:val="00F6444E"/>
    <w:rsid w:val="00F645BF"/>
    <w:rsid w:val="00F64655"/>
    <w:rsid w:val="00F64940"/>
    <w:rsid w:val="00F64BAE"/>
    <w:rsid w:val="00F64C0A"/>
    <w:rsid w:val="00F64C41"/>
    <w:rsid w:val="00F64C9D"/>
    <w:rsid w:val="00F64CB9"/>
    <w:rsid w:val="00F64CBE"/>
    <w:rsid w:val="00F64DC0"/>
    <w:rsid w:val="00F64EC1"/>
    <w:rsid w:val="00F64F59"/>
    <w:rsid w:val="00F64FBB"/>
    <w:rsid w:val="00F65151"/>
    <w:rsid w:val="00F65211"/>
    <w:rsid w:val="00F652EC"/>
    <w:rsid w:val="00F65325"/>
    <w:rsid w:val="00F6538E"/>
    <w:rsid w:val="00F653A5"/>
    <w:rsid w:val="00F653AA"/>
    <w:rsid w:val="00F654CD"/>
    <w:rsid w:val="00F654F6"/>
    <w:rsid w:val="00F65576"/>
    <w:rsid w:val="00F658AE"/>
    <w:rsid w:val="00F65912"/>
    <w:rsid w:val="00F6595B"/>
    <w:rsid w:val="00F65A78"/>
    <w:rsid w:val="00F65A94"/>
    <w:rsid w:val="00F65DE5"/>
    <w:rsid w:val="00F65E76"/>
    <w:rsid w:val="00F65F4D"/>
    <w:rsid w:val="00F6605A"/>
    <w:rsid w:val="00F66192"/>
    <w:rsid w:val="00F66217"/>
    <w:rsid w:val="00F66223"/>
    <w:rsid w:val="00F66477"/>
    <w:rsid w:val="00F6649D"/>
    <w:rsid w:val="00F6677F"/>
    <w:rsid w:val="00F667A2"/>
    <w:rsid w:val="00F667D4"/>
    <w:rsid w:val="00F668FF"/>
    <w:rsid w:val="00F66999"/>
    <w:rsid w:val="00F669AC"/>
    <w:rsid w:val="00F669B3"/>
    <w:rsid w:val="00F66ADA"/>
    <w:rsid w:val="00F66BB2"/>
    <w:rsid w:val="00F66BD6"/>
    <w:rsid w:val="00F66C0C"/>
    <w:rsid w:val="00F66C20"/>
    <w:rsid w:val="00F66CCE"/>
    <w:rsid w:val="00F66D61"/>
    <w:rsid w:val="00F66E7E"/>
    <w:rsid w:val="00F66E95"/>
    <w:rsid w:val="00F66F53"/>
    <w:rsid w:val="00F67069"/>
    <w:rsid w:val="00F670DC"/>
    <w:rsid w:val="00F672EA"/>
    <w:rsid w:val="00F6753A"/>
    <w:rsid w:val="00F67702"/>
    <w:rsid w:val="00F67851"/>
    <w:rsid w:val="00F678EA"/>
    <w:rsid w:val="00F6792C"/>
    <w:rsid w:val="00F67DA8"/>
    <w:rsid w:val="00F67E0E"/>
    <w:rsid w:val="00F69F1E"/>
    <w:rsid w:val="00F70128"/>
    <w:rsid w:val="00F70155"/>
    <w:rsid w:val="00F7027D"/>
    <w:rsid w:val="00F702D5"/>
    <w:rsid w:val="00F702D7"/>
    <w:rsid w:val="00F70385"/>
    <w:rsid w:val="00F70453"/>
    <w:rsid w:val="00F704B8"/>
    <w:rsid w:val="00F70562"/>
    <w:rsid w:val="00F7056D"/>
    <w:rsid w:val="00F709E5"/>
    <w:rsid w:val="00F709F5"/>
    <w:rsid w:val="00F70D9A"/>
    <w:rsid w:val="00F70E19"/>
    <w:rsid w:val="00F70FC8"/>
    <w:rsid w:val="00F71007"/>
    <w:rsid w:val="00F71090"/>
    <w:rsid w:val="00F710C8"/>
    <w:rsid w:val="00F711E6"/>
    <w:rsid w:val="00F71407"/>
    <w:rsid w:val="00F7158D"/>
    <w:rsid w:val="00F71590"/>
    <w:rsid w:val="00F715CF"/>
    <w:rsid w:val="00F71678"/>
    <w:rsid w:val="00F716EE"/>
    <w:rsid w:val="00F7176E"/>
    <w:rsid w:val="00F71784"/>
    <w:rsid w:val="00F718C9"/>
    <w:rsid w:val="00F718DC"/>
    <w:rsid w:val="00F71921"/>
    <w:rsid w:val="00F71B3F"/>
    <w:rsid w:val="00F71B99"/>
    <w:rsid w:val="00F71C50"/>
    <w:rsid w:val="00F71DDF"/>
    <w:rsid w:val="00F71E24"/>
    <w:rsid w:val="00F71E96"/>
    <w:rsid w:val="00F71EFB"/>
    <w:rsid w:val="00F7206D"/>
    <w:rsid w:val="00F72189"/>
    <w:rsid w:val="00F7243C"/>
    <w:rsid w:val="00F72456"/>
    <w:rsid w:val="00F7245A"/>
    <w:rsid w:val="00F725D2"/>
    <w:rsid w:val="00F72666"/>
    <w:rsid w:val="00F726A6"/>
    <w:rsid w:val="00F726D5"/>
    <w:rsid w:val="00F726EB"/>
    <w:rsid w:val="00F726FC"/>
    <w:rsid w:val="00F7270F"/>
    <w:rsid w:val="00F72889"/>
    <w:rsid w:val="00F72946"/>
    <w:rsid w:val="00F729E3"/>
    <w:rsid w:val="00F729EE"/>
    <w:rsid w:val="00F72A60"/>
    <w:rsid w:val="00F72B97"/>
    <w:rsid w:val="00F72C2F"/>
    <w:rsid w:val="00F72C56"/>
    <w:rsid w:val="00F72EC2"/>
    <w:rsid w:val="00F72EF1"/>
    <w:rsid w:val="00F72F20"/>
    <w:rsid w:val="00F72F91"/>
    <w:rsid w:val="00F73047"/>
    <w:rsid w:val="00F73048"/>
    <w:rsid w:val="00F73063"/>
    <w:rsid w:val="00F73179"/>
    <w:rsid w:val="00F731E6"/>
    <w:rsid w:val="00F733C8"/>
    <w:rsid w:val="00F73484"/>
    <w:rsid w:val="00F7351A"/>
    <w:rsid w:val="00F7370C"/>
    <w:rsid w:val="00F73890"/>
    <w:rsid w:val="00F7389F"/>
    <w:rsid w:val="00F73948"/>
    <w:rsid w:val="00F73B05"/>
    <w:rsid w:val="00F73B1A"/>
    <w:rsid w:val="00F73D3B"/>
    <w:rsid w:val="00F73E0B"/>
    <w:rsid w:val="00F73E86"/>
    <w:rsid w:val="00F73EBA"/>
    <w:rsid w:val="00F73F0E"/>
    <w:rsid w:val="00F740CC"/>
    <w:rsid w:val="00F7411B"/>
    <w:rsid w:val="00F74197"/>
    <w:rsid w:val="00F741C3"/>
    <w:rsid w:val="00F741EF"/>
    <w:rsid w:val="00F74321"/>
    <w:rsid w:val="00F743C7"/>
    <w:rsid w:val="00F74481"/>
    <w:rsid w:val="00F746F2"/>
    <w:rsid w:val="00F74774"/>
    <w:rsid w:val="00F74798"/>
    <w:rsid w:val="00F74931"/>
    <w:rsid w:val="00F749AE"/>
    <w:rsid w:val="00F74A04"/>
    <w:rsid w:val="00F74A20"/>
    <w:rsid w:val="00F74A82"/>
    <w:rsid w:val="00F74ABA"/>
    <w:rsid w:val="00F74AF6"/>
    <w:rsid w:val="00F74B8A"/>
    <w:rsid w:val="00F74BAE"/>
    <w:rsid w:val="00F74BC6"/>
    <w:rsid w:val="00F74EBB"/>
    <w:rsid w:val="00F74EFF"/>
    <w:rsid w:val="00F74F1B"/>
    <w:rsid w:val="00F750B8"/>
    <w:rsid w:val="00F751B7"/>
    <w:rsid w:val="00F75256"/>
    <w:rsid w:val="00F752AA"/>
    <w:rsid w:val="00F752E9"/>
    <w:rsid w:val="00F753BE"/>
    <w:rsid w:val="00F753D0"/>
    <w:rsid w:val="00F7542A"/>
    <w:rsid w:val="00F75553"/>
    <w:rsid w:val="00F755B4"/>
    <w:rsid w:val="00F7594D"/>
    <w:rsid w:val="00F75B1A"/>
    <w:rsid w:val="00F75B63"/>
    <w:rsid w:val="00F75B83"/>
    <w:rsid w:val="00F75C59"/>
    <w:rsid w:val="00F75D28"/>
    <w:rsid w:val="00F75D5F"/>
    <w:rsid w:val="00F75E95"/>
    <w:rsid w:val="00F75EF5"/>
    <w:rsid w:val="00F75F83"/>
    <w:rsid w:val="00F75FE6"/>
    <w:rsid w:val="00F760B5"/>
    <w:rsid w:val="00F760C1"/>
    <w:rsid w:val="00F7625B"/>
    <w:rsid w:val="00F76264"/>
    <w:rsid w:val="00F76301"/>
    <w:rsid w:val="00F76313"/>
    <w:rsid w:val="00F76355"/>
    <w:rsid w:val="00F76508"/>
    <w:rsid w:val="00F76547"/>
    <w:rsid w:val="00F765FB"/>
    <w:rsid w:val="00F76615"/>
    <w:rsid w:val="00F76621"/>
    <w:rsid w:val="00F7667D"/>
    <w:rsid w:val="00F76727"/>
    <w:rsid w:val="00F76739"/>
    <w:rsid w:val="00F767C8"/>
    <w:rsid w:val="00F768F6"/>
    <w:rsid w:val="00F76983"/>
    <w:rsid w:val="00F769C4"/>
    <w:rsid w:val="00F769EE"/>
    <w:rsid w:val="00F76A80"/>
    <w:rsid w:val="00F76B61"/>
    <w:rsid w:val="00F76BB2"/>
    <w:rsid w:val="00F76BC9"/>
    <w:rsid w:val="00F76C29"/>
    <w:rsid w:val="00F76E01"/>
    <w:rsid w:val="00F76E6F"/>
    <w:rsid w:val="00F76ED1"/>
    <w:rsid w:val="00F76FCC"/>
    <w:rsid w:val="00F76FE1"/>
    <w:rsid w:val="00F77027"/>
    <w:rsid w:val="00F7705A"/>
    <w:rsid w:val="00F77111"/>
    <w:rsid w:val="00F7717F"/>
    <w:rsid w:val="00F771E4"/>
    <w:rsid w:val="00F771ED"/>
    <w:rsid w:val="00F771FC"/>
    <w:rsid w:val="00F773CF"/>
    <w:rsid w:val="00F77483"/>
    <w:rsid w:val="00F77594"/>
    <w:rsid w:val="00F7762C"/>
    <w:rsid w:val="00F776A0"/>
    <w:rsid w:val="00F7771D"/>
    <w:rsid w:val="00F777E6"/>
    <w:rsid w:val="00F777F2"/>
    <w:rsid w:val="00F77A09"/>
    <w:rsid w:val="00F77A3C"/>
    <w:rsid w:val="00F77A95"/>
    <w:rsid w:val="00F77AC9"/>
    <w:rsid w:val="00F77CFB"/>
    <w:rsid w:val="00F77DE4"/>
    <w:rsid w:val="00F77E62"/>
    <w:rsid w:val="00F77EA4"/>
    <w:rsid w:val="00F77F31"/>
    <w:rsid w:val="00F77FC9"/>
    <w:rsid w:val="00F8005B"/>
    <w:rsid w:val="00F80217"/>
    <w:rsid w:val="00F8045D"/>
    <w:rsid w:val="00F80463"/>
    <w:rsid w:val="00F804EA"/>
    <w:rsid w:val="00F80588"/>
    <w:rsid w:val="00F806A6"/>
    <w:rsid w:val="00F80787"/>
    <w:rsid w:val="00F80903"/>
    <w:rsid w:val="00F80BBC"/>
    <w:rsid w:val="00F80FF6"/>
    <w:rsid w:val="00F81146"/>
    <w:rsid w:val="00F8121A"/>
    <w:rsid w:val="00F81322"/>
    <w:rsid w:val="00F81386"/>
    <w:rsid w:val="00F813F4"/>
    <w:rsid w:val="00F815BC"/>
    <w:rsid w:val="00F81717"/>
    <w:rsid w:val="00F817DA"/>
    <w:rsid w:val="00F81823"/>
    <w:rsid w:val="00F81851"/>
    <w:rsid w:val="00F818A4"/>
    <w:rsid w:val="00F81A36"/>
    <w:rsid w:val="00F81B2B"/>
    <w:rsid w:val="00F81BD0"/>
    <w:rsid w:val="00F81C84"/>
    <w:rsid w:val="00F81D35"/>
    <w:rsid w:val="00F81F67"/>
    <w:rsid w:val="00F821A7"/>
    <w:rsid w:val="00F82249"/>
    <w:rsid w:val="00F822BC"/>
    <w:rsid w:val="00F8232C"/>
    <w:rsid w:val="00F82398"/>
    <w:rsid w:val="00F8244B"/>
    <w:rsid w:val="00F826DD"/>
    <w:rsid w:val="00F8290E"/>
    <w:rsid w:val="00F829E4"/>
    <w:rsid w:val="00F82A47"/>
    <w:rsid w:val="00F82A73"/>
    <w:rsid w:val="00F82C10"/>
    <w:rsid w:val="00F82D6C"/>
    <w:rsid w:val="00F82DCF"/>
    <w:rsid w:val="00F82E02"/>
    <w:rsid w:val="00F82E78"/>
    <w:rsid w:val="00F82EC5"/>
    <w:rsid w:val="00F830CD"/>
    <w:rsid w:val="00F831E2"/>
    <w:rsid w:val="00F831F8"/>
    <w:rsid w:val="00F8321C"/>
    <w:rsid w:val="00F832CD"/>
    <w:rsid w:val="00F835B4"/>
    <w:rsid w:val="00F8361F"/>
    <w:rsid w:val="00F83704"/>
    <w:rsid w:val="00F8373A"/>
    <w:rsid w:val="00F838A1"/>
    <w:rsid w:val="00F838F7"/>
    <w:rsid w:val="00F83973"/>
    <w:rsid w:val="00F83E5C"/>
    <w:rsid w:val="00F83EED"/>
    <w:rsid w:val="00F8400F"/>
    <w:rsid w:val="00F84062"/>
    <w:rsid w:val="00F84128"/>
    <w:rsid w:val="00F842AD"/>
    <w:rsid w:val="00F8448A"/>
    <w:rsid w:val="00F8454D"/>
    <w:rsid w:val="00F8466D"/>
    <w:rsid w:val="00F84677"/>
    <w:rsid w:val="00F848A9"/>
    <w:rsid w:val="00F848F0"/>
    <w:rsid w:val="00F84922"/>
    <w:rsid w:val="00F84AD7"/>
    <w:rsid w:val="00F84CB2"/>
    <w:rsid w:val="00F84DFB"/>
    <w:rsid w:val="00F84F03"/>
    <w:rsid w:val="00F850F5"/>
    <w:rsid w:val="00F8536D"/>
    <w:rsid w:val="00F853FD"/>
    <w:rsid w:val="00F85401"/>
    <w:rsid w:val="00F854C8"/>
    <w:rsid w:val="00F8552D"/>
    <w:rsid w:val="00F85622"/>
    <w:rsid w:val="00F8571A"/>
    <w:rsid w:val="00F85773"/>
    <w:rsid w:val="00F85A85"/>
    <w:rsid w:val="00F85C62"/>
    <w:rsid w:val="00F85C79"/>
    <w:rsid w:val="00F85E22"/>
    <w:rsid w:val="00F85E4A"/>
    <w:rsid w:val="00F85E76"/>
    <w:rsid w:val="00F85FE4"/>
    <w:rsid w:val="00F86024"/>
    <w:rsid w:val="00F86098"/>
    <w:rsid w:val="00F861A1"/>
    <w:rsid w:val="00F862EA"/>
    <w:rsid w:val="00F86404"/>
    <w:rsid w:val="00F86406"/>
    <w:rsid w:val="00F8644D"/>
    <w:rsid w:val="00F86467"/>
    <w:rsid w:val="00F866CF"/>
    <w:rsid w:val="00F86743"/>
    <w:rsid w:val="00F86819"/>
    <w:rsid w:val="00F8684B"/>
    <w:rsid w:val="00F8686F"/>
    <w:rsid w:val="00F868ED"/>
    <w:rsid w:val="00F868F6"/>
    <w:rsid w:val="00F8698E"/>
    <w:rsid w:val="00F86D90"/>
    <w:rsid w:val="00F86E10"/>
    <w:rsid w:val="00F8709D"/>
    <w:rsid w:val="00F8716A"/>
    <w:rsid w:val="00F873F1"/>
    <w:rsid w:val="00F8760F"/>
    <w:rsid w:val="00F8762A"/>
    <w:rsid w:val="00F87800"/>
    <w:rsid w:val="00F8782E"/>
    <w:rsid w:val="00F8798C"/>
    <w:rsid w:val="00F87A82"/>
    <w:rsid w:val="00F87BFF"/>
    <w:rsid w:val="00F87F15"/>
    <w:rsid w:val="00F90059"/>
    <w:rsid w:val="00F90087"/>
    <w:rsid w:val="00F9019F"/>
    <w:rsid w:val="00F903C5"/>
    <w:rsid w:val="00F90672"/>
    <w:rsid w:val="00F906C2"/>
    <w:rsid w:val="00F9070F"/>
    <w:rsid w:val="00F9072E"/>
    <w:rsid w:val="00F907C9"/>
    <w:rsid w:val="00F90AF8"/>
    <w:rsid w:val="00F90B27"/>
    <w:rsid w:val="00F90D2B"/>
    <w:rsid w:val="00F910CA"/>
    <w:rsid w:val="00F91128"/>
    <w:rsid w:val="00F9118C"/>
    <w:rsid w:val="00F91249"/>
    <w:rsid w:val="00F9133F"/>
    <w:rsid w:val="00F91443"/>
    <w:rsid w:val="00F9156F"/>
    <w:rsid w:val="00F91686"/>
    <w:rsid w:val="00F91787"/>
    <w:rsid w:val="00F9180A"/>
    <w:rsid w:val="00F918D3"/>
    <w:rsid w:val="00F91915"/>
    <w:rsid w:val="00F91937"/>
    <w:rsid w:val="00F91A2B"/>
    <w:rsid w:val="00F91AE5"/>
    <w:rsid w:val="00F91B65"/>
    <w:rsid w:val="00F91B96"/>
    <w:rsid w:val="00F91BDC"/>
    <w:rsid w:val="00F91C28"/>
    <w:rsid w:val="00F91DE4"/>
    <w:rsid w:val="00F91F3A"/>
    <w:rsid w:val="00F91F3C"/>
    <w:rsid w:val="00F91F6E"/>
    <w:rsid w:val="00F92079"/>
    <w:rsid w:val="00F92116"/>
    <w:rsid w:val="00F92201"/>
    <w:rsid w:val="00F92399"/>
    <w:rsid w:val="00F924BA"/>
    <w:rsid w:val="00F926D7"/>
    <w:rsid w:val="00F92913"/>
    <w:rsid w:val="00F92943"/>
    <w:rsid w:val="00F92B19"/>
    <w:rsid w:val="00F92BA1"/>
    <w:rsid w:val="00F92CE9"/>
    <w:rsid w:val="00F92CF9"/>
    <w:rsid w:val="00F92D01"/>
    <w:rsid w:val="00F92D7F"/>
    <w:rsid w:val="00F92E8E"/>
    <w:rsid w:val="00F92EB4"/>
    <w:rsid w:val="00F92F6D"/>
    <w:rsid w:val="00F93062"/>
    <w:rsid w:val="00F9306F"/>
    <w:rsid w:val="00F9307C"/>
    <w:rsid w:val="00F9325B"/>
    <w:rsid w:val="00F93387"/>
    <w:rsid w:val="00F9338E"/>
    <w:rsid w:val="00F933E0"/>
    <w:rsid w:val="00F933F1"/>
    <w:rsid w:val="00F9346E"/>
    <w:rsid w:val="00F935D0"/>
    <w:rsid w:val="00F9367F"/>
    <w:rsid w:val="00F93780"/>
    <w:rsid w:val="00F938A3"/>
    <w:rsid w:val="00F93A0B"/>
    <w:rsid w:val="00F93C28"/>
    <w:rsid w:val="00F93D2D"/>
    <w:rsid w:val="00F93E60"/>
    <w:rsid w:val="00F94076"/>
    <w:rsid w:val="00F94162"/>
    <w:rsid w:val="00F94359"/>
    <w:rsid w:val="00F94401"/>
    <w:rsid w:val="00F9440E"/>
    <w:rsid w:val="00F9448A"/>
    <w:rsid w:val="00F944B7"/>
    <w:rsid w:val="00F9479F"/>
    <w:rsid w:val="00F9499A"/>
    <w:rsid w:val="00F94AF4"/>
    <w:rsid w:val="00F94B2C"/>
    <w:rsid w:val="00F94E5A"/>
    <w:rsid w:val="00F94F61"/>
    <w:rsid w:val="00F950B6"/>
    <w:rsid w:val="00F95112"/>
    <w:rsid w:val="00F9511B"/>
    <w:rsid w:val="00F95181"/>
    <w:rsid w:val="00F95186"/>
    <w:rsid w:val="00F95337"/>
    <w:rsid w:val="00F95406"/>
    <w:rsid w:val="00F9541F"/>
    <w:rsid w:val="00F95478"/>
    <w:rsid w:val="00F956E6"/>
    <w:rsid w:val="00F9584A"/>
    <w:rsid w:val="00F95928"/>
    <w:rsid w:val="00F959F6"/>
    <w:rsid w:val="00F95BB6"/>
    <w:rsid w:val="00F95C3E"/>
    <w:rsid w:val="00F95CA8"/>
    <w:rsid w:val="00F95D6C"/>
    <w:rsid w:val="00F95D8F"/>
    <w:rsid w:val="00F95F6A"/>
    <w:rsid w:val="00F95FDA"/>
    <w:rsid w:val="00F9631F"/>
    <w:rsid w:val="00F96357"/>
    <w:rsid w:val="00F9644F"/>
    <w:rsid w:val="00F96558"/>
    <w:rsid w:val="00F9655E"/>
    <w:rsid w:val="00F965AA"/>
    <w:rsid w:val="00F965CF"/>
    <w:rsid w:val="00F96808"/>
    <w:rsid w:val="00F96829"/>
    <w:rsid w:val="00F9687D"/>
    <w:rsid w:val="00F96945"/>
    <w:rsid w:val="00F9699A"/>
    <w:rsid w:val="00F969B4"/>
    <w:rsid w:val="00F96B14"/>
    <w:rsid w:val="00F96B92"/>
    <w:rsid w:val="00F96BFC"/>
    <w:rsid w:val="00F96CC8"/>
    <w:rsid w:val="00F97095"/>
    <w:rsid w:val="00F9724F"/>
    <w:rsid w:val="00F975C1"/>
    <w:rsid w:val="00F975D8"/>
    <w:rsid w:val="00F9768C"/>
    <w:rsid w:val="00F9775E"/>
    <w:rsid w:val="00F9781A"/>
    <w:rsid w:val="00F97904"/>
    <w:rsid w:val="00F97A3C"/>
    <w:rsid w:val="00F97A55"/>
    <w:rsid w:val="00F97B7A"/>
    <w:rsid w:val="00F97C23"/>
    <w:rsid w:val="00F97D27"/>
    <w:rsid w:val="00F97D43"/>
    <w:rsid w:val="00F97EE8"/>
    <w:rsid w:val="00F97F4C"/>
    <w:rsid w:val="00FA0062"/>
    <w:rsid w:val="00FA0087"/>
    <w:rsid w:val="00FA0267"/>
    <w:rsid w:val="00FA02B0"/>
    <w:rsid w:val="00FA02DB"/>
    <w:rsid w:val="00FA051D"/>
    <w:rsid w:val="00FA05EA"/>
    <w:rsid w:val="00FA0710"/>
    <w:rsid w:val="00FA0A0D"/>
    <w:rsid w:val="00FA0A30"/>
    <w:rsid w:val="00FA0AF7"/>
    <w:rsid w:val="00FA0CB3"/>
    <w:rsid w:val="00FA0D78"/>
    <w:rsid w:val="00FA0E92"/>
    <w:rsid w:val="00FA0E9D"/>
    <w:rsid w:val="00FA0F81"/>
    <w:rsid w:val="00FA0FCF"/>
    <w:rsid w:val="00FA0FDA"/>
    <w:rsid w:val="00FA1007"/>
    <w:rsid w:val="00FA1275"/>
    <w:rsid w:val="00FA137D"/>
    <w:rsid w:val="00FA1513"/>
    <w:rsid w:val="00FA1635"/>
    <w:rsid w:val="00FA1745"/>
    <w:rsid w:val="00FA17BF"/>
    <w:rsid w:val="00FA17D5"/>
    <w:rsid w:val="00FA18DF"/>
    <w:rsid w:val="00FA1A89"/>
    <w:rsid w:val="00FA1B33"/>
    <w:rsid w:val="00FA1C29"/>
    <w:rsid w:val="00FA1C86"/>
    <w:rsid w:val="00FA1F00"/>
    <w:rsid w:val="00FA1FF5"/>
    <w:rsid w:val="00FA2011"/>
    <w:rsid w:val="00FA20EE"/>
    <w:rsid w:val="00FA20FB"/>
    <w:rsid w:val="00FA2126"/>
    <w:rsid w:val="00FA2150"/>
    <w:rsid w:val="00FA21E8"/>
    <w:rsid w:val="00FA2292"/>
    <w:rsid w:val="00FA23E4"/>
    <w:rsid w:val="00FA2459"/>
    <w:rsid w:val="00FA2489"/>
    <w:rsid w:val="00FA2541"/>
    <w:rsid w:val="00FA25C9"/>
    <w:rsid w:val="00FA2673"/>
    <w:rsid w:val="00FA2675"/>
    <w:rsid w:val="00FA2759"/>
    <w:rsid w:val="00FA286C"/>
    <w:rsid w:val="00FA2936"/>
    <w:rsid w:val="00FA2AB7"/>
    <w:rsid w:val="00FA2AE9"/>
    <w:rsid w:val="00FA2B25"/>
    <w:rsid w:val="00FA2C52"/>
    <w:rsid w:val="00FA2D2D"/>
    <w:rsid w:val="00FA2E29"/>
    <w:rsid w:val="00FA2E41"/>
    <w:rsid w:val="00FA2FC2"/>
    <w:rsid w:val="00FA2FDA"/>
    <w:rsid w:val="00FA2FE6"/>
    <w:rsid w:val="00FA2FF7"/>
    <w:rsid w:val="00FA3122"/>
    <w:rsid w:val="00FA31DB"/>
    <w:rsid w:val="00FA31FF"/>
    <w:rsid w:val="00FA32B6"/>
    <w:rsid w:val="00FA33D4"/>
    <w:rsid w:val="00FA3454"/>
    <w:rsid w:val="00FA35B0"/>
    <w:rsid w:val="00FA3653"/>
    <w:rsid w:val="00FA36DA"/>
    <w:rsid w:val="00FA383B"/>
    <w:rsid w:val="00FA38A6"/>
    <w:rsid w:val="00FA38D8"/>
    <w:rsid w:val="00FA3B12"/>
    <w:rsid w:val="00FA3BA3"/>
    <w:rsid w:val="00FA3C84"/>
    <w:rsid w:val="00FA3D11"/>
    <w:rsid w:val="00FA3D40"/>
    <w:rsid w:val="00FA3D7E"/>
    <w:rsid w:val="00FA4105"/>
    <w:rsid w:val="00FA42C5"/>
    <w:rsid w:val="00FA4443"/>
    <w:rsid w:val="00FA449B"/>
    <w:rsid w:val="00FA44CB"/>
    <w:rsid w:val="00FA44F4"/>
    <w:rsid w:val="00FA4537"/>
    <w:rsid w:val="00FA456F"/>
    <w:rsid w:val="00FA4628"/>
    <w:rsid w:val="00FA4667"/>
    <w:rsid w:val="00FA46FB"/>
    <w:rsid w:val="00FA4769"/>
    <w:rsid w:val="00FA4872"/>
    <w:rsid w:val="00FA4A09"/>
    <w:rsid w:val="00FA4AC2"/>
    <w:rsid w:val="00FA4E26"/>
    <w:rsid w:val="00FA4E27"/>
    <w:rsid w:val="00FA4EEF"/>
    <w:rsid w:val="00FA4FE6"/>
    <w:rsid w:val="00FA5092"/>
    <w:rsid w:val="00FA5176"/>
    <w:rsid w:val="00FA51C6"/>
    <w:rsid w:val="00FA5229"/>
    <w:rsid w:val="00FA53E1"/>
    <w:rsid w:val="00FA56B4"/>
    <w:rsid w:val="00FA5762"/>
    <w:rsid w:val="00FA576E"/>
    <w:rsid w:val="00FA57CD"/>
    <w:rsid w:val="00FA58DE"/>
    <w:rsid w:val="00FA5925"/>
    <w:rsid w:val="00FA59BA"/>
    <w:rsid w:val="00FA59EE"/>
    <w:rsid w:val="00FA5A77"/>
    <w:rsid w:val="00FA5ACB"/>
    <w:rsid w:val="00FA5BD5"/>
    <w:rsid w:val="00FA5CFA"/>
    <w:rsid w:val="00FA5EAE"/>
    <w:rsid w:val="00FA5F48"/>
    <w:rsid w:val="00FA6079"/>
    <w:rsid w:val="00FA6120"/>
    <w:rsid w:val="00FA61AB"/>
    <w:rsid w:val="00FA61C1"/>
    <w:rsid w:val="00FA623D"/>
    <w:rsid w:val="00FA632D"/>
    <w:rsid w:val="00FA6452"/>
    <w:rsid w:val="00FA64B0"/>
    <w:rsid w:val="00FA662B"/>
    <w:rsid w:val="00FA6697"/>
    <w:rsid w:val="00FA6727"/>
    <w:rsid w:val="00FA6781"/>
    <w:rsid w:val="00FA686B"/>
    <w:rsid w:val="00FA687A"/>
    <w:rsid w:val="00FA68D2"/>
    <w:rsid w:val="00FA68ED"/>
    <w:rsid w:val="00FA692C"/>
    <w:rsid w:val="00FA6967"/>
    <w:rsid w:val="00FA699E"/>
    <w:rsid w:val="00FA6A5F"/>
    <w:rsid w:val="00FA6C5D"/>
    <w:rsid w:val="00FA6C6D"/>
    <w:rsid w:val="00FA6D7D"/>
    <w:rsid w:val="00FA6E10"/>
    <w:rsid w:val="00FA6EBE"/>
    <w:rsid w:val="00FA6F54"/>
    <w:rsid w:val="00FA7116"/>
    <w:rsid w:val="00FA713E"/>
    <w:rsid w:val="00FA7250"/>
    <w:rsid w:val="00FA738F"/>
    <w:rsid w:val="00FA7407"/>
    <w:rsid w:val="00FA7458"/>
    <w:rsid w:val="00FA764B"/>
    <w:rsid w:val="00FA76CF"/>
    <w:rsid w:val="00FA779D"/>
    <w:rsid w:val="00FA7869"/>
    <w:rsid w:val="00FA78B9"/>
    <w:rsid w:val="00FA7A11"/>
    <w:rsid w:val="00FA7A76"/>
    <w:rsid w:val="00FA7B39"/>
    <w:rsid w:val="00FA7D73"/>
    <w:rsid w:val="00FA7DD9"/>
    <w:rsid w:val="00FA7E47"/>
    <w:rsid w:val="00FA7EAC"/>
    <w:rsid w:val="00FB004F"/>
    <w:rsid w:val="00FB017E"/>
    <w:rsid w:val="00FB026E"/>
    <w:rsid w:val="00FB037D"/>
    <w:rsid w:val="00FB03BF"/>
    <w:rsid w:val="00FB0414"/>
    <w:rsid w:val="00FB041D"/>
    <w:rsid w:val="00FB06B8"/>
    <w:rsid w:val="00FB0754"/>
    <w:rsid w:val="00FB0AB4"/>
    <w:rsid w:val="00FB0BAD"/>
    <w:rsid w:val="00FB0C09"/>
    <w:rsid w:val="00FB0CCA"/>
    <w:rsid w:val="00FB0E35"/>
    <w:rsid w:val="00FB0E9A"/>
    <w:rsid w:val="00FB0F98"/>
    <w:rsid w:val="00FB0FC7"/>
    <w:rsid w:val="00FB11A2"/>
    <w:rsid w:val="00FB121C"/>
    <w:rsid w:val="00FB1270"/>
    <w:rsid w:val="00FB1505"/>
    <w:rsid w:val="00FB155B"/>
    <w:rsid w:val="00FB1581"/>
    <w:rsid w:val="00FB1588"/>
    <w:rsid w:val="00FB1716"/>
    <w:rsid w:val="00FB197C"/>
    <w:rsid w:val="00FB19C0"/>
    <w:rsid w:val="00FB1B77"/>
    <w:rsid w:val="00FB1C97"/>
    <w:rsid w:val="00FB1D1C"/>
    <w:rsid w:val="00FB1D49"/>
    <w:rsid w:val="00FB1D86"/>
    <w:rsid w:val="00FB205F"/>
    <w:rsid w:val="00FB23D7"/>
    <w:rsid w:val="00FB247E"/>
    <w:rsid w:val="00FB24EB"/>
    <w:rsid w:val="00FB2515"/>
    <w:rsid w:val="00FB2521"/>
    <w:rsid w:val="00FB25DB"/>
    <w:rsid w:val="00FB25F2"/>
    <w:rsid w:val="00FB26B7"/>
    <w:rsid w:val="00FB2735"/>
    <w:rsid w:val="00FB275C"/>
    <w:rsid w:val="00FB2859"/>
    <w:rsid w:val="00FB2870"/>
    <w:rsid w:val="00FB2955"/>
    <w:rsid w:val="00FB2AC7"/>
    <w:rsid w:val="00FB2AE3"/>
    <w:rsid w:val="00FB2B84"/>
    <w:rsid w:val="00FB2DEA"/>
    <w:rsid w:val="00FB2DF8"/>
    <w:rsid w:val="00FB2F6F"/>
    <w:rsid w:val="00FB3095"/>
    <w:rsid w:val="00FB31E6"/>
    <w:rsid w:val="00FB32AE"/>
    <w:rsid w:val="00FB33E2"/>
    <w:rsid w:val="00FB33E8"/>
    <w:rsid w:val="00FB345B"/>
    <w:rsid w:val="00FB34BA"/>
    <w:rsid w:val="00FB351A"/>
    <w:rsid w:val="00FB35CC"/>
    <w:rsid w:val="00FB3644"/>
    <w:rsid w:val="00FB378B"/>
    <w:rsid w:val="00FB378D"/>
    <w:rsid w:val="00FB3845"/>
    <w:rsid w:val="00FB3967"/>
    <w:rsid w:val="00FB39CA"/>
    <w:rsid w:val="00FB39DA"/>
    <w:rsid w:val="00FB39DF"/>
    <w:rsid w:val="00FB3A02"/>
    <w:rsid w:val="00FB3A08"/>
    <w:rsid w:val="00FB3A18"/>
    <w:rsid w:val="00FB3BB0"/>
    <w:rsid w:val="00FB3C90"/>
    <w:rsid w:val="00FB3DC8"/>
    <w:rsid w:val="00FB40B4"/>
    <w:rsid w:val="00FB41AD"/>
    <w:rsid w:val="00FB431D"/>
    <w:rsid w:val="00FB4380"/>
    <w:rsid w:val="00FB457A"/>
    <w:rsid w:val="00FB4741"/>
    <w:rsid w:val="00FB4755"/>
    <w:rsid w:val="00FB486A"/>
    <w:rsid w:val="00FB4878"/>
    <w:rsid w:val="00FB48B4"/>
    <w:rsid w:val="00FB49AF"/>
    <w:rsid w:val="00FB4C6C"/>
    <w:rsid w:val="00FB4C98"/>
    <w:rsid w:val="00FB4F38"/>
    <w:rsid w:val="00FB4FAF"/>
    <w:rsid w:val="00FB4FEB"/>
    <w:rsid w:val="00FB5051"/>
    <w:rsid w:val="00FB5153"/>
    <w:rsid w:val="00FB5292"/>
    <w:rsid w:val="00FB531C"/>
    <w:rsid w:val="00FB54C4"/>
    <w:rsid w:val="00FB5628"/>
    <w:rsid w:val="00FB567E"/>
    <w:rsid w:val="00FB572F"/>
    <w:rsid w:val="00FB5775"/>
    <w:rsid w:val="00FB5811"/>
    <w:rsid w:val="00FB582C"/>
    <w:rsid w:val="00FB5931"/>
    <w:rsid w:val="00FB5AA0"/>
    <w:rsid w:val="00FB5AFC"/>
    <w:rsid w:val="00FB5B26"/>
    <w:rsid w:val="00FB5B41"/>
    <w:rsid w:val="00FB5B48"/>
    <w:rsid w:val="00FB5EA9"/>
    <w:rsid w:val="00FB6023"/>
    <w:rsid w:val="00FB6046"/>
    <w:rsid w:val="00FB6071"/>
    <w:rsid w:val="00FB6094"/>
    <w:rsid w:val="00FB60C4"/>
    <w:rsid w:val="00FB6291"/>
    <w:rsid w:val="00FB6475"/>
    <w:rsid w:val="00FB64BE"/>
    <w:rsid w:val="00FB656E"/>
    <w:rsid w:val="00FB65A4"/>
    <w:rsid w:val="00FB6658"/>
    <w:rsid w:val="00FB69A1"/>
    <w:rsid w:val="00FB6B28"/>
    <w:rsid w:val="00FB6C9B"/>
    <w:rsid w:val="00FB6D5E"/>
    <w:rsid w:val="00FB6D6B"/>
    <w:rsid w:val="00FB6E8D"/>
    <w:rsid w:val="00FB6E9C"/>
    <w:rsid w:val="00FB6F86"/>
    <w:rsid w:val="00FB6FAA"/>
    <w:rsid w:val="00FB7008"/>
    <w:rsid w:val="00FB71C9"/>
    <w:rsid w:val="00FB7217"/>
    <w:rsid w:val="00FB7385"/>
    <w:rsid w:val="00FB73E4"/>
    <w:rsid w:val="00FB7428"/>
    <w:rsid w:val="00FB79D9"/>
    <w:rsid w:val="00FB7A29"/>
    <w:rsid w:val="00FB7A41"/>
    <w:rsid w:val="00FB7BE6"/>
    <w:rsid w:val="00FB7C0D"/>
    <w:rsid w:val="00FB7CBD"/>
    <w:rsid w:val="00FB7CFD"/>
    <w:rsid w:val="00FB7F49"/>
    <w:rsid w:val="00FB7FA1"/>
    <w:rsid w:val="00FC009D"/>
    <w:rsid w:val="00FC014C"/>
    <w:rsid w:val="00FC0239"/>
    <w:rsid w:val="00FC02A4"/>
    <w:rsid w:val="00FC030C"/>
    <w:rsid w:val="00FC0350"/>
    <w:rsid w:val="00FC03E8"/>
    <w:rsid w:val="00FC03F4"/>
    <w:rsid w:val="00FC04DA"/>
    <w:rsid w:val="00FC04ED"/>
    <w:rsid w:val="00FC0555"/>
    <w:rsid w:val="00FC064B"/>
    <w:rsid w:val="00FC0771"/>
    <w:rsid w:val="00FC0877"/>
    <w:rsid w:val="00FC0944"/>
    <w:rsid w:val="00FC0983"/>
    <w:rsid w:val="00FC0D40"/>
    <w:rsid w:val="00FC0D9F"/>
    <w:rsid w:val="00FC0E42"/>
    <w:rsid w:val="00FC0ED4"/>
    <w:rsid w:val="00FC0F4A"/>
    <w:rsid w:val="00FC0FAA"/>
    <w:rsid w:val="00FC10A5"/>
    <w:rsid w:val="00FC10C7"/>
    <w:rsid w:val="00FC110E"/>
    <w:rsid w:val="00FC11AD"/>
    <w:rsid w:val="00FC11F7"/>
    <w:rsid w:val="00FC12D1"/>
    <w:rsid w:val="00FC141E"/>
    <w:rsid w:val="00FC1484"/>
    <w:rsid w:val="00FC14DE"/>
    <w:rsid w:val="00FC15A9"/>
    <w:rsid w:val="00FC17F1"/>
    <w:rsid w:val="00FC180A"/>
    <w:rsid w:val="00FC1976"/>
    <w:rsid w:val="00FC1984"/>
    <w:rsid w:val="00FC19F9"/>
    <w:rsid w:val="00FC1A6C"/>
    <w:rsid w:val="00FC1BE2"/>
    <w:rsid w:val="00FC1C2B"/>
    <w:rsid w:val="00FC1E2C"/>
    <w:rsid w:val="00FC1E2F"/>
    <w:rsid w:val="00FC1EA6"/>
    <w:rsid w:val="00FC1F51"/>
    <w:rsid w:val="00FC1FA9"/>
    <w:rsid w:val="00FC206B"/>
    <w:rsid w:val="00FC2180"/>
    <w:rsid w:val="00FC21BA"/>
    <w:rsid w:val="00FC2229"/>
    <w:rsid w:val="00FC2322"/>
    <w:rsid w:val="00FC2413"/>
    <w:rsid w:val="00FC250E"/>
    <w:rsid w:val="00FC260A"/>
    <w:rsid w:val="00FC268D"/>
    <w:rsid w:val="00FC2C59"/>
    <w:rsid w:val="00FC2D1A"/>
    <w:rsid w:val="00FC2D2F"/>
    <w:rsid w:val="00FC2E5A"/>
    <w:rsid w:val="00FC2F65"/>
    <w:rsid w:val="00FC313E"/>
    <w:rsid w:val="00FC31D7"/>
    <w:rsid w:val="00FC325D"/>
    <w:rsid w:val="00FC346A"/>
    <w:rsid w:val="00FC3675"/>
    <w:rsid w:val="00FC36E7"/>
    <w:rsid w:val="00FC3764"/>
    <w:rsid w:val="00FC3887"/>
    <w:rsid w:val="00FC38D7"/>
    <w:rsid w:val="00FC3A29"/>
    <w:rsid w:val="00FC3A49"/>
    <w:rsid w:val="00FC3A50"/>
    <w:rsid w:val="00FC3AAF"/>
    <w:rsid w:val="00FC3AE6"/>
    <w:rsid w:val="00FC3C96"/>
    <w:rsid w:val="00FC3CB7"/>
    <w:rsid w:val="00FC3D69"/>
    <w:rsid w:val="00FC3F50"/>
    <w:rsid w:val="00FC3F98"/>
    <w:rsid w:val="00FC400C"/>
    <w:rsid w:val="00FC40DB"/>
    <w:rsid w:val="00FC42D0"/>
    <w:rsid w:val="00FC4333"/>
    <w:rsid w:val="00FC44A2"/>
    <w:rsid w:val="00FC4544"/>
    <w:rsid w:val="00FC45C4"/>
    <w:rsid w:val="00FC47E5"/>
    <w:rsid w:val="00FC4A10"/>
    <w:rsid w:val="00FC4B0E"/>
    <w:rsid w:val="00FC4B55"/>
    <w:rsid w:val="00FC4B92"/>
    <w:rsid w:val="00FC4C92"/>
    <w:rsid w:val="00FC4D6A"/>
    <w:rsid w:val="00FC4DCC"/>
    <w:rsid w:val="00FC4E00"/>
    <w:rsid w:val="00FC4EE4"/>
    <w:rsid w:val="00FC4F70"/>
    <w:rsid w:val="00FC4F71"/>
    <w:rsid w:val="00FC50E1"/>
    <w:rsid w:val="00FC5151"/>
    <w:rsid w:val="00FC52C0"/>
    <w:rsid w:val="00FC52E2"/>
    <w:rsid w:val="00FC53FA"/>
    <w:rsid w:val="00FC5432"/>
    <w:rsid w:val="00FC548F"/>
    <w:rsid w:val="00FC5575"/>
    <w:rsid w:val="00FC560D"/>
    <w:rsid w:val="00FC57D5"/>
    <w:rsid w:val="00FC5836"/>
    <w:rsid w:val="00FC5864"/>
    <w:rsid w:val="00FC5A2E"/>
    <w:rsid w:val="00FC5A6D"/>
    <w:rsid w:val="00FC5B0B"/>
    <w:rsid w:val="00FC5CEE"/>
    <w:rsid w:val="00FC5D09"/>
    <w:rsid w:val="00FC5D69"/>
    <w:rsid w:val="00FC5D6D"/>
    <w:rsid w:val="00FC5D74"/>
    <w:rsid w:val="00FC5DBA"/>
    <w:rsid w:val="00FC5EF4"/>
    <w:rsid w:val="00FC5FD1"/>
    <w:rsid w:val="00FC5FFC"/>
    <w:rsid w:val="00FC60D3"/>
    <w:rsid w:val="00FC6348"/>
    <w:rsid w:val="00FC638C"/>
    <w:rsid w:val="00FC6675"/>
    <w:rsid w:val="00FC678A"/>
    <w:rsid w:val="00FC67B4"/>
    <w:rsid w:val="00FC689A"/>
    <w:rsid w:val="00FC69D4"/>
    <w:rsid w:val="00FC6A70"/>
    <w:rsid w:val="00FC6D44"/>
    <w:rsid w:val="00FC6E44"/>
    <w:rsid w:val="00FC6E7A"/>
    <w:rsid w:val="00FC7027"/>
    <w:rsid w:val="00FC70FF"/>
    <w:rsid w:val="00FC729B"/>
    <w:rsid w:val="00FC72B6"/>
    <w:rsid w:val="00FC73A3"/>
    <w:rsid w:val="00FC7595"/>
    <w:rsid w:val="00FC75CE"/>
    <w:rsid w:val="00FC7616"/>
    <w:rsid w:val="00FC768E"/>
    <w:rsid w:val="00FC76EE"/>
    <w:rsid w:val="00FC7705"/>
    <w:rsid w:val="00FC7753"/>
    <w:rsid w:val="00FC776C"/>
    <w:rsid w:val="00FC77F0"/>
    <w:rsid w:val="00FC7863"/>
    <w:rsid w:val="00FC7897"/>
    <w:rsid w:val="00FC78FD"/>
    <w:rsid w:val="00FC7B2A"/>
    <w:rsid w:val="00FC7B54"/>
    <w:rsid w:val="00FC7D54"/>
    <w:rsid w:val="00FC7F54"/>
    <w:rsid w:val="00FC7FC9"/>
    <w:rsid w:val="00FD0011"/>
    <w:rsid w:val="00FD0058"/>
    <w:rsid w:val="00FD013F"/>
    <w:rsid w:val="00FD041F"/>
    <w:rsid w:val="00FD049F"/>
    <w:rsid w:val="00FD04BC"/>
    <w:rsid w:val="00FD0512"/>
    <w:rsid w:val="00FD053F"/>
    <w:rsid w:val="00FD0579"/>
    <w:rsid w:val="00FD05E6"/>
    <w:rsid w:val="00FD05EF"/>
    <w:rsid w:val="00FD0626"/>
    <w:rsid w:val="00FD063B"/>
    <w:rsid w:val="00FD066F"/>
    <w:rsid w:val="00FD06FC"/>
    <w:rsid w:val="00FD075C"/>
    <w:rsid w:val="00FD082A"/>
    <w:rsid w:val="00FD082E"/>
    <w:rsid w:val="00FD09BA"/>
    <w:rsid w:val="00FD09F6"/>
    <w:rsid w:val="00FD0A31"/>
    <w:rsid w:val="00FD0A6D"/>
    <w:rsid w:val="00FD0D73"/>
    <w:rsid w:val="00FD10EC"/>
    <w:rsid w:val="00FD1129"/>
    <w:rsid w:val="00FD121E"/>
    <w:rsid w:val="00FD124D"/>
    <w:rsid w:val="00FD1273"/>
    <w:rsid w:val="00FD12E9"/>
    <w:rsid w:val="00FD12F2"/>
    <w:rsid w:val="00FD13CB"/>
    <w:rsid w:val="00FD1524"/>
    <w:rsid w:val="00FD1735"/>
    <w:rsid w:val="00FD17E4"/>
    <w:rsid w:val="00FD193E"/>
    <w:rsid w:val="00FD196D"/>
    <w:rsid w:val="00FD19F2"/>
    <w:rsid w:val="00FD1A7F"/>
    <w:rsid w:val="00FD1AD0"/>
    <w:rsid w:val="00FD1B0B"/>
    <w:rsid w:val="00FD1D5C"/>
    <w:rsid w:val="00FD1DD3"/>
    <w:rsid w:val="00FD1E69"/>
    <w:rsid w:val="00FD1F2F"/>
    <w:rsid w:val="00FD201C"/>
    <w:rsid w:val="00FD2049"/>
    <w:rsid w:val="00FD2061"/>
    <w:rsid w:val="00FD2087"/>
    <w:rsid w:val="00FD217C"/>
    <w:rsid w:val="00FD2230"/>
    <w:rsid w:val="00FD2264"/>
    <w:rsid w:val="00FD22C0"/>
    <w:rsid w:val="00FD2449"/>
    <w:rsid w:val="00FD28D9"/>
    <w:rsid w:val="00FD28F0"/>
    <w:rsid w:val="00FD292E"/>
    <w:rsid w:val="00FD2947"/>
    <w:rsid w:val="00FD29CD"/>
    <w:rsid w:val="00FD2AB2"/>
    <w:rsid w:val="00FD2BB2"/>
    <w:rsid w:val="00FD2CFF"/>
    <w:rsid w:val="00FD2D01"/>
    <w:rsid w:val="00FD2FF0"/>
    <w:rsid w:val="00FD3054"/>
    <w:rsid w:val="00FD308A"/>
    <w:rsid w:val="00FD3510"/>
    <w:rsid w:val="00FD3514"/>
    <w:rsid w:val="00FD3657"/>
    <w:rsid w:val="00FD3731"/>
    <w:rsid w:val="00FD377E"/>
    <w:rsid w:val="00FD37C1"/>
    <w:rsid w:val="00FD3A95"/>
    <w:rsid w:val="00FD3B49"/>
    <w:rsid w:val="00FD3B58"/>
    <w:rsid w:val="00FD3BFF"/>
    <w:rsid w:val="00FD3C24"/>
    <w:rsid w:val="00FD3E2C"/>
    <w:rsid w:val="00FD3E4A"/>
    <w:rsid w:val="00FD42BA"/>
    <w:rsid w:val="00FD42DD"/>
    <w:rsid w:val="00FD42E0"/>
    <w:rsid w:val="00FD4333"/>
    <w:rsid w:val="00FD4556"/>
    <w:rsid w:val="00FD4728"/>
    <w:rsid w:val="00FD48B9"/>
    <w:rsid w:val="00FD4968"/>
    <w:rsid w:val="00FD4A29"/>
    <w:rsid w:val="00FD4A4D"/>
    <w:rsid w:val="00FD4B71"/>
    <w:rsid w:val="00FD4EA0"/>
    <w:rsid w:val="00FD4EF5"/>
    <w:rsid w:val="00FD4EFB"/>
    <w:rsid w:val="00FD51B3"/>
    <w:rsid w:val="00FD52A4"/>
    <w:rsid w:val="00FD5374"/>
    <w:rsid w:val="00FD5380"/>
    <w:rsid w:val="00FD53F0"/>
    <w:rsid w:val="00FD53F1"/>
    <w:rsid w:val="00FD5472"/>
    <w:rsid w:val="00FD54CF"/>
    <w:rsid w:val="00FD54EC"/>
    <w:rsid w:val="00FD5603"/>
    <w:rsid w:val="00FD561D"/>
    <w:rsid w:val="00FD5667"/>
    <w:rsid w:val="00FD5843"/>
    <w:rsid w:val="00FD5889"/>
    <w:rsid w:val="00FD58BC"/>
    <w:rsid w:val="00FD5B29"/>
    <w:rsid w:val="00FD5C62"/>
    <w:rsid w:val="00FD5CC4"/>
    <w:rsid w:val="00FD5E27"/>
    <w:rsid w:val="00FD5E3E"/>
    <w:rsid w:val="00FD5E69"/>
    <w:rsid w:val="00FD5E93"/>
    <w:rsid w:val="00FD5EDA"/>
    <w:rsid w:val="00FD5EFF"/>
    <w:rsid w:val="00FD5F43"/>
    <w:rsid w:val="00FD5F9A"/>
    <w:rsid w:val="00FD6010"/>
    <w:rsid w:val="00FD603C"/>
    <w:rsid w:val="00FD60B4"/>
    <w:rsid w:val="00FD61D9"/>
    <w:rsid w:val="00FD6265"/>
    <w:rsid w:val="00FD630E"/>
    <w:rsid w:val="00FD6364"/>
    <w:rsid w:val="00FD6376"/>
    <w:rsid w:val="00FD639A"/>
    <w:rsid w:val="00FD6556"/>
    <w:rsid w:val="00FD65CB"/>
    <w:rsid w:val="00FD68EA"/>
    <w:rsid w:val="00FD6BBC"/>
    <w:rsid w:val="00FD6D23"/>
    <w:rsid w:val="00FD6E38"/>
    <w:rsid w:val="00FD6E86"/>
    <w:rsid w:val="00FD6EB1"/>
    <w:rsid w:val="00FD6EB2"/>
    <w:rsid w:val="00FD6F15"/>
    <w:rsid w:val="00FD6F31"/>
    <w:rsid w:val="00FD715A"/>
    <w:rsid w:val="00FD717F"/>
    <w:rsid w:val="00FD718C"/>
    <w:rsid w:val="00FD71A9"/>
    <w:rsid w:val="00FD7203"/>
    <w:rsid w:val="00FD725A"/>
    <w:rsid w:val="00FD7392"/>
    <w:rsid w:val="00FD7455"/>
    <w:rsid w:val="00FD7597"/>
    <w:rsid w:val="00FD7831"/>
    <w:rsid w:val="00FD78D9"/>
    <w:rsid w:val="00FD7966"/>
    <w:rsid w:val="00FD7AF0"/>
    <w:rsid w:val="00FD7B08"/>
    <w:rsid w:val="00FD7B7F"/>
    <w:rsid w:val="00FD7C0B"/>
    <w:rsid w:val="00FD7D44"/>
    <w:rsid w:val="00FD7F13"/>
    <w:rsid w:val="00FD7F52"/>
    <w:rsid w:val="00FE00B0"/>
    <w:rsid w:val="00FE00CB"/>
    <w:rsid w:val="00FE037A"/>
    <w:rsid w:val="00FE0411"/>
    <w:rsid w:val="00FE0514"/>
    <w:rsid w:val="00FE05EC"/>
    <w:rsid w:val="00FE0761"/>
    <w:rsid w:val="00FE07E8"/>
    <w:rsid w:val="00FE084E"/>
    <w:rsid w:val="00FE0936"/>
    <w:rsid w:val="00FE0AD2"/>
    <w:rsid w:val="00FE0ADD"/>
    <w:rsid w:val="00FE0B0C"/>
    <w:rsid w:val="00FE0B59"/>
    <w:rsid w:val="00FE0B6F"/>
    <w:rsid w:val="00FE0CAF"/>
    <w:rsid w:val="00FE0CE9"/>
    <w:rsid w:val="00FE0D64"/>
    <w:rsid w:val="00FE0EEE"/>
    <w:rsid w:val="00FE0FA1"/>
    <w:rsid w:val="00FE0FB9"/>
    <w:rsid w:val="00FE1037"/>
    <w:rsid w:val="00FE1077"/>
    <w:rsid w:val="00FE111F"/>
    <w:rsid w:val="00FE11E6"/>
    <w:rsid w:val="00FE121F"/>
    <w:rsid w:val="00FE12E4"/>
    <w:rsid w:val="00FE130A"/>
    <w:rsid w:val="00FE130E"/>
    <w:rsid w:val="00FE1407"/>
    <w:rsid w:val="00FE142F"/>
    <w:rsid w:val="00FE1462"/>
    <w:rsid w:val="00FE1470"/>
    <w:rsid w:val="00FE147D"/>
    <w:rsid w:val="00FE14EA"/>
    <w:rsid w:val="00FE1673"/>
    <w:rsid w:val="00FE18D9"/>
    <w:rsid w:val="00FE190D"/>
    <w:rsid w:val="00FE19EA"/>
    <w:rsid w:val="00FE1B32"/>
    <w:rsid w:val="00FE1B67"/>
    <w:rsid w:val="00FE1B9D"/>
    <w:rsid w:val="00FE1C9A"/>
    <w:rsid w:val="00FE1D2D"/>
    <w:rsid w:val="00FE1D38"/>
    <w:rsid w:val="00FE1E52"/>
    <w:rsid w:val="00FE2095"/>
    <w:rsid w:val="00FE22A4"/>
    <w:rsid w:val="00FE2330"/>
    <w:rsid w:val="00FE23B2"/>
    <w:rsid w:val="00FE247B"/>
    <w:rsid w:val="00FE2595"/>
    <w:rsid w:val="00FE2658"/>
    <w:rsid w:val="00FE276C"/>
    <w:rsid w:val="00FE28C9"/>
    <w:rsid w:val="00FE291C"/>
    <w:rsid w:val="00FE2958"/>
    <w:rsid w:val="00FE2A3C"/>
    <w:rsid w:val="00FE2A45"/>
    <w:rsid w:val="00FE2C33"/>
    <w:rsid w:val="00FE2DDE"/>
    <w:rsid w:val="00FE2DE5"/>
    <w:rsid w:val="00FE2F5C"/>
    <w:rsid w:val="00FE2FC7"/>
    <w:rsid w:val="00FE343F"/>
    <w:rsid w:val="00FE348D"/>
    <w:rsid w:val="00FE3529"/>
    <w:rsid w:val="00FE35AD"/>
    <w:rsid w:val="00FE35E9"/>
    <w:rsid w:val="00FE363A"/>
    <w:rsid w:val="00FE37CA"/>
    <w:rsid w:val="00FE37FE"/>
    <w:rsid w:val="00FE3845"/>
    <w:rsid w:val="00FE38E2"/>
    <w:rsid w:val="00FE390F"/>
    <w:rsid w:val="00FE3A29"/>
    <w:rsid w:val="00FE3B3D"/>
    <w:rsid w:val="00FE3D6F"/>
    <w:rsid w:val="00FE3DEE"/>
    <w:rsid w:val="00FE3F45"/>
    <w:rsid w:val="00FE420B"/>
    <w:rsid w:val="00FE43E7"/>
    <w:rsid w:val="00FE44DC"/>
    <w:rsid w:val="00FE4509"/>
    <w:rsid w:val="00FE4537"/>
    <w:rsid w:val="00FE4584"/>
    <w:rsid w:val="00FE491E"/>
    <w:rsid w:val="00FE4948"/>
    <w:rsid w:val="00FE4966"/>
    <w:rsid w:val="00FE4A96"/>
    <w:rsid w:val="00FE4BBA"/>
    <w:rsid w:val="00FE4CFB"/>
    <w:rsid w:val="00FE4EA1"/>
    <w:rsid w:val="00FE4ED5"/>
    <w:rsid w:val="00FE5012"/>
    <w:rsid w:val="00FE52EA"/>
    <w:rsid w:val="00FE5351"/>
    <w:rsid w:val="00FE5412"/>
    <w:rsid w:val="00FE553F"/>
    <w:rsid w:val="00FE5713"/>
    <w:rsid w:val="00FE5807"/>
    <w:rsid w:val="00FE59A2"/>
    <w:rsid w:val="00FE59EC"/>
    <w:rsid w:val="00FE5B24"/>
    <w:rsid w:val="00FE5C1B"/>
    <w:rsid w:val="00FE5C2D"/>
    <w:rsid w:val="00FE5D0A"/>
    <w:rsid w:val="00FE5EAE"/>
    <w:rsid w:val="00FE5F72"/>
    <w:rsid w:val="00FE5FB5"/>
    <w:rsid w:val="00FE60B8"/>
    <w:rsid w:val="00FE6144"/>
    <w:rsid w:val="00FE617D"/>
    <w:rsid w:val="00FE6206"/>
    <w:rsid w:val="00FE62B7"/>
    <w:rsid w:val="00FE62BA"/>
    <w:rsid w:val="00FE63B0"/>
    <w:rsid w:val="00FE63CC"/>
    <w:rsid w:val="00FE64BB"/>
    <w:rsid w:val="00FE64F0"/>
    <w:rsid w:val="00FE65B8"/>
    <w:rsid w:val="00FE65D2"/>
    <w:rsid w:val="00FE6633"/>
    <w:rsid w:val="00FE6B23"/>
    <w:rsid w:val="00FE6B4B"/>
    <w:rsid w:val="00FE6B87"/>
    <w:rsid w:val="00FE6BB9"/>
    <w:rsid w:val="00FE6BE2"/>
    <w:rsid w:val="00FE6C02"/>
    <w:rsid w:val="00FE6C5A"/>
    <w:rsid w:val="00FE6E0E"/>
    <w:rsid w:val="00FE6FCF"/>
    <w:rsid w:val="00FE70B1"/>
    <w:rsid w:val="00FE71BD"/>
    <w:rsid w:val="00FE72A8"/>
    <w:rsid w:val="00FE7691"/>
    <w:rsid w:val="00FE76B6"/>
    <w:rsid w:val="00FE7805"/>
    <w:rsid w:val="00FE79FA"/>
    <w:rsid w:val="00FE7A48"/>
    <w:rsid w:val="00FE7B48"/>
    <w:rsid w:val="00FE7BCA"/>
    <w:rsid w:val="00FE7C3C"/>
    <w:rsid w:val="00FE7D94"/>
    <w:rsid w:val="00FE7E98"/>
    <w:rsid w:val="00FE7F7D"/>
    <w:rsid w:val="00FE7F97"/>
    <w:rsid w:val="00FF00A3"/>
    <w:rsid w:val="00FF0132"/>
    <w:rsid w:val="00FF0180"/>
    <w:rsid w:val="00FF03E4"/>
    <w:rsid w:val="00FF04A4"/>
    <w:rsid w:val="00FF04E7"/>
    <w:rsid w:val="00FF064A"/>
    <w:rsid w:val="00FF07DD"/>
    <w:rsid w:val="00FF0864"/>
    <w:rsid w:val="00FF0B75"/>
    <w:rsid w:val="00FF0CAB"/>
    <w:rsid w:val="00FF0E59"/>
    <w:rsid w:val="00FF0E62"/>
    <w:rsid w:val="00FF0EE8"/>
    <w:rsid w:val="00FF1027"/>
    <w:rsid w:val="00FF1134"/>
    <w:rsid w:val="00FF1297"/>
    <w:rsid w:val="00FF138A"/>
    <w:rsid w:val="00FF1438"/>
    <w:rsid w:val="00FF1451"/>
    <w:rsid w:val="00FF171A"/>
    <w:rsid w:val="00FF173C"/>
    <w:rsid w:val="00FF174A"/>
    <w:rsid w:val="00FF179A"/>
    <w:rsid w:val="00FF18E1"/>
    <w:rsid w:val="00FF1903"/>
    <w:rsid w:val="00FF1949"/>
    <w:rsid w:val="00FF1CE3"/>
    <w:rsid w:val="00FF1DCF"/>
    <w:rsid w:val="00FF1F23"/>
    <w:rsid w:val="00FF1F73"/>
    <w:rsid w:val="00FF1F88"/>
    <w:rsid w:val="00FF2244"/>
    <w:rsid w:val="00FF233C"/>
    <w:rsid w:val="00FF23EC"/>
    <w:rsid w:val="00FF2553"/>
    <w:rsid w:val="00FF26C3"/>
    <w:rsid w:val="00FF2742"/>
    <w:rsid w:val="00FF2767"/>
    <w:rsid w:val="00FF2799"/>
    <w:rsid w:val="00FF27A0"/>
    <w:rsid w:val="00FF2A09"/>
    <w:rsid w:val="00FF2A37"/>
    <w:rsid w:val="00FF2C7E"/>
    <w:rsid w:val="00FF2DAD"/>
    <w:rsid w:val="00FF2DCF"/>
    <w:rsid w:val="00FF2F76"/>
    <w:rsid w:val="00FF2FA9"/>
    <w:rsid w:val="00FF2FC0"/>
    <w:rsid w:val="00FF30B2"/>
    <w:rsid w:val="00FF30BB"/>
    <w:rsid w:val="00FF337E"/>
    <w:rsid w:val="00FF33F0"/>
    <w:rsid w:val="00FF3464"/>
    <w:rsid w:val="00FF34ED"/>
    <w:rsid w:val="00FF37AD"/>
    <w:rsid w:val="00FF388E"/>
    <w:rsid w:val="00FF38D5"/>
    <w:rsid w:val="00FF398A"/>
    <w:rsid w:val="00FF3B3F"/>
    <w:rsid w:val="00FF3BAD"/>
    <w:rsid w:val="00FF3BBB"/>
    <w:rsid w:val="00FF3BE3"/>
    <w:rsid w:val="00FF3C34"/>
    <w:rsid w:val="00FF3C4E"/>
    <w:rsid w:val="00FF3D10"/>
    <w:rsid w:val="00FF3FD2"/>
    <w:rsid w:val="00FF429D"/>
    <w:rsid w:val="00FF4313"/>
    <w:rsid w:val="00FF44CA"/>
    <w:rsid w:val="00FF45F8"/>
    <w:rsid w:val="00FF4628"/>
    <w:rsid w:val="00FF46BC"/>
    <w:rsid w:val="00FF4726"/>
    <w:rsid w:val="00FF4970"/>
    <w:rsid w:val="00FF4A81"/>
    <w:rsid w:val="00FF4ADB"/>
    <w:rsid w:val="00FF4C84"/>
    <w:rsid w:val="00FF4E66"/>
    <w:rsid w:val="00FF4F76"/>
    <w:rsid w:val="00FF4FD6"/>
    <w:rsid w:val="00FF5050"/>
    <w:rsid w:val="00FF5070"/>
    <w:rsid w:val="00FF508F"/>
    <w:rsid w:val="00FF50E1"/>
    <w:rsid w:val="00FF5114"/>
    <w:rsid w:val="00FF51F3"/>
    <w:rsid w:val="00FF5207"/>
    <w:rsid w:val="00FF55A7"/>
    <w:rsid w:val="00FF55F7"/>
    <w:rsid w:val="00FF578F"/>
    <w:rsid w:val="00FF57F5"/>
    <w:rsid w:val="00FF58B7"/>
    <w:rsid w:val="00FF59F5"/>
    <w:rsid w:val="00FF5A3B"/>
    <w:rsid w:val="00FF5A92"/>
    <w:rsid w:val="00FF5BEE"/>
    <w:rsid w:val="00FF5C3B"/>
    <w:rsid w:val="00FF5DD8"/>
    <w:rsid w:val="00FF5E91"/>
    <w:rsid w:val="00FF5EF1"/>
    <w:rsid w:val="00FF5FA0"/>
    <w:rsid w:val="00FF60D9"/>
    <w:rsid w:val="00FF615D"/>
    <w:rsid w:val="00FF61D3"/>
    <w:rsid w:val="00FF629F"/>
    <w:rsid w:val="00FF6315"/>
    <w:rsid w:val="00FF63F9"/>
    <w:rsid w:val="00FF643B"/>
    <w:rsid w:val="00FF64AA"/>
    <w:rsid w:val="00FF64E0"/>
    <w:rsid w:val="00FF6537"/>
    <w:rsid w:val="00FF6553"/>
    <w:rsid w:val="00FF668A"/>
    <w:rsid w:val="00FF6797"/>
    <w:rsid w:val="00FF6820"/>
    <w:rsid w:val="00FF689E"/>
    <w:rsid w:val="00FF68D4"/>
    <w:rsid w:val="00FF6939"/>
    <w:rsid w:val="00FF6983"/>
    <w:rsid w:val="00FF6992"/>
    <w:rsid w:val="00FF6DC4"/>
    <w:rsid w:val="00FF6E7E"/>
    <w:rsid w:val="00FF6F33"/>
    <w:rsid w:val="00FF70D2"/>
    <w:rsid w:val="00FF7194"/>
    <w:rsid w:val="00FF71A0"/>
    <w:rsid w:val="00FF722A"/>
    <w:rsid w:val="00FF72C3"/>
    <w:rsid w:val="00FF7455"/>
    <w:rsid w:val="00FF758A"/>
    <w:rsid w:val="00FF75BA"/>
    <w:rsid w:val="00FF7622"/>
    <w:rsid w:val="00FF7629"/>
    <w:rsid w:val="00FF7696"/>
    <w:rsid w:val="00FF7707"/>
    <w:rsid w:val="00FF793E"/>
    <w:rsid w:val="00FF79A0"/>
    <w:rsid w:val="00FF7A21"/>
    <w:rsid w:val="00FF7B77"/>
    <w:rsid w:val="00FF7BB2"/>
    <w:rsid w:val="00FF7BF0"/>
    <w:rsid w:val="00FF7C66"/>
    <w:rsid w:val="0102342E"/>
    <w:rsid w:val="01025145"/>
    <w:rsid w:val="0103A9AF"/>
    <w:rsid w:val="01067B5A"/>
    <w:rsid w:val="010AC751"/>
    <w:rsid w:val="010D8AF9"/>
    <w:rsid w:val="01139493"/>
    <w:rsid w:val="011C8772"/>
    <w:rsid w:val="011DDC55"/>
    <w:rsid w:val="012190E1"/>
    <w:rsid w:val="0122E372"/>
    <w:rsid w:val="012628F1"/>
    <w:rsid w:val="012973BF"/>
    <w:rsid w:val="012A40D8"/>
    <w:rsid w:val="012C0BA0"/>
    <w:rsid w:val="01306757"/>
    <w:rsid w:val="0132D958"/>
    <w:rsid w:val="01350140"/>
    <w:rsid w:val="0135EA74"/>
    <w:rsid w:val="0135EC2F"/>
    <w:rsid w:val="0136A730"/>
    <w:rsid w:val="0137589A"/>
    <w:rsid w:val="01384DCB"/>
    <w:rsid w:val="013DBD13"/>
    <w:rsid w:val="0143D610"/>
    <w:rsid w:val="0143D826"/>
    <w:rsid w:val="01452905"/>
    <w:rsid w:val="01463743"/>
    <w:rsid w:val="014E7FFE"/>
    <w:rsid w:val="014E96CD"/>
    <w:rsid w:val="015541C2"/>
    <w:rsid w:val="0158501B"/>
    <w:rsid w:val="01599611"/>
    <w:rsid w:val="015E5134"/>
    <w:rsid w:val="01628E10"/>
    <w:rsid w:val="01632D69"/>
    <w:rsid w:val="01640A71"/>
    <w:rsid w:val="01656F5F"/>
    <w:rsid w:val="016687A2"/>
    <w:rsid w:val="0168AC2C"/>
    <w:rsid w:val="016C4048"/>
    <w:rsid w:val="016C5D95"/>
    <w:rsid w:val="016D6B1B"/>
    <w:rsid w:val="016F08BB"/>
    <w:rsid w:val="0171F833"/>
    <w:rsid w:val="01734E36"/>
    <w:rsid w:val="017E84F8"/>
    <w:rsid w:val="017F2B6E"/>
    <w:rsid w:val="017FA587"/>
    <w:rsid w:val="01859BB6"/>
    <w:rsid w:val="018936D3"/>
    <w:rsid w:val="01895542"/>
    <w:rsid w:val="018A2CAE"/>
    <w:rsid w:val="019369B2"/>
    <w:rsid w:val="01954CEA"/>
    <w:rsid w:val="019ADA57"/>
    <w:rsid w:val="019B794C"/>
    <w:rsid w:val="019C2368"/>
    <w:rsid w:val="01A58378"/>
    <w:rsid w:val="01A5915F"/>
    <w:rsid w:val="01A8F873"/>
    <w:rsid w:val="01A9E4C2"/>
    <w:rsid w:val="01AB317A"/>
    <w:rsid w:val="01BE3439"/>
    <w:rsid w:val="01BEC8DD"/>
    <w:rsid w:val="01C20E38"/>
    <w:rsid w:val="01C3CD34"/>
    <w:rsid w:val="01C527EB"/>
    <w:rsid w:val="01CA9CB9"/>
    <w:rsid w:val="01CBD5F7"/>
    <w:rsid w:val="01D5CD37"/>
    <w:rsid w:val="01D7C910"/>
    <w:rsid w:val="01D8AE1F"/>
    <w:rsid w:val="01D8EC19"/>
    <w:rsid w:val="01DBB9E1"/>
    <w:rsid w:val="01DCBAFB"/>
    <w:rsid w:val="01DD79E4"/>
    <w:rsid w:val="01DD8BF7"/>
    <w:rsid w:val="01DE6CF9"/>
    <w:rsid w:val="01DE919D"/>
    <w:rsid w:val="01E0BA8C"/>
    <w:rsid w:val="01E9B5BD"/>
    <w:rsid w:val="01EC667C"/>
    <w:rsid w:val="01ECBC12"/>
    <w:rsid w:val="01ECEF06"/>
    <w:rsid w:val="01F05DFC"/>
    <w:rsid w:val="01F358A0"/>
    <w:rsid w:val="01F3AE41"/>
    <w:rsid w:val="01F4EAAE"/>
    <w:rsid w:val="01F770F2"/>
    <w:rsid w:val="01F893CC"/>
    <w:rsid w:val="01F90876"/>
    <w:rsid w:val="02001EF1"/>
    <w:rsid w:val="0200FC6E"/>
    <w:rsid w:val="02023114"/>
    <w:rsid w:val="020A2FC5"/>
    <w:rsid w:val="020D1468"/>
    <w:rsid w:val="0217F112"/>
    <w:rsid w:val="021DE7DC"/>
    <w:rsid w:val="021E7312"/>
    <w:rsid w:val="0223A2CF"/>
    <w:rsid w:val="02249A53"/>
    <w:rsid w:val="02252570"/>
    <w:rsid w:val="0226606A"/>
    <w:rsid w:val="022F83EB"/>
    <w:rsid w:val="0230AF15"/>
    <w:rsid w:val="023DC104"/>
    <w:rsid w:val="023E39EA"/>
    <w:rsid w:val="02414738"/>
    <w:rsid w:val="0247EBB8"/>
    <w:rsid w:val="024F6960"/>
    <w:rsid w:val="02523EC5"/>
    <w:rsid w:val="025288F2"/>
    <w:rsid w:val="0253870F"/>
    <w:rsid w:val="02538F3A"/>
    <w:rsid w:val="02550F84"/>
    <w:rsid w:val="0258B3CA"/>
    <w:rsid w:val="0258D8E5"/>
    <w:rsid w:val="025DFF0E"/>
    <w:rsid w:val="0264DB63"/>
    <w:rsid w:val="02650748"/>
    <w:rsid w:val="02678E84"/>
    <w:rsid w:val="026989FD"/>
    <w:rsid w:val="0270643D"/>
    <w:rsid w:val="02733F2A"/>
    <w:rsid w:val="027AFA6D"/>
    <w:rsid w:val="02802A83"/>
    <w:rsid w:val="0282E6AA"/>
    <w:rsid w:val="0283154A"/>
    <w:rsid w:val="028354E6"/>
    <w:rsid w:val="028B9988"/>
    <w:rsid w:val="02906202"/>
    <w:rsid w:val="0291B118"/>
    <w:rsid w:val="0292F78D"/>
    <w:rsid w:val="029E8063"/>
    <w:rsid w:val="02A47EEF"/>
    <w:rsid w:val="02A6D35A"/>
    <w:rsid w:val="02AB3316"/>
    <w:rsid w:val="02B2BB28"/>
    <w:rsid w:val="02B3AB97"/>
    <w:rsid w:val="02B58A0F"/>
    <w:rsid w:val="02BAE239"/>
    <w:rsid w:val="02BFD2E4"/>
    <w:rsid w:val="02C06624"/>
    <w:rsid w:val="02C32126"/>
    <w:rsid w:val="02C6D46E"/>
    <w:rsid w:val="02C78C0B"/>
    <w:rsid w:val="02C7EE7E"/>
    <w:rsid w:val="02CA6116"/>
    <w:rsid w:val="02D329A0"/>
    <w:rsid w:val="02D7D751"/>
    <w:rsid w:val="02D90A6D"/>
    <w:rsid w:val="02DD1975"/>
    <w:rsid w:val="02E5361C"/>
    <w:rsid w:val="02E81886"/>
    <w:rsid w:val="02E911D3"/>
    <w:rsid w:val="02E9EA0B"/>
    <w:rsid w:val="02F00787"/>
    <w:rsid w:val="02F66534"/>
    <w:rsid w:val="02F66F78"/>
    <w:rsid w:val="02F7F8C5"/>
    <w:rsid w:val="0300DC0A"/>
    <w:rsid w:val="030106A0"/>
    <w:rsid w:val="03078B05"/>
    <w:rsid w:val="030901CF"/>
    <w:rsid w:val="030BCA2A"/>
    <w:rsid w:val="030E4DF7"/>
    <w:rsid w:val="030E86F8"/>
    <w:rsid w:val="030F4CD4"/>
    <w:rsid w:val="030FE172"/>
    <w:rsid w:val="0311309A"/>
    <w:rsid w:val="03136B68"/>
    <w:rsid w:val="03138D00"/>
    <w:rsid w:val="0315354E"/>
    <w:rsid w:val="0318C343"/>
    <w:rsid w:val="03194B29"/>
    <w:rsid w:val="031E8541"/>
    <w:rsid w:val="032329AD"/>
    <w:rsid w:val="0325DEBB"/>
    <w:rsid w:val="0327D6F9"/>
    <w:rsid w:val="03285F18"/>
    <w:rsid w:val="032EF229"/>
    <w:rsid w:val="032FCF2A"/>
    <w:rsid w:val="0335677D"/>
    <w:rsid w:val="0335E859"/>
    <w:rsid w:val="033986E9"/>
    <w:rsid w:val="033E4067"/>
    <w:rsid w:val="0340BFEA"/>
    <w:rsid w:val="03428C3A"/>
    <w:rsid w:val="0345D7C9"/>
    <w:rsid w:val="03485E52"/>
    <w:rsid w:val="03487277"/>
    <w:rsid w:val="034A2B2E"/>
    <w:rsid w:val="034B9EBF"/>
    <w:rsid w:val="034C1B33"/>
    <w:rsid w:val="034D23FD"/>
    <w:rsid w:val="034ECF8A"/>
    <w:rsid w:val="034FA40F"/>
    <w:rsid w:val="0356E9B3"/>
    <w:rsid w:val="0359B43A"/>
    <w:rsid w:val="035AFC67"/>
    <w:rsid w:val="035C34BF"/>
    <w:rsid w:val="035D73BB"/>
    <w:rsid w:val="035EFECB"/>
    <w:rsid w:val="036C0F64"/>
    <w:rsid w:val="036E3158"/>
    <w:rsid w:val="03700549"/>
    <w:rsid w:val="0376A3C6"/>
    <w:rsid w:val="038096F6"/>
    <w:rsid w:val="03836401"/>
    <w:rsid w:val="0388C1B6"/>
    <w:rsid w:val="038A09CA"/>
    <w:rsid w:val="038B9C3B"/>
    <w:rsid w:val="03912D66"/>
    <w:rsid w:val="0391B3F3"/>
    <w:rsid w:val="0398D32C"/>
    <w:rsid w:val="03992E83"/>
    <w:rsid w:val="039AB5EA"/>
    <w:rsid w:val="03A70A8C"/>
    <w:rsid w:val="03A851EB"/>
    <w:rsid w:val="03AFADA8"/>
    <w:rsid w:val="03B8C7C5"/>
    <w:rsid w:val="03C0BAC6"/>
    <w:rsid w:val="03C2D750"/>
    <w:rsid w:val="03C50867"/>
    <w:rsid w:val="03C56D82"/>
    <w:rsid w:val="03C5F200"/>
    <w:rsid w:val="03C6330D"/>
    <w:rsid w:val="03C87182"/>
    <w:rsid w:val="03C8B4FB"/>
    <w:rsid w:val="03CE646B"/>
    <w:rsid w:val="03CF571D"/>
    <w:rsid w:val="03DD5A73"/>
    <w:rsid w:val="03DF81AB"/>
    <w:rsid w:val="03E114E0"/>
    <w:rsid w:val="03E1F693"/>
    <w:rsid w:val="03E4C29D"/>
    <w:rsid w:val="03EBFBB2"/>
    <w:rsid w:val="03EE236A"/>
    <w:rsid w:val="03F46E34"/>
    <w:rsid w:val="0403CD42"/>
    <w:rsid w:val="040B557C"/>
    <w:rsid w:val="040E184C"/>
    <w:rsid w:val="041588F9"/>
    <w:rsid w:val="041994F2"/>
    <w:rsid w:val="0419E8E5"/>
    <w:rsid w:val="041B1E5E"/>
    <w:rsid w:val="041FAAA8"/>
    <w:rsid w:val="042556C4"/>
    <w:rsid w:val="04283967"/>
    <w:rsid w:val="042DDED7"/>
    <w:rsid w:val="042E1FB7"/>
    <w:rsid w:val="042E2371"/>
    <w:rsid w:val="042E4E6A"/>
    <w:rsid w:val="0432920E"/>
    <w:rsid w:val="043940FF"/>
    <w:rsid w:val="043A17BB"/>
    <w:rsid w:val="043C5105"/>
    <w:rsid w:val="043DE47F"/>
    <w:rsid w:val="043EA5AD"/>
    <w:rsid w:val="043EEA5E"/>
    <w:rsid w:val="0442BC5A"/>
    <w:rsid w:val="04469D43"/>
    <w:rsid w:val="044BDB53"/>
    <w:rsid w:val="044CE98E"/>
    <w:rsid w:val="044CECD9"/>
    <w:rsid w:val="044CF49B"/>
    <w:rsid w:val="0450EF60"/>
    <w:rsid w:val="04510FF4"/>
    <w:rsid w:val="04558E05"/>
    <w:rsid w:val="045DB5EA"/>
    <w:rsid w:val="045E6A42"/>
    <w:rsid w:val="04631EE3"/>
    <w:rsid w:val="0465B9B4"/>
    <w:rsid w:val="0467681B"/>
    <w:rsid w:val="046EC6B2"/>
    <w:rsid w:val="04731FB1"/>
    <w:rsid w:val="047A10DA"/>
    <w:rsid w:val="047EF4BE"/>
    <w:rsid w:val="0482198E"/>
    <w:rsid w:val="0484FF14"/>
    <w:rsid w:val="04868D18"/>
    <w:rsid w:val="04879D54"/>
    <w:rsid w:val="04883750"/>
    <w:rsid w:val="048C0F0C"/>
    <w:rsid w:val="048E536E"/>
    <w:rsid w:val="048FF58C"/>
    <w:rsid w:val="049088F9"/>
    <w:rsid w:val="0490FD9F"/>
    <w:rsid w:val="04926407"/>
    <w:rsid w:val="04962310"/>
    <w:rsid w:val="04965219"/>
    <w:rsid w:val="049C21AA"/>
    <w:rsid w:val="049C52AF"/>
    <w:rsid w:val="049D3889"/>
    <w:rsid w:val="049F4042"/>
    <w:rsid w:val="049FF7B1"/>
    <w:rsid w:val="04A3BC4F"/>
    <w:rsid w:val="04A42158"/>
    <w:rsid w:val="04A75081"/>
    <w:rsid w:val="04A95DD1"/>
    <w:rsid w:val="04ABFB89"/>
    <w:rsid w:val="04AE4081"/>
    <w:rsid w:val="04AE6011"/>
    <w:rsid w:val="04AFC599"/>
    <w:rsid w:val="04B09585"/>
    <w:rsid w:val="04B5880C"/>
    <w:rsid w:val="04B9D035"/>
    <w:rsid w:val="04BFFE4C"/>
    <w:rsid w:val="04C1A1DF"/>
    <w:rsid w:val="04C260AF"/>
    <w:rsid w:val="04C3F66B"/>
    <w:rsid w:val="04C52EC4"/>
    <w:rsid w:val="04CAD37F"/>
    <w:rsid w:val="04CC0329"/>
    <w:rsid w:val="04CCCFE1"/>
    <w:rsid w:val="04D5A825"/>
    <w:rsid w:val="04D7FD4B"/>
    <w:rsid w:val="04D96E98"/>
    <w:rsid w:val="04D9C46E"/>
    <w:rsid w:val="04DA7475"/>
    <w:rsid w:val="04DCC86D"/>
    <w:rsid w:val="04DE7B33"/>
    <w:rsid w:val="04E2D7C0"/>
    <w:rsid w:val="04E36145"/>
    <w:rsid w:val="04E3717C"/>
    <w:rsid w:val="04E775D7"/>
    <w:rsid w:val="04E95AEF"/>
    <w:rsid w:val="04EA7EF9"/>
    <w:rsid w:val="04FDA692"/>
    <w:rsid w:val="05005DFA"/>
    <w:rsid w:val="05011598"/>
    <w:rsid w:val="0501EE36"/>
    <w:rsid w:val="05038A07"/>
    <w:rsid w:val="05070A3F"/>
    <w:rsid w:val="050991C4"/>
    <w:rsid w:val="050AD9F1"/>
    <w:rsid w:val="050B299A"/>
    <w:rsid w:val="050C4034"/>
    <w:rsid w:val="050F10C2"/>
    <w:rsid w:val="05178C6E"/>
    <w:rsid w:val="0518AF89"/>
    <w:rsid w:val="051C0E14"/>
    <w:rsid w:val="051C41AB"/>
    <w:rsid w:val="051E465A"/>
    <w:rsid w:val="051FBA0F"/>
    <w:rsid w:val="05234FAE"/>
    <w:rsid w:val="05264AA1"/>
    <w:rsid w:val="05282B6D"/>
    <w:rsid w:val="0529DA72"/>
    <w:rsid w:val="052DB0EE"/>
    <w:rsid w:val="0530B097"/>
    <w:rsid w:val="05311289"/>
    <w:rsid w:val="0532773B"/>
    <w:rsid w:val="05339386"/>
    <w:rsid w:val="0534B948"/>
    <w:rsid w:val="053CC583"/>
    <w:rsid w:val="053DE2B4"/>
    <w:rsid w:val="0541992E"/>
    <w:rsid w:val="05458B7E"/>
    <w:rsid w:val="0549106C"/>
    <w:rsid w:val="054B22DA"/>
    <w:rsid w:val="054CA9CF"/>
    <w:rsid w:val="054CCCAB"/>
    <w:rsid w:val="054FA9D7"/>
    <w:rsid w:val="055104D6"/>
    <w:rsid w:val="0559785F"/>
    <w:rsid w:val="055B2065"/>
    <w:rsid w:val="055BBF40"/>
    <w:rsid w:val="055DB2E3"/>
    <w:rsid w:val="05600D87"/>
    <w:rsid w:val="0561D64A"/>
    <w:rsid w:val="05658897"/>
    <w:rsid w:val="05682E0C"/>
    <w:rsid w:val="0568D275"/>
    <w:rsid w:val="056C6833"/>
    <w:rsid w:val="056C7254"/>
    <w:rsid w:val="05734A41"/>
    <w:rsid w:val="0573BA60"/>
    <w:rsid w:val="0574E210"/>
    <w:rsid w:val="0575FA13"/>
    <w:rsid w:val="057AECDC"/>
    <w:rsid w:val="057F5270"/>
    <w:rsid w:val="0589FF48"/>
    <w:rsid w:val="05934A82"/>
    <w:rsid w:val="05942894"/>
    <w:rsid w:val="059704F8"/>
    <w:rsid w:val="0597A57D"/>
    <w:rsid w:val="059A03A2"/>
    <w:rsid w:val="059D57AF"/>
    <w:rsid w:val="059FF3D8"/>
    <w:rsid w:val="05A50A16"/>
    <w:rsid w:val="05A61364"/>
    <w:rsid w:val="05A7705E"/>
    <w:rsid w:val="05AA9813"/>
    <w:rsid w:val="05AD18BD"/>
    <w:rsid w:val="05AFD9DC"/>
    <w:rsid w:val="05B1B23A"/>
    <w:rsid w:val="05B92B67"/>
    <w:rsid w:val="05B973AC"/>
    <w:rsid w:val="05BE21C6"/>
    <w:rsid w:val="05C261CF"/>
    <w:rsid w:val="05C76879"/>
    <w:rsid w:val="05C8B8A7"/>
    <w:rsid w:val="05CBB3B9"/>
    <w:rsid w:val="05D3A9CC"/>
    <w:rsid w:val="05D9B2BB"/>
    <w:rsid w:val="05E0376D"/>
    <w:rsid w:val="05E05F84"/>
    <w:rsid w:val="05E27E7A"/>
    <w:rsid w:val="05E35826"/>
    <w:rsid w:val="05E670EF"/>
    <w:rsid w:val="05E68EE3"/>
    <w:rsid w:val="05E9D40E"/>
    <w:rsid w:val="05EA6906"/>
    <w:rsid w:val="05EA789B"/>
    <w:rsid w:val="05EEB7FF"/>
    <w:rsid w:val="05F1221E"/>
    <w:rsid w:val="05F179DB"/>
    <w:rsid w:val="05F2F504"/>
    <w:rsid w:val="05F586DA"/>
    <w:rsid w:val="05FBB371"/>
    <w:rsid w:val="05FEC332"/>
    <w:rsid w:val="06016D70"/>
    <w:rsid w:val="06059449"/>
    <w:rsid w:val="060A03F8"/>
    <w:rsid w:val="060CE1E3"/>
    <w:rsid w:val="060EF9EC"/>
    <w:rsid w:val="060F189F"/>
    <w:rsid w:val="060F9E29"/>
    <w:rsid w:val="0610072C"/>
    <w:rsid w:val="061058EB"/>
    <w:rsid w:val="0610D9B8"/>
    <w:rsid w:val="061CB56B"/>
    <w:rsid w:val="061FB8AA"/>
    <w:rsid w:val="062383E2"/>
    <w:rsid w:val="062418C1"/>
    <w:rsid w:val="062E83AF"/>
    <w:rsid w:val="0631C57A"/>
    <w:rsid w:val="0635329F"/>
    <w:rsid w:val="0637155F"/>
    <w:rsid w:val="063A24B6"/>
    <w:rsid w:val="063A6CB5"/>
    <w:rsid w:val="063E6703"/>
    <w:rsid w:val="063EA402"/>
    <w:rsid w:val="064037AB"/>
    <w:rsid w:val="06428248"/>
    <w:rsid w:val="06446065"/>
    <w:rsid w:val="06446E8B"/>
    <w:rsid w:val="06457C0F"/>
    <w:rsid w:val="064B9E34"/>
    <w:rsid w:val="064BD70F"/>
    <w:rsid w:val="064C340C"/>
    <w:rsid w:val="0656E7A3"/>
    <w:rsid w:val="0656EE1D"/>
    <w:rsid w:val="0658A91E"/>
    <w:rsid w:val="065ABE60"/>
    <w:rsid w:val="065C3A52"/>
    <w:rsid w:val="065EF301"/>
    <w:rsid w:val="065FE79A"/>
    <w:rsid w:val="0660A467"/>
    <w:rsid w:val="0661C435"/>
    <w:rsid w:val="0668B7BF"/>
    <w:rsid w:val="066D7FB0"/>
    <w:rsid w:val="0671FFA4"/>
    <w:rsid w:val="068100E4"/>
    <w:rsid w:val="06832BF7"/>
    <w:rsid w:val="0685AC4A"/>
    <w:rsid w:val="0692B1FA"/>
    <w:rsid w:val="0694A905"/>
    <w:rsid w:val="0695170C"/>
    <w:rsid w:val="0695A88E"/>
    <w:rsid w:val="0696C0AD"/>
    <w:rsid w:val="0699CAB1"/>
    <w:rsid w:val="069A8A0B"/>
    <w:rsid w:val="06A07593"/>
    <w:rsid w:val="06A3DC78"/>
    <w:rsid w:val="06AA2C06"/>
    <w:rsid w:val="06B56A9B"/>
    <w:rsid w:val="06BF45FC"/>
    <w:rsid w:val="06C3952C"/>
    <w:rsid w:val="06CBB8A2"/>
    <w:rsid w:val="06CE9919"/>
    <w:rsid w:val="06D0A316"/>
    <w:rsid w:val="06D0CF93"/>
    <w:rsid w:val="06D4491D"/>
    <w:rsid w:val="06DD5D18"/>
    <w:rsid w:val="06DEE58B"/>
    <w:rsid w:val="06E06141"/>
    <w:rsid w:val="06E19CDF"/>
    <w:rsid w:val="06E221FF"/>
    <w:rsid w:val="06E275BB"/>
    <w:rsid w:val="06E41196"/>
    <w:rsid w:val="06E4FB9A"/>
    <w:rsid w:val="06E59D67"/>
    <w:rsid w:val="06E90D46"/>
    <w:rsid w:val="06EB28AD"/>
    <w:rsid w:val="06ED34DD"/>
    <w:rsid w:val="06F1A763"/>
    <w:rsid w:val="06F57A2A"/>
    <w:rsid w:val="06F78786"/>
    <w:rsid w:val="06F8B8EE"/>
    <w:rsid w:val="06FBEA58"/>
    <w:rsid w:val="06FC4A2F"/>
    <w:rsid w:val="06FE6D18"/>
    <w:rsid w:val="06FFC502"/>
    <w:rsid w:val="07064EE7"/>
    <w:rsid w:val="0709FDD4"/>
    <w:rsid w:val="070F2A01"/>
    <w:rsid w:val="0710253F"/>
    <w:rsid w:val="0717B2E1"/>
    <w:rsid w:val="071C4E62"/>
    <w:rsid w:val="071DA6DA"/>
    <w:rsid w:val="071DEA4C"/>
    <w:rsid w:val="071E7225"/>
    <w:rsid w:val="071EE3D5"/>
    <w:rsid w:val="0725B7A6"/>
    <w:rsid w:val="0725C2FB"/>
    <w:rsid w:val="0735B2A7"/>
    <w:rsid w:val="073B735F"/>
    <w:rsid w:val="073BA575"/>
    <w:rsid w:val="073BFA53"/>
    <w:rsid w:val="073CA8C7"/>
    <w:rsid w:val="073DE12D"/>
    <w:rsid w:val="0740A031"/>
    <w:rsid w:val="0744CF76"/>
    <w:rsid w:val="0746F295"/>
    <w:rsid w:val="0746FE74"/>
    <w:rsid w:val="0748F2B5"/>
    <w:rsid w:val="074BA224"/>
    <w:rsid w:val="074CA291"/>
    <w:rsid w:val="074F0B1B"/>
    <w:rsid w:val="07520710"/>
    <w:rsid w:val="07532C4D"/>
    <w:rsid w:val="0753DC91"/>
    <w:rsid w:val="0754C522"/>
    <w:rsid w:val="07550B7D"/>
    <w:rsid w:val="0757F1B4"/>
    <w:rsid w:val="075A00F5"/>
    <w:rsid w:val="075C13F0"/>
    <w:rsid w:val="075E611C"/>
    <w:rsid w:val="075F748F"/>
    <w:rsid w:val="0760478F"/>
    <w:rsid w:val="07616912"/>
    <w:rsid w:val="0761E6DB"/>
    <w:rsid w:val="0764374B"/>
    <w:rsid w:val="07647C40"/>
    <w:rsid w:val="07650899"/>
    <w:rsid w:val="076A1779"/>
    <w:rsid w:val="076C4B21"/>
    <w:rsid w:val="0771886E"/>
    <w:rsid w:val="07741D6A"/>
    <w:rsid w:val="07761D29"/>
    <w:rsid w:val="07773630"/>
    <w:rsid w:val="077A3218"/>
    <w:rsid w:val="077C537D"/>
    <w:rsid w:val="077DDA17"/>
    <w:rsid w:val="0781465A"/>
    <w:rsid w:val="078BAE49"/>
    <w:rsid w:val="07925E34"/>
    <w:rsid w:val="079E0194"/>
    <w:rsid w:val="07A04516"/>
    <w:rsid w:val="07A07BFA"/>
    <w:rsid w:val="07A437F3"/>
    <w:rsid w:val="07A8E19B"/>
    <w:rsid w:val="07A9F389"/>
    <w:rsid w:val="07AAADDF"/>
    <w:rsid w:val="07ACD251"/>
    <w:rsid w:val="07ACD314"/>
    <w:rsid w:val="07B05EE5"/>
    <w:rsid w:val="07B1D8D7"/>
    <w:rsid w:val="07B20754"/>
    <w:rsid w:val="07B297B5"/>
    <w:rsid w:val="07BD2497"/>
    <w:rsid w:val="07C032E3"/>
    <w:rsid w:val="07C1D527"/>
    <w:rsid w:val="07C21160"/>
    <w:rsid w:val="07C268BB"/>
    <w:rsid w:val="07C42BB0"/>
    <w:rsid w:val="07C6E6D7"/>
    <w:rsid w:val="07C8B9F1"/>
    <w:rsid w:val="07CE9836"/>
    <w:rsid w:val="07D11017"/>
    <w:rsid w:val="07D4DC35"/>
    <w:rsid w:val="07D62F26"/>
    <w:rsid w:val="07DAA001"/>
    <w:rsid w:val="07DC0A58"/>
    <w:rsid w:val="07DC245E"/>
    <w:rsid w:val="07E09CC3"/>
    <w:rsid w:val="07E8FA07"/>
    <w:rsid w:val="07EA4EB7"/>
    <w:rsid w:val="07EC7FBC"/>
    <w:rsid w:val="07ED5D00"/>
    <w:rsid w:val="07F4CCD5"/>
    <w:rsid w:val="07F59AF8"/>
    <w:rsid w:val="07F87926"/>
    <w:rsid w:val="08023104"/>
    <w:rsid w:val="08043829"/>
    <w:rsid w:val="0806F8D2"/>
    <w:rsid w:val="0808F721"/>
    <w:rsid w:val="080957C9"/>
    <w:rsid w:val="080F59AE"/>
    <w:rsid w:val="081908CD"/>
    <w:rsid w:val="081A9F6F"/>
    <w:rsid w:val="081E2F57"/>
    <w:rsid w:val="081F2264"/>
    <w:rsid w:val="08217385"/>
    <w:rsid w:val="08233A3F"/>
    <w:rsid w:val="08240C09"/>
    <w:rsid w:val="08242FC8"/>
    <w:rsid w:val="082B42F8"/>
    <w:rsid w:val="082B5FE0"/>
    <w:rsid w:val="082E38CC"/>
    <w:rsid w:val="08395EC2"/>
    <w:rsid w:val="0839B4AD"/>
    <w:rsid w:val="083AAD60"/>
    <w:rsid w:val="083D8F2E"/>
    <w:rsid w:val="083E3C75"/>
    <w:rsid w:val="083E7390"/>
    <w:rsid w:val="083EA5A4"/>
    <w:rsid w:val="08521A87"/>
    <w:rsid w:val="08536123"/>
    <w:rsid w:val="085B3380"/>
    <w:rsid w:val="085E3875"/>
    <w:rsid w:val="085EDE13"/>
    <w:rsid w:val="08613899"/>
    <w:rsid w:val="086202E2"/>
    <w:rsid w:val="0864F30C"/>
    <w:rsid w:val="086956E9"/>
    <w:rsid w:val="086EFF1D"/>
    <w:rsid w:val="0870C0FC"/>
    <w:rsid w:val="08728CF3"/>
    <w:rsid w:val="08733E3F"/>
    <w:rsid w:val="0874271D"/>
    <w:rsid w:val="0874BA18"/>
    <w:rsid w:val="0875A634"/>
    <w:rsid w:val="087C0132"/>
    <w:rsid w:val="087C55E9"/>
    <w:rsid w:val="087CE0D4"/>
    <w:rsid w:val="087D43BC"/>
    <w:rsid w:val="087F2EFC"/>
    <w:rsid w:val="0883FCDF"/>
    <w:rsid w:val="0885C995"/>
    <w:rsid w:val="088B54AE"/>
    <w:rsid w:val="088DE72B"/>
    <w:rsid w:val="08945CE7"/>
    <w:rsid w:val="0895E486"/>
    <w:rsid w:val="08983FC1"/>
    <w:rsid w:val="08984F2B"/>
    <w:rsid w:val="089A8784"/>
    <w:rsid w:val="089D29B6"/>
    <w:rsid w:val="089D3E2D"/>
    <w:rsid w:val="08A0B0EA"/>
    <w:rsid w:val="08A1EB15"/>
    <w:rsid w:val="08A2402F"/>
    <w:rsid w:val="08A440A9"/>
    <w:rsid w:val="08B15B46"/>
    <w:rsid w:val="08B3602C"/>
    <w:rsid w:val="08B4DDFD"/>
    <w:rsid w:val="08B5F63C"/>
    <w:rsid w:val="08B99EBA"/>
    <w:rsid w:val="08BB54E8"/>
    <w:rsid w:val="08C0EF81"/>
    <w:rsid w:val="08C4620B"/>
    <w:rsid w:val="08C5CD17"/>
    <w:rsid w:val="08C6C2E3"/>
    <w:rsid w:val="08D117D0"/>
    <w:rsid w:val="08D27F0D"/>
    <w:rsid w:val="08D4C66C"/>
    <w:rsid w:val="08D6BB06"/>
    <w:rsid w:val="08D7949A"/>
    <w:rsid w:val="08DA5E52"/>
    <w:rsid w:val="08DAA0F8"/>
    <w:rsid w:val="08DB59A9"/>
    <w:rsid w:val="08DC28C9"/>
    <w:rsid w:val="08DD26F1"/>
    <w:rsid w:val="08E2A907"/>
    <w:rsid w:val="08E71C66"/>
    <w:rsid w:val="08E74B47"/>
    <w:rsid w:val="08E97CB8"/>
    <w:rsid w:val="08EBBF6E"/>
    <w:rsid w:val="08EBEFF8"/>
    <w:rsid w:val="08F05B08"/>
    <w:rsid w:val="08F05FD9"/>
    <w:rsid w:val="08F17586"/>
    <w:rsid w:val="08F20539"/>
    <w:rsid w:val="08F2242D"/>
    <w:rsid w:val="08F270E7"/>
    <w:rsid w:val="08F373A8"/>
    <w:rsid w:val="08F5E254"/>
    <w:rsid w:val="08F6E08F"/>
    <w:rsid w:val="08F7D001"/>
    <w:rsid w:val="08FB4DCA"/>
    <w:rsid w:val="08FD19B0"/>
    <w:rsid w:val="08FE1B3B"/>
    <w:rsid w:val="09001B05"/>
    <w:rsid w:val="0901F34F"/>
    <w:rsid w:val="090360C1"/>
    <w:rsid w:val="09071B14"/>
    <w:rsid w:val="090A2438"/>
    <w:rsid w:val="090B6CD5"/>
    <w:rsid w:val="0913A5E5"/>
    <w:rsid w:val="09178662"/>
    <w:rsid w:val="09197EA0"/>
    <w:rsid w:val="091ABDD3"/>
    <w:rsid w:val="091B5325"/>
    <w:rsid w:val="091E1338"/>
    <w:rsid w:val="092015CC"/>
    <w:rsid w:val="0925DC9A"/>
    <w:rsid w:val="0927538B"/>
    <w:rsid w:val="09279689"/>
    <w:rsid w:val="0927BD9B"/>
    <w:rsid w:val="09282252"/>
    <w:rsid w:val="092862E6"/>
    <w:rsid w:val="092AD4BA"/>
    <w:rsid w:val="092E64A1"/>
    <w:rsid w:val="09355B58"/>
    <w:rsid w:val="093701EA"/>
    <w:rsid w:val="093BC852"/>
    <w:rsid w:val="093D01AF"/>
    <w:rsid w:val="093D2711"/>
    <w:rsid w:val="09400AF5"/>
    <w:rsid w:val="09450370"/>
    <w:rsid w:val="094B9E31"/>
    <w:rsid w:val="0954C870"/>
    <w:rsid w:val="095622F0"/>
    <w:rsid w:val="0959505B"/>
    <w:rsid w:val="095BB2DE"/>
    <w:rsid w:val="095EDA94"/>
    <w:rsid w:val="095F507C"/>
    <w:rsid w:val="095F7369"/>
    <w:rsid w:val="09611890"/>
    <w:rsid w:val="0963641B"/>
    <w:rsid w:val="09666693"/>
    <w:rsid w:val="0967AC1F"/>
    <w:rsid w:val="096BBEEA"/>
    <w:rsid w:val="096EBF65"/>
    <w:rsid w:val="096F3D1E"/>
    <w:rsid w:val="09706689"/>
    <w:rsid w:val="09720419"/>
    <w:rsid w:val="0974CC24"/>
    <w:rsid w:val="097F735E"/>
    <w:rsid w:val="09838ED1"/>
    <w:rsid w:val="09843FD7"/>
    <w:rsid w:val="09862E6E"/>
    <w:rsid w:val="09881E6B"/>
    <w:rsid w:val="098E177C"/>
    <w:rsid w:val="0992C630"/>
    <w:rsid w:val="09950C38"/>
    <w:rsid w:val="0999A1E4"/>
    <w:rsid w:val="099DDE31"/>
    <w:rsid w:val="09A06AA0"/>
    <w:rsid w:val="09A06C91"/>
    <w:rsid w:val="09A071AE"/>
    <w:rsid w:val="09A2BD49"/>
    <w:rsid w:val="09A8450C"/>
    <w:rsid w:val="09A8591C"/>
    <w:rsid w:val="09AA489C"/>
    <w:rsid w:val="09ABDF3B"/>
    <w:rsid w:val="09AD45BE"/>
    <w:rsid w:val="09AFBEA5"/>
    <w:rsid w:val="09B3CAB2"/>
    <w:rsid w:val="09B4C114"/>
    <w:rsid w:val="09BAFD1E"/>
    <w:rsid w:val="09BB82E2"/>
    <w:rsid w:val="09BEB49E"/>
    <w:rsid w:val="09BEF9EC"/>
    <w:rsid w:val="09C1FC49"/>
    <w:rsid w:val="09C5EE72"/>
    <w:rsid w:val="09D018DC"/>
    <w:rsid w:val="09D7A776"/>
    <w:rsid w:val="09D80C8E"/>
    <w:rsid w:val="09D9FD96"/>
    <w:rsid w:val="09DECFEE"/>
    <w:rsid w:val="09E125FE"/>
    <w:rsid w:val="09E83083"/>
    <w:rsid w:val="09E95E9E"/>
    <w:rsid w:val="09EF2476"/>
    <w:rsid w:val="09EFA006"/>
    <w:rsid w:val="09FB627B"/>
    <w:rsid w:val="0A0339C9"/>
    <w:rsid w:val="0A09B852"/>
    <w:rsid w:val="0A0E6357"/>
    <w:rsid w:val="0A0FB989"/>
    <w:rsid w:val="0A15A2D3"/>
    <w:rsid w:val="0A15F4FA"/>
    <w:rsid w:val="0A163F48"/>
    <w:rsid w:val="0A17D9F4"/>
    <w:rsid w:val="0A1E4999"/>
    <w:rsid w:val="0A2164FD"/>
    <w:rsid w:val="0A24478B"/>
    <w:rsid w:val="0A2BED78"/>
    <w:rsid w:val="0A2ED417"/>
    <w:rsid w:val="0A2EDFC1"/>
    <w:rsid w:val="0A2F1390"/>
    <w:rsid w:val="0A30F282"/>
    <w:rsid w:val="0A33E2CB"/>
    <w:rsid w:val="0A3578C0"/>
    <w:rsid w:val="0A3780D5"/>
    <w:rsid w:val="0A37FC17"/>
    <w:rsid w:val="0A3ABD1C"/>
    <w:rsid w:val="0A448556"/>
    <w:rsid w:val="0A452EFA"/>
    <w:rsid w:val="0A4BDA79"/>
    <w:rsid w:val="0A4BFBA9"/>
    <w:rsid w:val="0A4E2B4C"/>
    <w:rsid w:val="0A4EB554"/>
    <w:rsid w:val="0A4F1924"/>
    <w:rsid w:val="0A54BD67"/>
    <w:rsid w:val="0A55A5DC"/>
    <w:rsid w:val="0A58E6CC"/>
    <w:rsid w:val="0A59F4D7"/>
    <w:rsid w:val="0A5CA8C6"/>
    <w:rsid w:val="0A63D5E3"/>
    <w:rsid w:val="0A651277"/>
    <w:rsid w:val="0A6A3F9B"/>
    <w:rsid w:val="0A6A4FFB"/>
    <w:rsid w:val="0A7082D6"/>
    <w:rsid w:val="0A71C860"/>
    <w:rsid w:val="0A721234"/>
    <w:rsid w:val="0A7A4DB0"/>
    <w:rsid w:val="0A87153F"/>
    <w:rsid w:val="0A87EAF9"/>
    <w:rsid w:val="0A888F1E"/>
    <w:rsid w:val="0A889213"/>
    <w:rsid w:val="0A88AAA6"/>
    <w:rsid w:val="0A941176"/>
    <w:rsid w:val="0A957543"/>
    <w:rsid w:val="0A98E233"/>
    <w:rsid w:val="0A9C28C2"/>
    <w:rsid w:val="0AA349E1"/>
    <w:rsid w:val="0AADA4ED"/>
    <w:rsid w:val="0AB30DF4"/>
    <w:rsid w:val="0AB40BC4"/>
    <w:rsid w:val="0AB4F978"/>
    <w:rsid w:val="0AB90CA1"/>
    <w:rsid w:val="0ABDA886"/>
    <w:rsid w:val="0AC14077"/>
    <w:rsid w:val="0AC29447"/>
    <w:rsid w:val="0AC71D36"/>
    <w:rsid w:val="0ACC9FB1"/>
    <w:rsid w:val="0ACFA52D"/>
    <w:rsid w:val="0AD43FF4"/>
    <w:rsid w:val="0AD48BCF"/>
    <w:rsid w:val="0AD7D353"/>
    <w:rsid w:val="0ADCA350"/>
    <w:rsid w:val="0ADE6663"/>
    <w:rsid w:val="0ADE6FE5"/>
    <w:rsid w:val="0AE419EF"/>
    <w:rsid w:val="0AE480A0"/>
    <w:rsid w:val="0AE8B170"/>
    <w:rsid w:val="0AED59C4"/>
    <w:rsid w:val="0AF1560C"/>
    <w:rsid w:val="0AF5F5E0"/>
    <w:rsid w:val="0AF90896"/>
    <w:rsid w:val="0AFAA038"/>
    <w:rsid w:val="0AFB52A9"/>
    <w:rsid w:val="0B0A237F"/>
    <w:rsid w:val="0B0ADE77"/>
    <w:rsid w:val="0B0AF912"/>
    <w:rsid w:val="0B0CDD03"/>
    <w:rsid w:val="0B0E7BA2"/>
    <w:rsid w:val="0B10FDD8"/>
    <w:rsid w:val="0B1D7326"/>
    <w:rsid w:val="0B1D79E8"/>
    <w:rsid w:val="0B1D93F0"/>
    <w:rsid w:val="0B1FACB9"/>
    <w:rsid w:val="0B22C490"/>
    <w:rsid w:val="0B22C7E4"/>
    <w:rsid w:val="0B27FD6F"/>
    <w:rsid w:val="0B3321DA"/>
    <w:rsid w:val="0B370086"/>
    <w:rsid w:val="0B385668"/>
    <w:rsid w:val="0B395810"/>
    <w:rsid w:val="0B3A1600"/>
    <w:rsid w:val="0B41E413"/>
    <w:rsid w:val="0B4B6FE3"/>
    <w:rsid w:val="0B4ED528"/>
    <w:rsid w:val="0B4FE8B8"/>
    <w:rsid w:val="0B5642EE"/>
    <w:rsid w:val="0B5C5A7C"/>
    <w:rsid w:val="0B5EDF4B"/>
    <w:rsid w:val="0B615BFB"/>
    <w:rsid w:val="0B644587"/>
    <w:rsid w:val="0B6CBD96"/>
    <w:rsid w:val="0B6E15D8"/>
    <w:rsid w:val="0B781540"/>
    <w:rsid w:val="0B84BCD6"/>
    <w:rsid w:val="0B858DD2"/>
    <w:rsid w:val="0B8B2C1B"/>
    <w:rsid w:val="0B8CCCA5"/>
    <w:rsid w:val="0B90817E"/>
    <w:rsid w:val="0B941752"/>
    <w:rsid w:val="0B9CA014"/>
    <w:rsid w:val="0BA109E9"/>
    <w:rsid w:val="0BA37549"/>
    <w:rsid w:val="0BA433C3"/>
    <w:rsid w:val="0BA4703F"/>
    <w:rsid w:val="0BA963DA"/>
    <w:rsid w:val="0BAA1FD8"/>
    <w:rsid w:val="0BAA2E78"/>
    <w:rsid w:val="0BAC319B"/>
    <w:rsid w:val="0BAE5AC5"/>
    <w:rsid w:val="0BAEFB0D"/>
    <w:rsid w:val="0BB38EAC"/>
    <w:rsid w:val="0BB957B0"/>
    <w:rsid w:val="0BB9C12F"/>
    <w:rsid w:val="0BB9E0B1"/>
    <w:rsid w:val="0BBDD2B3"/>
    <w:rsid w:val="0BBEB864"/>
    <w:rsid w:val="0BC0F2CF"/>
    <w:rsid w:val="0BC182C9"/>
    <w:rsid w:val="0BC1E2B4"/>
    <w:rsid w:val="0BC218B4"/>
    <w:rsid w:val="0BC27B05"/>
    <w:rsid w:val="0BC450ED"/>
    <w:rsid w:val="0BC63850"/>
    <w:rsid w:val="0BC763EC"/>
    <w:rsid w:val="0BC9325B"/>
    <w:rsid w:val="0BC95361"/>
    <w:rsid w:val="0BCE81E0"/>
    <w:rsid w:val="0BD53B39"/>
    <w:rsid w:val="0BDDF386"/>
    <w:rsid w:val="0BE1F8A1"/>
    <w:rsid w:val="0BE8F78D"/>
    <w:rsid w:val="0BEC35F5"/>
    <w:rsid w:val="0BECDBEA"/>
    <w:rsid w:val="0BF31010"/>
    <w:rsid w:val="0BF6FB92"/>
    <w:rsid w:val="0BFB03CA"/>
    <w:rsid w:val="0BFCA525"/>
    <w:rsid w:val="0C00DFB8"/>
    <w:rsid w:val="0C0A592E"/>
    <w:rsid w:val="0C0AE871"/>
    <w:rsid w:val="0C0C6743"/>
    <w:rsid w:val="0C0DABED"/>
    <w:rsid w:val="0C13132D"/>
    <w:rsid w:val="0C149231"/>
    <w:rsid w:val="0C161E11"/>
    <w:rsid w:val="0C16D943"/>
    <w:rsid w:val="0C1763EC"/>
    <w:rsid w:val="0C19467C"/>
    <w:rsid w:val="0C1F2C13"/>
    <w:rsid w:val="0C29748A"/>
    <w:rsid w:val="0C29B765"/>
    <w:rsid w:val="0C2BB525"/>
    <w:rsid w:val="0C34A697"/>
    <w:rsid w:val="0C3785E6"/>
    <w:rsid w:val="0C39DB33"/>
    <w:rsid w:val="0C3F0B2F"/>
    <w:rsid w:val="0C45A1ED"/>
    <w:rsid w:val="0C4E1D62"/>
    <w:rsid w:val="0C51C3BD"/>
    <w:rsid w:val="0C5921B2"/>
    <w:rsid w:val="0C5AB7E5"/>
    <w:rsid w:val="0C5ADCF0"/>
    <w:rsid w:val="0C5FCB36"/>
    <w:rsid w:val="0C687012"/>
    <w:rsid w:val="0C689262"/>
    <w:rsid w:val="0C68C4ED"/>
    <w:rsid w:val="0C6B2DEA"/>
    <w:rsid w:val="0C6D028A"/>
    <w:rsid w:val="0C6FF3A9"/>
    <w:rsid w:val="0C703B74"/>
    <w:rsid w:val="0C71F858"/>
    <w:rsid w:val="0C775A2F"/>
    <w:rsid w:val="0C77910D"/>
    <w:rsid w:val="0C7AC72B"/>
    <w:rsid w:val="0C7BB42C"/>
    <w:rsid w:val="0C8058E7"/>
    <w:rsid w:val="0C80722B"/>
    <w:rsid w:val="0C873F63"/>
    <w:rsid w:val="0C878796"/>
    <w:rsid w:val="0C88C756"/>
    <w:rsid w:val="0C8BAE25"/>
    <w:rsid w:val="0C8D628C"/>
    <w:rsid w:val="0C91CA21"/>
    <w:rsid w:val="0C927547"/>
    <w:rsid w:val="0C9276B2"/>
    <w:rsid w:val="0C935998"/>
    <w:rsid w:val="0C94C57C"/>
    <w:rsid w:val="0C95A827"/>
    <w:rsid w:val="0C96D980"/>
    <w:rsid w:val="0C9DA0D5"/>
    <w:rsid w:val="0CA08DD9"/>
    <w:rsid w:val="0CA1CBF0"/>
    <w:rsid w:val="0CA3EE03"/>
    <w:rsid w:val="0CA69A76"/>
    <w:rsid w:val="0CA853C5"/>
    <w:rsid w:val="0CAD7849"/>
    <w:rsid w:val="0CAFAF3E"/>
    <w:rsid w:val="0CB3899D"/>
    <w:rsid w:val="0CB7C013"/>
    <w:rsid w:val="0CBBC6A3"/>
    <w:rsid w:val="0CC2DF31"/>
    <w:rsid w:val="0CC3A13B"/>
    <w:rsid w:val="0CC777D3"/>
    <w:rsid w:val="0CC900F2"/>
    <w:rsid w:val="0CCBB94C"/>
    <w:rsid w:val="0CCC6800"/>
    <w:rsid w:val="0CCD3608"/>
    <w:rsid w:val="0CCDFE92"/>
    <w:rsid w:val="0CD26970"/>
    <w:rsid w:val="0CD3B04F"/>
    <w:rsid w:val="0CD443D2"/>
    <w:rsid w:val="0CD862E9"/>
    <w:rsid w:val="0CD9DD98"/>
    <w:rsid w:val="0CDD766B"/>
    <w:rsid w:val="0CE041BB"/>
    <w:rsid w:val="0CEBAE01"/>
    <w:rsid w:val="0CEC5B48"/>
    <w:rsid w:val="0CEC85C3"/>
    <w:rsid w:val="0CEE62F0"/>
    <w:rsid w:val="0CF2D181"/>
    <w:rsid w:val="0CF7773D"/>
    <w:rsid w:val="0CF97DD6"/>
    <w:rsid w:val="0CF99D0D"/>
    <w:rsid w:val="0CFE14FC"/>
    <w:rsid w:val="0CFF187A"/>
    <w:rsid w:val="0D05EEBE"/>
    <w:rsid w:val="0D0A0126"/>
    <w:rsid w:val="0D0D676D"/>
    <w:rsid w:val="0D0EBA9C"/>
    <w:rsid w:val="0D232CC6"/>
    <w:rsid w:val="0D23312B"/>
    <w:rsid w:val="0D264F4A"/>
    <w:rsid w:val="0D26D2C5"/>
    <w:rsid w:val="0D29B530"/>
    <w:rsid w:val="0D31CA81"/>
    <w:rsid w:val="0D335A03"/>
    <w:rsid w:val="0D33A0B0"/>
    <w:rsid w:val="0D34227A"/>
    <w:rsid w:val="0D3C4981"/>
    <w:rsid w:val="0D3D3C2D"/>
    <w:rsid w:val="0D3D50D3"/>
    <w:rsid w:val="0D3E6802"/>
    <w:rsid w:val="0D41F170"/>
    <w:rsid w:val="0D42919C"/>
    <w:rsid w:val="0D42A42C"/>
    <w:rsid w:val="0D42EE5E"/>
    <w:rsid w:val="0D48A1FD"/>
    <w:rsid w:val="0D49481A"/>
    <w:rsid w:val="0D527E06"/>
    <w:rsid w:val="0D5B4F35"/>
    <w:rsid w:val="0D5B8DBE"/>
    <w:rsid w:val="0D5D2CE0"/>
    <w:rsid w:val="0D62333F"/>
    <w:rsid w:val="0D635956"/>
    <w:rsid w:val="0D6E8C31"/>
    <w:rsid w:val="0D76C6B5"/>
    <w:rsid w:val="0D801605"/>
    <w:rsid w:val="0D83ABC1"/>
    <w:rsid w:val="0D8979E8"/>
    <w:rsid w:val="0D8C6FD7"/>
    <w:rsid w:val="0D8DB6B3"/>
    <w:rsid w:val="0D8EE6A5"/>
    <w:rsid w:val="0D922C9A"/>
    <w:rsid w:val="0D94C578"/>
    <w:rsid w:val="0D9587EE"/>
    <w:rsid w:val="0D99AFE7"/>
    <w:rsid w:val="0D9C367E"/>
    <w:rsid w:val="0DA27207"/>
    <w:rsid w:val="0DA2902C"/>
    <w:rsid w:val="0DA90D7F"/>
    <w:rsid w:val="0DAB3984"/>
    <w:rsid w:val="0DB00C49"/>
    <w:rsid w:val="0DB2FD66"/>
    <w:rsid w:val="0DB55EB3"/>
    <w:rsid w:val="0DB5C54F"/>
    <w:rsid w:val="0DB5F466"/>
    <w:rsid w:val="0DB7D2AE"/>
    <w:rsid w:val="0DC5B0A9"/>
    <w:rsid w:val="0DC6706B"/>
    <w:rsid w:val="0DC8B7B8"/>
    <w:rsid w:val="0DC949D5"/>
    <w:rsid w:val="0DCCF601"/>
    <w:rsid w:val="0DD0836C"/>
    <w:rsid w:val="0DD38F50"/>
    <w:rsid w:val="0DDCE8D3"/>
    <w:rsid w:val="0DE22F0B"/>
    <w:rsid w:val="0DEA9F1E"/>
    <w:rsid w:val="0DEFD15F"/>
    <w:rsid w:val="0DF245DD"/>
    <w:rsid w:val="0DF2ECA9"/>
    <w:rsid w:val="0DF4EE02"/>
    <w:rsid w:val="0DF82CAB"/>
    <w:rsid w:val="0DF85D4B"/>
    <w:rsid w:val="0E001D23"/>
    <w:rsid w:val="0E01A04E"/>
    <w:rsid w:val="0E023AE6"/>
    <w:rsid w:val="0E027D9D"/>
    <w:rsid w:val="0E02D560"/>
    <w:rsid w:val="0E124F95"/>
    <w:rsid w:val="0E12B15C"/>
    <w:rsid w:val="0E137DEF"/>
    <w:rsid w:val="0E1743FF"/>
    <w:rsid w:val="0E19D119"/>
    <w:rsid w:val="0E21FE0B"/>
    <w:rsid w:val="0E2331AC"/>
    <w:rsid w:val="0E305EAC"/>
    <w:rsid w:val="0E355577"/>
    <w:rsid w:val="0E39F800"/>
    <w:rsid w:val="0E4150FE"/>
    <w:rsid w:val="0E43F2DD"/>
    <w:rsid w:val="0E47017B"/>
    <w:rsid w:val="0E481760"/>
    <w:rsid w:val="0E49C49E"/>
    <w:rsid w:val="0E49E185"/>
    <w:rsid w:val="0E4A7E06"/>
    <w:rsid w:val="0E4BF40E"/>
    <w:rsid w:val="0E51EBB1"/>
    <w:rsid w:val="0E5854A9"/>
    <w:rsid w:val="0E5D13E7"/>
    <w:rsid w:val="0E5EB499"/>
    <w:rsid w:val="0E6EFCA6"/>
    <w:rsid w:val="0E710DEC"/>
    <w:rsid w:val="0E75F5FF"/>
    <w:rsid w:val="0E7838E2"/>
    <w:rsid w:val="0E78D844"/>
    <w:rsid w:val="0E7AD097"/>
    <w:rsid w:val="0E7F72A6"/>
    <w:rsid w:val="0E81B4BE"/>
    <w:rsid w:val="0E82F6D2"/>
    <w:rsid w:val="0E88F714"/>
    <w:rsid w:val="0E8A6AF5"/>
    <w:rsid w:val="0E8D25F7"/>
    <w:rsid w:val="0E8D7DE6"/>
    <w:rsid w:val="0E988390"/>
    <w:rsid w:val="0E9AA801"/>
    <w:rsid w:val="0E9B37C3"/>
    <w:rsid w:val="0E9C9A13"/>
    <w:rsid w:val="0E9DAF4C"/>
    <w:rsid w:val="0E9E1099"/>
    <w:rsid w:val="0E9EB8FD"/>
    <w:rsid w:val="0EA0EF03"/>
    <w:rsid w:val="0EA2AC09"/>
    <w:rsid w:val="0EA53BEC"/>
    <w:rsid w:val="0EA59F41"/>
    <w:rsid w:val="0EA5EDE0"/>
    <w:rsid w:val="0EAA6694"/>
    <w:rsid w:val="0EAD5B66"/>
    <w:rsid w:val="0EB59F70"/>
    <w:rsid w:val="0EB785CA"/>
    <w:rsid w:val="0EB978CE"/>
    <w:rsid w:val="0EBE13E5"/>
    <w:rsid w:val="0EBFF4B6"/>
    <w:rsid w:val="0EC070D5"/>
    <w:rsid w:val="0EC34FD8"/>
    <w:rsid w:val="0EC491F7"/>
    <w:rsid w:val="0EC7AC96"/>
    <w:rsid w:val="0EC899E8"/>
    <w:rsid w:val="0ECBFCED"/>
    <w:rsid w:val="0ECE1217"/>
    <w:rsid w:val="0ECE886A"/>
    <w:rsid w:val="0ED5D0D3"/>
    <w:rsid w:val="0ED62A83"/>
    <w:rsid w:val="0ED81F99"/>
    <w:rsid w:val="0ED86253"/>
    <w:rsid w:val="0ED9679C"/>
    <w:rsid w:val="0EE0CF1E"/>
    <w:rsid w:val="0EE74D33"/>
    <w:rsid w:val="0EEFAFC6"/>
    <w:rsid w:val="0EEFB30F"/>
    <w:rsid w:val="0EF8281F"/>
    <w:rsid w:val="0EFDF11D"/>
    <w:rsid w:val="0F03AA1C"/>
    <w:rsid w:val="0F04441E"/>
    <w:rsid w:val="0F06ABFF"/>
    <w:rsid w:val="0F072EE1"/>
    <w:rsid w:val="0F08CB3D"/>
    <w:rsid w:val="0F1273DD"/>
    <w:rsid w:val="0F1317A5"/>
    <w:rsid w:val="0F1B876E"/>
    <w:rsid w:val="0F1DF8A4"/>
    <w:rsid w:val="0F1ED44C"/>
    <w:rsid w:val="0F211DD1"/>
    <w:rsid w:val="0F21B82E"/>
    <w:rsid w:val="0F275FF4"/>
    <w:rsid w:val="0F294118"/>
    <w:rsid w:val="0F2B0DFA"/>
    <w:rsid w:val="0F2B7F1B"/>
    <w:rsid w:val="0F2C807C"/>
    <w:rsid w:val="0F2CAF33"/>
    <w:rsid w:val="0F2DEE10"/>
    <w:rsid w:val="0F2E564F"/>
    <w:rsid w:val="0F2F5713"/>
    <w:rsid w:val="0F2F77BD"/>
    <w:rsid w:val="0F32EF9B"/>
    <w:rsid w:val="0F33478F"/>
    <w:rsid w:val="0F358052"/>
    <w:rsid w:val="0F370963"/>
    <w:rsid w:val="0F39103E"/>
    <w:rsid w:val="0F3C5D5B"/>
    <w:rsid w:val="0F3FDC24"/>
    <w:rsid w:val="0F42B556"/>
    <w:rsid w:val="0F42FC7D"/>
    <w:rsid w:val="0F448738"/>
    <w:rsid w:val="0F486438"/>
    <w:rsid w:val="0F4F811A"/>
    <w:rsid w:val="0F558150"/>
    <w:rsid w:val="0F5E9433"/>
    <w:rsid w:val="0F612C66"/>
    <w:rsid w:val="0F653167"/>
    <w:rsid w:val="0F66C89C"/>
    <w:rsid w:val="0F6A99A7"/>
    <w:rsid w:val="0F6BB1D5"/>
    <w:rsid w:val="0F738092"/>
    <w:rsid w:val="0F76A4DC"/>
    <w:rsid w:val="0F76C3B8"/>
    <w:rsid w:val="0F7C40D1"/>
    <w:rsid w:val="0F7E36FE"/>
    <w:rsid w:val="0F838603"/>
    <w:rsid w:val="0F88E82B"/>
    <w:rsid w:val="0F894B9A"/>
    <w:rsid w:val="0F8DE60E"/>
    <w:rsid w:val="0F93B250"/>
    <w:rsid w:val="0F94757E"/>
    <w:rsid w:val="0F993534"/>
    <w:rsid w:val="0F9CA9B8"/>
    <w:rsid w:val="0FA60F3E"/>
    <w:rsid w:val="0FA999DA"/>
    <w:rsid w:val="0FAA9E5D"/>
    <w:rsid w:val="0FAAF669"/>
    <w:rsid w:val="0FAEB03B"/>
    <w:rsid w:val="0FAFC08B"/>
    <w:rsid w:val="0FB32AA5"/>
    <w:rsid w:val="0FB3ABD3"/>
    <w:rsid w:val="0FB89A9F"/>
    <w:rsid w:val="0FBA4922"/>
    <w:rsid w:val="0FBCB0C3"/>
    <w:rsid w:val="0FBE2052"/>
    <w:rsid w:val="0FBF14CD"/>
    <w:rsid w:val="0FBFAD7B"/>
    <w:rsid w:val="0FC0C3E1"/>
    <w:rsid w:val="0FC22CE8"/>
    <w:rsid w:val="0FC500FE"/>
    <w:rsid w:val="0FC9E0AD"/>
    <w:rsid w:val="0FC9F870"/>
    <w:rsid w:val="0FCD8961"/>
    <w:rsid w:val="0FD37D74"/>
    <w:rsid w:val="0FD3AB60"/>
    <w:rsid w:val="0FDEEBAD"/>
    <w:rsid w:val="0FE14CA3"/>
    <w:rsid w:val="0FE63065"/>
    <w:rsid w:val="0FE7EC62"/>
    <w:rsid w:val="0FE80C37"/>
    <w:rsid w:val="0FE866D8"/>
    <w:rsid w:val="0FED2550"/>
    <w:rsid w:val="0FEE7FC3"/>
    <w:rsid w:val="0FF79DE6"/>
    <w:rsid w:val="0FF85A79"/>
    <w:rsid w:val="0FFB1E22"/>
    <w:rsid w:val="100301AD"/>
    <w:rsid w:val="10037737"/>
    <w:rsid w:val="1005ACA1"/>
    <w:rsid w:val="100A6E91"/>
    <w:rsid w:val="1016CC96"/>
    <w:rsid w:val="101AB237"/>
    <w:rsid w:val="101B8196"/>
    <w:rsid w:val="1022305B"/>
    <w:rsid w:val="1028E938"/>
    <w:rsid w:val="102A0F30"/>
    <w:rsid w:val="102B96F2"/>
    <w:rsid w:val="102E777D"/>
    <w:rsid w:val="1033478D"/>
    <w:rsid w:val="103683AF"/>
    <w:rsid w:val="103D8B13"/>
    <w:rsid w:val="103EE0BC"/>
    <w:rsid w:val="104728A5"/>
    <w:rsid w:val="1049BF64"/>
    <w:rsid w:val="104E039C"/>
    <w:rsid w:val="104E838F"/>
    <w:rsid w:val="105605BC"/>
    <w:rsid w:val="105B0C5D"/>
    <w:rsid w:val="105BD954"/>
    <w:rsid w:val="106137BE"/>
    <w:rsid w:val="10651D43"/>
    <w:rsid w:val="1065D450"/>
    <w:rsid w:val="1067730E"/>
    <w:rsid w:val="10685FFA"/>
    <w:rsid w:val="1068CC9A"/>
    <w:rsid w:val="10696B43"/>
    <w:rsid w:val="1071416F"/>
    <w:rsid w:val="107288D6"/>
    <w:rsid w:val="1075CF9F"/>
    <w:rsid w:val="1078B653"/>
    <w:rsid w:val="107C7975"/>
    <w:rsid w:val="107D43B5"/>
    <w:rsid w:val="107D590A"/>
    <w:rsid w:val="10814D2F"/>
    <w:rsid w:val="10873AC2"/>
    <w:rsid w:val="108C4A36"/>
    <w:rsid w:val="108C9946"/>
    <w:rsid w:val="108F9C03"/>
    <w:rsid w:val="1092AA49"/>
    <w:rsid w:val="109A3943"/>
    <w:rsid w:val="109D5A96"/>
    <w:rsid w:val="109E8E06"/>
    <w:rsid w:val="10A01C37"/>
    <w:rsid w:val="10A335D2"/>
    <w:rsid w:val="10A3FFFA"/>
    <w:rsid w:val="10A4FAB9"/>
    <w:rsid w:val="10AA6F37"/>
    <w:rsid w:val="10AD4D0A"/>
    <w:rsid w:val="10AFA9DA"/>
    <w:rsid w:val="10AFF14B"/>
    <w:rsid w:val="10B16650"/>
    <w:rsid w:val="10B19FB5"/>
    <w:rsid w:val="10B21583"/>
    <w:rsid w:val="10B3BC18"/>
    <w:rsid w:val="10BAA30D"/>
    <w:rsid w:val="10C1818A"/>
    <w:rsid w:val="10C3A026"/>
    <w:rsid w:val="10C3D073"/>
    <w:rsid w:val="10C40394"/>
    <w:rsid w:val="10C66677"/>
    <w:rsid w:val="10C78D68"/>
    <w:rsid w:val="10CC3EBB"/>
    <w:rsid w:val="10D19231"/>
    <w:rsid w:val="10D33260"/>
    <w:rsid w:val="10D372F7"/>
    <w:rsid w:val="10D47CD6"/>
    <w:rsid w:val="10D7E84C"/>
    <w:rsid w:val="10D9E6A2"/>
    <w:rsid w:val="10DA0997"/>
    <w:rsid w:val="10DA6943"/>
    <w:rsid w:val="10DD1FA8"/>
    <w:rsid w:val="10DFC45A"/>
    <w:rsid w:val="10E2DC6C"/>
    <w:rsid w:val="10EB5C93"/>
    <w:rsid w:val="10EC9A88"/>
    <w:rsid w:val="10F18567"/>
    <w:rsid w:val="10F45415"/>
    <w:rsid w:val="10F615C1"/>
    <w:rsid w:val="10FA09A1"/>
    <w:rsid w:val="10FC0F3D"/>
    <w:rsid w:val="1102E54D"/>
    <w:rsid w:val="110346BE"/>
    <w:rsid w:val="1107427B"/>
    <w:rsid w:val="110971A5"/>
    <w:rsid w:val="110AD79F"/>
    <w:rsid w:val="110F97BB"/>
    <w:rsid w:val="110FC4C4"/>
    <w:rsid w:val="11103BF5"/>
    <w:rsid w:val="1111FF67"/>
    <w:rsid w:val="1113383F"/>
    <w:rsid w:val="11170ECF"/>
    <w:rsid w:val="111B430B"/>
    <w:rsid w:val="111B85DD"/>
    <w:rsid w:val="111C6C49"/>
    <w:rsid w:val="111E82E6"/>
    <w:rsid w:val="112524D6"/>
    <w:rsid w:val="11253B2E"/>
    <w:rsid w:val="11294B4A"/>
    <w:rsid w:val="1129F759"/>
    <w:rsid w:val="112BBC5F"/>
    <w:rsid w:val="112D4334"/>
    <w:rsid w:val="112E0558"/>
    <w:rsid w:val="11309613"/>
    <w:rsid w:val="1131056B"/>
    <w:rsid w:val="1135C4F2"/>
    <w:rsid w:val="11403D6E"/>
    <w:rsid w:val="1141BE64"/>
    <w:rsid w:val="1145A7CE"/>
    <w:rsid w:val="1145C399"/>
    <w:rsid w:val="11476BD6"/>
    <w:rsid w:val="1147DED7"/>
    <w:rsid w:val="1147EBCE"/>
    <w:rsid w:val="1148AA42"/>
    <w:rsid w:val="11492A3F"/>
    <w:rsid w:val="114A26CF"/>
    <w:rsid w:val="114A4C95"/>
    <w:rsid w:val="114CDCE7"/>
    <w:rsid w:val="114D8B75"/>
    <w:rsid w:val="114DE8F9"/>
    <w:rsid w:val="114E3857"/>
    <w:rsid w:val="115749C2"/>
    <w:rsid w:val="115BDA28"/>
    <w:rsid w:val="115F254C"/>
    <w:rsid w:val="115FC545"/>
    <w:rsid w:val="11614D4A"/>
    <w:rsid w:val="116AB17E"/>
    <w:rsid w:val="11777223"/>
    <w:rsid w:val="1178EBC6"/>
    <w:rsid w:val="1179CA4C"/>
    <w:rsid w:val="117CCE59"/>
    <w:rsid w:val="117F0FB8"/>
    <w:rsid w:val="118C354B"/>
    <w:rsid w:val="118DD310"/>
    <w:rsid w:val="118E4F48"/>
    <w:rsid w:val="11907217"/>
    <w:rsid w:val="1190A3D7"/>
    <w:rsid w:val="1195A1DE"/>
    <w:rsid w:val="11982F83"/>
    <w:rsid w:val="119A148C"/>
    <w:rsid w:val="119D20B9"/>
    <w:rsid w:val="11A0B739"/>
    <w:rsid w:val="11A1DFBD"/>
    <w:rsid w:val="11A3ADAF"/>
    <w:rsid w:val="11A3D8C4"/>
    <w:rsid w:val="11A5C5B2"/>
    <w:rsid w:val="11B11CED"/>
    <w:rsid w:val="11B1574A"/>
    <w:rsid w:val="11B8C7D6"/>
    <w:rsid w:val="11BE393D"/>
    <w:rsid w:val="11BFEB13"/>
    <w:rsid w:val="11C2A19A"/>
    <w:rsid w:val="11CB10DA"/>
    <w:rsid w:val="11D36522"/>
    <w:rsid w:val="11D9F50E"/>
    <w:rsid w:val="11DA344C"/>
    <w:rsid w:val="11DDF42E"/>
    <w:rsid w:val="11E8811C"/>
    <w:rsid w:val="11ED617C"/>
    <w:rsid w:val="11EEF248"/>
    <w:rsid w:val="11EF9300"/>
    <w:rsid w:val="11F0F61D"/>
    <w:rsid w:val="11F1DFF6"/>
    <w:rsid w:val="11F88FD7"/>
    <w:rsid w:val="11FEED3A"/>
    <w:rsid w:val="12048014"/>
    <w:rsid w:val="1208390B"/>
    <w:rsid w:val="1209FE09"/>
    <w:rsid w:val="120AD1A3"/>
    <w:rsid w:val="120CDB88"/>
    <w:rsid w:val="120E2450"/>
    <w:rsid w:val="121158A4"/>
    <w:rsid w:val="12129F58"/>
    <w:rsid w:val="1214A2A5"/>
    <w:rsid w:val="1215AC02"/>
    <w:rsid w:val="12174DB7"/>
    <w:rsid w:val="121CA18D"/>
    <w:rsid w:val="12235946"/>
    <w:rsid w:val="1224EF27"/>
    <w:rsid w:val="12283824"/>
    <w:rsid w:val="12298FCB"/>
    <w:rsid w:val="122C2615"/>
    <w:rsid w:val="122FC613"/>
    <w:rsid w:val="12328B22"/>
    <w:rsid w:val="1234088E"/>
    <w:rsid w:val="12368C6D"/>
    <w:rsid w:val="123841DC"/>
    <w:rsid w:val="123A04C1"/>
    <w:rsid w:val="123EC753"/>
    <w:rsid w:val="12412EB7"/>
    <w:rsid w:val="124880C1"/>
    <w:rsid w:val="1248E148"/>
    <w:rsid w:val="124F8F92"/>
    <w:rsid w:val="124FD72A"/>
    <w:rsid w:val="12554D90"/>
    <w:rsid w:val="12586DBB"/>
    <w:rsid w:val="12648E51"/>
    <w:rsid w:val="1264C4FF"/>
    <w:rsid w:val="1265D91A"/>
    <w:rsid w:val="1266B49F"/>
    <w:rsid w:val="1266D8F0"/>
    <w:rsid w:val="127B3AE2"/>
    <w:rsid w:val="127CE99B"/>
    <w:rsid w:val="1284EB19"/>
    <w:rsid w:val="128A3B63"/>
    <w:rsid w:val="128A8258"/>
    <w:rsid w:val="128B5C82"/>
    <w:rsid w:val="128B71C4"/>
    <w:rsid w:val="128D3B06"/>
    <w:rsid w:val="128F9E1D"/>
    <w:rsid w:val="129477DE"/>
    <w:rsid w:val="1294C1FD"/>
    <w:rsid w:val="12970590"/>
    <w:rsid w:val="12978634"/>
    <w:rsid w:val="1298DC9F"/>
    <w:rsid w:val="1299A133"/>
    <w:rsid w:val="129FF2A1"/>
    <w:rsid w:val="12A06724"/>
    <w:rsid w:val="12A2CE99"/>
    <w:rsid w:val="12A9FFD3"/>
    <w:rsid w:val="12AB882F"/>
    <w:rsid w:val="12AD4C1D"/>
    <w:rsid w:val="12ADAE8F"/>
    <w:rsid w:val="12AE86AB"/>
    <w:rsid w:val="12AF26BE"/>
    <w:rsid w:val="12B21A6C"/>
    <w:rsid w:val="12B40EEC"/>
    <w:rsid w:val="12B614F3"/>
    <w:rsid w:val="12B735F0"/>
    <w:rsid w:val="12B7B547"/>
    <w:rsid w:val="12B88867"/>
    <w:rsid w:val="12BA5347"/>
    <w:rsid w:val="12C1B18F"/>
    <w:rsid w:val="12C2CD38"/>
    <w:rsid w:val="12C44D20"/>
    <w:rsid w:val="12C5CEFC"/>
    <w:rsid w:val="12C5F3F6"/>
    <w:rsid w:val="12C78310"/>
    <w:rsid w:val="12C80B92"/>
    <w:rsid w:val="12C916B5"/>
    <w:rsid w:val="12CED0CB"/>
    <w:rsid w:val="12D240C9"/>
    <w:rsid w:val="12D61FC1"/>
    <w:rsid w:val="12DADEFB"/>
    <w:rsid w:val="12DFE7FF"/>
    <w:rsid w:val="12E0E5C6"/>
    <w:rsid w:val="12E2AB3C"/>
    <w:rsid w:val="12E5D34C"/>
    <w:rsid w:val="12E70A44"/>
    <w:rsid w:val="12F2CA31"/>
    <w:rsid w:val="12F3781B"/>
    <w:rsid w:val="12F42889"/>
    <w:rsid w:val="12F5DE51"/>
    <w:rsid w:val="1302F2A3"/>
    <w:rsid w:val="1303AF4A"/>
    <w:rsid w:val="13089C2D"/>
    <w:rsid w:val="13103718"/>
    <w:rsid w:val="131341BA"/>
    <w:rsid w:val="13147684"/>
    <w:rsid w:val="13151C1F"/>
    <w:rsid w:val="131D5C8A"/>
    <w:rsid w:val="131F89AC"/>
    <w:rsid w:val="1321CF96"/>
    <w:rsid w:val="13256541"/>
    <w:rsid w:val="1325DE1E"/>
    <w:rsid w:val="1326CB6F"/>
    <w:rsid w:val="132ACDB9"/>
    <w:rsid w:val="132DE805"/>
    <w:rsid w:val="1333A265"/>
    <w:rsid w:val="133BC30F"/>
    <w:rsid w:val="1349AD67"/>
    <w:rsid w:val="134A2BD0"/>
    <w:rsid w:val="134E4ADC"/>
    <w:rsid w:val="1351B209"/>
    <w:rsid w:val="135435CC"/>
    <w:rsid w:val="135AACD8"/>
    <w:rsid w:val="136005B3"/>
    <w:rsid w:val="1368540F"/>
    <w:rsid w:val="1368BBE2"/>
    <w:rsid w:val="1370C594"/>
    <w:rsid w:val="13712AD4"/>
    <w:rsid w:val="13728A6B"/>
    <w:rsid w:val="13795FB4"/>
    <w:rsid w:val="137F87A6"/>
    <w:rsid w:val="1380BA34"/>
    <w:rsid w:val="1381E4D6"/>
    <w:rsid w:val="13842965"/>
    <w:rsid w:val="1388E395"/>
    <w:rsid w:val="138A47B1"/>
    <w:rsid w:val="138AFC15"/>
    <w:rsid w:val="13980E4D"/>
    <w:rsid w:val="1398A024"/>
    <w:rsid w:val="13A2AAC7"/>
    <w:rsid w:val="13A3D684"/>
    <w:rsid w:val="13A56233"/>
    <w:rsid w:val="13AA3E15"/>
    <w:rsid w:val="13B06730"/>
    <w:rsid w:val="13B5081E"/>
    <w:rsid w:val="13B70B17"/>
    <w:rsid w:val="13B75BF3"/>
    <w:rsid w:val="13BA8A64"/>
    <w:rsid w:val="13BB30AB"/>
    <w:rsid w:val="13BB6148"/>
    <w:rsid w:val="13BD4A0C"/>
    <w:rsid w:val="13C439E0"/>
    <w:rsid w:val="13C74AEE"/>
    <w:rsid w:val="13C79E43"/>
    <w:rsid w:val="13C85D51"/>
    <w:rsid w:val="13CA7547"/>
    <w:rsid w:val="13CAB31C"/>
    <w:rsid w:val="13CB9674"/>
    <w:rsid w:val="13CF2B2D"/>
    <w:rsid w:val="13D193FE"/>
    <w:rsid w:val="13D64C88"/>
    <w:rsid w:val="13DAFE5D"/>
    <w:rsid w:val="13DCDFAC"/>
    <w:rsid w:val="13DF1D8D"/>
    <w:rsid w:val="13E32D0D"/>
    <w:rsid w:val="13E611C0"/>
    <w:rsid w:val="13E9E154"/>
    <w:rsid w:val="13EC9B4D"/>
    <w:rsid w:val="13EDFC72"/>
    <w:rsid w:val="13EEA827"/>
    <w:rsid w:val="13F14D27"/>
    <w:rsid w:val="13F2CA97"/>
    <w:rsid w:val="13F56393"/>
    <w:rsid w:val="13F5784B"/>
    <w:rsid w:val="13FE4BD4"/>
    <w:rsid w:val="13FF1021"/>
    <w:rsid w:val="14010D32"/>
    <w:rsid w:val="1401A14A"/>
    <w:rsid w:val="140416DA"/>
    <w:rsid w:val="1409FD79"/>
    <w:rsid w:val="140B3963"/>
    <w:rsid w:val="1411A88F"/>
    <w:rsid w:val="14155027"/>
    <w:rsid w:val="1416813C"/>
    <w:rsid w:val="1416BFEB"/>
    <w:rsid w:val="141A0670"/>
    <w:rsid w:val="141C9FC1"/>
    <w:rsid w:val="141FA309"/>
    <w:rsid w:val="14231040"/>
    <w:rsid w:val="1424E95D"/>
    <w:rsid w:val="14289BA4"/>
    <w:rsid w:val="1428E054"/>
    <w:rsid w:val="142F7508"/>
    <w:rsid w:val="1430CB73"/>
    <w:rsid w:val="1435A02D"/>
    <w:rsid w:val="14364A66"/>
    <w:rsid w:val="143A29FC"/>
    <w:rsid w:val="143D29E5"/>
    <w:rsid w:val="1441D954"/>
    <w:rsid w:val="1441EFA5"/>
    <w:rsid w:val="14441C6F"/>
    <w:rsid w:val="144444F4"/>
    <w:rsid w:val="1447C331"/>
    <w:rsid w:val="144BBB85"/>
    <w:rsid w:val="144D3A32"/>
    <w:rsid w:val="144FFB63"/>
    <w:rsid w:val="14511BB1"/>
    <w:rsid w:val="1451CB01"/>
    <w:rsid w:val="1451DFAB"/>
    <w:rsid w:val="145338D7"/>
    <w:rsid w:val="145411EB"/>
    <w:rsid w:val="1457F135"/>
    <w:rsid w:val="1458FBDC"/>
    <w:rsid w:val="145A8C7C"/>
    <w:rsid w:val="145F7F73"/>
    <w:rsid w:val="1465747E"/>
    <w:rsid w:val="1465F88F"/>
    <w:rsid w:val="14676A53"/>
    <w:rsid w:val="146A4B35"/>
    <w:rsid w:val="146ED813"/>
    <w:rsid w:val="146FDBCB"/>
    <w:rsid w:val="1473CB90"/>
    <w:rsid w:val="1476A9F6"/>
    <w:rsid w:val="147C72D0"/>
    <w:rsid w:val="147D320B"/>
    <w:rsid w:val="147F1D4E"/>
    <w:rsid w:val="148B8102"/>
    <w:rsid w:val="148E2E32"/>
    <w:rsid w:val="148E372D"/>
    <w:rsid w:val="149302B3"/>
    <w:rsid w:val="14981CF5"/>
    <w:rsid w:val="1499CAAC"/>
    <w:rsid w:val="149CD5C8"/>
    <w:rsid w:val="149DC6BE"/>
    <w:rsid w:val="149EDFCE"/>
    <w:rsid w:val="14A22FFC"/>
    <w:rsid w:val="14A53E07"/>
    <w:rsid w:val="14A6303E"/>
    <w:rsid w:val="14A9BDD5"/>
    <w:rsid w:val="14AAE322"/>
    <w:rsid w:val="14AD419D"/>
    <w:rsid w:val="14AF5AE3"/>
    <w:rsid w:val="14B27C8F"/>
    <w:rsid w:val="14B36F06"/>
    <w:rsid w:val="14B5C08A"/>
    <w:rsid w:val="14B7745F"/>
    <w:rsid w:val="14BAE33A"/>
    <w:rsid w:val="14BC85F2"/>
    <w:rsid w:val="14BDF3CD"/>
    <w:rsid w:val="14BE2EB1"/>
    <w:rsid w:val="14C08E49"/>
    <w:rsid w:val="14C2D39E"/>
    <w:rsid w:val="14C3DE85"/>
    <w:rsid w:val="14C50148"/>
    <w:rsid w:val="14C584F1"/>
    <w:rsid w:val="14C9E3F5"/>
    <w:rsid w:val="14D6F5C8"/>
    <w:rsid w:val="14D72933"/>
    <w:rsid w:val="14D92B81"/>
    <w:rsid w:val="14DA70CD"/>
    <w:rsid w:val="14DF4029"/>
    <w:rsid w:val="14E13D56"/>
    <w:rsid w:val="14E96BE7"/>
    <w:rsid w:val="14EC243D"/>
    <w:rsid w:val="14EE0EC1"/>
    <w:rsid w:val="14F00EE5"/>
    <w:rsid w:val="14F22F00"/>
    <w:rsid w:val="14F433E6"/>
    <w:rsid w:val="14F851A2"/>
    <w:rsid w:val="14FBCE26"/>
    <w:rsid w:val="14FEE61C"/>
    <w:rsid w:val="15094D23"/>
    <w:rsid w:val="1509E664"/>
    <w:rsid w:val="150A8BB4"/>
    <w:rsid w:val="150ABFB7"/>
    <w:rsid w:val="150C894D"/>
    <w:rsid w:val="150D858A"/>
    <w:rsid w:val="151005D2"/>
    <w:rsid w:val="15103583"/>
    <w:rsid w:val="15111431"/>
    <w:rsid w:val="1511AA09"/>
    <w:rsid w:val="1517F253"/>
    <w:rsid w:val="151DD14B"/>
    <w:rsid w:val="152263F2"/>
    <w:rsid w:val="152308F0"/>
    <w:rsid w:val="152543F8"/>
    <w:rsid w:val="15297D68"/>
    <w:rsid w:val="152A1266"/>
    <w:rsid w:val="152A1C21"/>
    <w:rsid w:val="152A92D9"/>
    <w:rsid w:val="152FCC51"/>
    <w:rsid w:val="152FDE6F"/>
    <w:rsid w:val="15332DFD"/>
    <w:rsid w:val="153920E1"/>
    <w:rsid w:val="1539B3E7"/>
    <w:rsid w:val="153A52C5"/>
    <w:rsid w:val="153CD906"/>
    <w:rsid w:val="1541CAF4"/>
    <w:rsid w:val="1542C714"/>
    <w:rsid w:val="15438AC3"/>
    <w:rsid w:val="15462A8A"/>
    <w:rsid w:val="1546B195"/>
    <w:rsid w:val="154BD3DE"/>
    <w:rsid w:val="154E9AC0"/>
    <w:rsid w:val="15530984"/>
    <w:rsid w:val="1555EE4B"/>
    <w:rsid w:val="155BFBBC"/>
    <w:rsid w:val="155CC9C7"/>
    <w:rsid w:val="1567E6B5"/>
    <w:rsid w:val="15680F6F"/>
    <w:rsid w:val="156ABF99"/>
    <w:rsid w:val="15702DFB"/>
    <w:rsid w:val="15705111"/>
    <w:rsid w:val="15709125"/>
    <w:rsid w:val="1570ED12"/>
    <w:rsid w:val="157769C8"/>
    <w:rsid w:val="15793526"/>
    <w:rsid w:val="157BA16D"/>
    <w:rsid w:val="157C0C07"/>
    <w:rsid w:val="157C0E0B"/>
    <w:rsid w:val="158A76F6"/>
    <w:rsid w:val="158E3A12"/>
    <w:rsid w:val="158FB5A9"/>
    <w:rsid w:val="15900745"/>
    <w:rsid w:val="159A1A2C"/>
    <w:rsid w:val="159A3BA7"/>
    <w:rsid w:val="15A2FED2"/>
    <w:rsid w:val="15A35428"/>
    <w:rsid w:val="15A6A97C"/>
    <w:rsid w:val="15AC5A12"/>
    <w:rsid w:val="15AEA4FD"/>
    <w:rsid w:val="15AF5355"/>
    <w:rsid w:val="15AF6EC7"/>
    <w:rsid w:val="15B10EAC"/>
    <w:rsid w:val="15B4FCD5"/>
    <w:rsid w:val="15B55232"/>
    <w:rsid w:val="15B9EFCC"/>
    <w:rsid w:val="15BC5134"/>
    <w:rsid w:val="15BE14D0"/>
    <w:rsid w:val="15BED3A2"/>
    <w:rsid w:val="15BF14DF"/>
    <w:rsid w:val="15C28C7A"/>
    <w:rsid w:val="15C32111"/>
    <w:rsid w:val="15C5932B"/>
    <w:rsid w:val="15D317AF"/>
    <w:rsid w:val="15E38AEA"/>
    <w:rsid w:val="15E4D827"/>
    <w:rsid w:val="15ECE44D"/>
    <w:rsid w:val="15ED206D"/>
    <w:rsid w:val="15EEE182"/>
    <w:rsid w:val="15F048DE"/>
    <w:rsid w:val="15F08B69"/>
    <w:rsid w:val="15F22861"/>
    <w:rsid w:val="15F65F03"/>
    <w:rsid w:val="15F6DD26"/>
    <w:rsid w:val="15FDB359"/>
    <w:rsid w:val="16014C61"/>
    <w:rsid w:val="1601BDA4"/>
    <w:rsid w:val="1602F7B8"/>
    <w:rsid w:val="16053F5B"/>
    <w:rsid w:val="1606402D"/>
    <w:rsid w:val="16109F3A"/>
    <w:rsid w:val="1611547E"/>
    <w:rsid w:val="1613D042"/>
    <w:rsid w:val="1615BE08"/>
    <w:rsid w:val="1616D851"/>
    <w:rsid w:val="161B3637"/>
    <w:rsid w:val="162044EB"/>
    <w:rsid w:val="1622AA02"/>
    <w:rsid w:val="16260017"/>
    <w:rsid w:val="162A942F"/>
    <w:rsid w:val="162B3E0A"/>
    <w:rsid w:val="162DDF40"/>
    <w:rsid w:val="162FFD79"/>
    <w:rsid w:val="16373FFF"/>
    <w:rsid w:val="163A1095"/>
    <w:rsid w:val="163A192A"/>
    <w:rsid w:val="163B38E3"/>
    <w:rsid w:val="163D0D85"/>
    <w:rsid w:val="1640747E"/>
    <w:rsid w:val="1643D46C"/>
    <w:rsid w:val="16445C9D"/>
    <w:rsid w:val="1645561C"/>
    <w:rsid w:val="1646ADCF"/>
    <w:rsid w:val="164CD18F"/>
    <w:rsid w:val="1650E3A7"/>
    <w:rsid w:val="1654D2C9"/>
    <w:rsid w:val="16576B4D"/>
    <w:rsid w:val="1657E6CE"/>
    <w:rsid w:val="165C9063"/>
    <w:rsid w:val="165D2D6A"/>
    <w:rsid w:val="165F9407"/>
    <w:rsid w:val="16605339"/>
    <w:rsid w:val="166150DC"/>
    <w:rsid w:val="1662947D"/>
    <w:rsid w:val="1665BCAB"/>
    <w:rsid w:val="1666F1B3"/>
    <w:rsid w:val="166ADCEF"/>
    <w:rsid w:val="166D08DE"/>
    <w:rsid w:val="1676E1BB"/>
    <w:rsid w:val="167AC840"/>
    <w:rsid w:val="167FBF84"/>
    <w:rsid w:val="16815524"/>
    <w:rsid w:val="1684C1B5"/>
    <w:rsid w:val="1684D399"/>
    <w:rsid w:val="1684F12C"/>
    <w:rsid w:val="168634B3"/>
    <w:rsid w:val="1687B4C9"/>
    <w:rsid w:val="168DCAD1"/>
    <w:rsid w:val="168DD820"/>
    <w:rsid w:val="168F6FDA"/>
    <w:rsid w:val="16903AD0"/>
    <w:rsid w:val="169138FC"/>
    <w:rsid w:val="16928E2C"/>
    <w:rsid w:val="1692E957"/>
    <w:rsid w:val="1693F2F8"/>
    <w:rsid w:val="1697BB8C"/>
    <w:rsid w:val="1698FD79"/>
    <w:rsid w:val="169B8DA0"/>
    <w:rsid w:val="16A14484"/>
    <w:rsid w:val="16A2D2DD"/>
    <w:rsid w:val="16A93B37"/>
    <w:rsid w:val="16A986F4"/>
    <w:rsid w:val="16AB9126"/>
    <w:rsid w:val="16B24B19"/>
    <w:rsid w:val="16B2596F"/>
    <w:rsid w:val="16B86D00"/>
    <w:rsid w:val="16BC0AE8"/>
    <w:rsid w:val="16BC71DE"/>
    <w:rsid w:val="16BF89B6"/>
    <w:rsid w:val="16C17267"/>
    <w:rsid w:val="16C612B0"/>
    <w:rsid w:val="16C7A883"/>
    <w:rsid w:val="16C925D6"/>
    <w:rsid w:val="16CB1AD8"/>
    <w:rsid w:val="16CB6874"/>
    <w:rsid w:val="16CB9B88"/>
    <w:rsid w:val="16CC2D8F"/>
    <w:rsid w:val="16D0980F"/>
    <w:rsid w:val="16D126AE"/>
    <w:rsid w:val="16D4947C"/>
    <w:rsid w:val="16D57C3F"/>
    <w:rsid w:val="16DB10F0"/>
    <w:rsid w:val="16DF1ADE"/>
    <w:rsid w:val="16E1D2AD"/>
    <w:rsid w:val="16E77781"/>
    <w:rsid w:val="16EAA8DC"/>
    <w:rsid w:val="16F48652"/>
    <w:rsid w:val="16F70639"/>
    <w:rsid w:val="16F99EB8"/>
    <w:rsid w:val="16FEED99"/>
    <w:rsid w:val="170173F0"/>
    <w:rsid w:val="1708A78C"/>
    <w:rsid w:val="1708FB01"/>
    <w:rsid w:val="170E2004"/>
    <w:rsid w:val="170F57F6"/>
    <w:rsid w:val="17101B8E"/>
    <w:rsid w:val="1714AE4E"/>
    <w:rsid w:val="1714C1AF"/>
    <w:rsid w:val="1716AC7E"/>
    <w:rsid w:val="171734AB"/>
    <w:rsid w:val="1718140D"/>
    <w:rsid w:val="171EDC2C"/>
    <w:rsid w:val="1720C7B2"/>
    <w:rsid w:val="17259A24"/>
    <w:rsid w:val="172759EC"/>
    <w:rsid w:val="172775D7"/>
    <w:rsid w:val="172F2815"/>
    <w:rsid w:val="172FAAA6"/>
    <w:rsid w:val="17310580"/>
    <w:rsid w:val="1735CCD4"/>
    <w:rsid w:val="173724F0"/>
    <w:rsid w:val="17374585"/>
    <w:rsid w:val="17377DCB"/>
    <w:rsid w:val="1737B50F"/>
    <w:rsid w:val="1739DC79"/>
    <w:rsid w:val="1747C84D"/>
    <w:rsid w:val="17493EFC"/>
    <w:rsid w:val="174A1C3B"/>
    <w:rsid w:val="174AFFD1"/>
    <w:rsid w:val="174B0F3E"/>
    <w:rsid w:val="174C5EB0"/>
    <w:rsid w:val="174DA413"/>
    <w:rsid w:val="17507539"/>
    <w:rsid w:val="17560D3E"/>
    <w:rsid w:val="17562955"/>
    <w:rsid w:val="175F5517"/>
    <w:rsid w:val="17610AA9"/>
    <w:rsid w:val="17687315"/>
    <w:rsid w:val="17693FDD"/>
    <w:rsid w:val="176C03CD"/>
    <w:rsid w:val="176C2B6F"/>
    <w:rsid w:val="17701876"/>
    <w:rsid w:val="177052B6"/>
    <w:rsid w:val="1770AA21"/>
    <w:rsid w:val="1771848F"/>
    <w:rsid w:val="177A8F67"/>
    <w:rsid w:val="177D1447"/>
    <w:rsid w:val="178DC46A"/>
    <w:rsid w:val="17903617"/>
    <w:rsid w:val="1794721A"/>
    <w:rsid w:val="1797F976"/>
    <w:rsid w:val="1798816D"/>
    <w:rsid w:val="17A0C98C"/>
    <w:rsid w:val="17A1632A"/>
    <w:rsid w:val="17A54378"/>
    <w:rsid w:val="17A83744"/>
    <w:rsid w:val="17AB5BC4"/>
    <w:rsid w:val="17ADA0F7"/>
    <w:rsid w:val="17B0A256"/>
    <w:rsid w:val="17B1E043"/>
    <w:rsid w:val="17B1FAA0"/>
    <w:rsid w:val="17B42326"/>
    <w:rsid w:val="17B7CE1C"/>
    <w:rsid w:val="17B8598B"/>
    <w:rsid w:val="17B971CC"/>
    <w:rsid w:val="17BB508B"/>
    <w:rsid w:val="17BD075A"/>
    <w:rsid w:val="17BE8659"/>
    <w:rsid w:val="17C11CEF"/>
    <w:rsid w:val="17C7E16C"/>
    <w:rsid w:val="17C7E4A1"/>
    <w:rsid w:val="17C8EF9D"/>
    <w:rsid w:val="17CB25DB"/>
    <w:rsid w:val="17CC0049"/>
    <w:rsid w:val="17CDD6B8"/>
    <w:rsid w:val="17CF2D3C"/>
    <w:rsid w:val="17D11C44"/>
    <w:rsid w:val="17D15DEA"/>
    <w:rsid w:val="17D45384"/>
    <w:rsid w:val="17D480A2"/>
    <w:rsid w:val="17D61AAE"/>
    <w:rsid w:val="17DFA59A"/>
    <w:rsid w:val="17E1CF5F"/>
    <w:rsid w:val="17E60724"/>
    <w:rsid w:val="17E8321C"/>
    <w:rsid w:val="17ED23E8"/>
    <w:rsid w:val="17EFCB17"/>
    <w:rsid w:val="17F20A48"/>
    <w:rsid w:val="17F3B72F"/>
    <w:rsid w:val="17FD0211"/>
    <w:rsid w:val="17FD6E88"/>
    <w:rsid w:val="17FE9958"/>
    <w:rsid w:val="1802A885"/>
    <w:rsid w:val="18035FAA"/>
    <w:rsid w:val="18065B44"/>
    <w:rsid w:val="18066102"/>
    <w:rsid w:val="180CAF66"/>
    <w:rsid w:val="1813730B"/>
    <w:rsid w:val="18151B04"/>
    <w:rsid w:val="18165C14"/>
    <w:rsid w:val="1819558F"/>
    <w:rsid w:val="181E12CE"/>
    <w:rsid w:val="182778BE"/>
    <w:rsid w:val="1829428B"/>
    <w:rsid w:val="182E1C61"/>
    <w:rsid w:val="18354FE6"/>
    <w:rsid w:val="18375A7E"/>
    <w:rsid w:val="183AD654"/>
    <w:rsid w:val="184053F2"/>
    <w:rsid w:val="184CE2B0"/>
    <w:rsid w:val="184CE904"/>
    <w:rsid w:val="184FC90B"/>
    <w:rsid w:val="1850D5E7"/>
    <w:rsid w:val="1851463B"/>
    <w:rsid w:val="1853C62E"/>
    <w:rsid w:val="1856F555"/>
    <w:rsid w:val="1859D5CA"/>
    <w:rsid w:val="185B1735"/>
    <w:rsid w:val="185B3E2E"/>
    <w:rsid w:val="185BE8E0"/>
    <w:rsid w:val="186280DE"/>
    <w:rsid w:val="1862A9D6"/>
    <w:rsid w:val="186A1BAA"/>
    <w:rsid w:val="186E9473"/>
    <w:rsid w:val="186F6FC2"/>
    <w:rsid w:val="1878C7A7"/>
    <w:rsid w:val="187EB99F"/>
    <w:rsid w:val="18840474"/>
    <w:rsid w:val="188C8539"/>
    <w:rsid w:val="188CE2E4"/>
    <w:rsid w:val="188D225C"/>
    <w:rsid w:val="1893A232"/>
    <w:rsid w:val="1896793A"/>
    <w:rsid w:val="1897CD7C"/>
    <w:rsid w:val="18A0F283"/>
    <w:rsid w:val="18A4D6C9"/>
    <w:rsid w:val="18A86EC7"/>
    <w:rsid w:val="18A87082"/>
    <w:rsid w:val="18AD6124"/>
    <w:rsid w:val="18AD68CC"/>
    <w:rsid w:val="18AE4F9C"/>
    <w:rsid w:val="18B09D7F"/>
    <w:rsid w:val="18B18C02"/>
    <w:rsid w:val="18B3F1E7"/>
    <w:rsid w:val="18B4923E"/>
    <w:rsid w:val="18B5A2B5"/>
    <w:rsid w:val="18B65CF9"/>
    <w:rsid w:val="18B96004"/>
    <w:rsid w:val="18B96F67"/>
    <w:rsid w:val="18C38E70"/>
    <w:rsid w:val="18C79BD4"/>
    <w:rsid w:val="18CA98FD"/>
    <w:rsid w:val="18CE19FD"/>
    <w:rsid w:val="18CFFF93"/>
    <w:rsid w:val="18D049DB"/>
    <w:rsid w:val="18D0FB25"/>
    <w:rsid w:val="18D29A4B"/>
    <w:rsid w:val="18D9CD19"/>
    <w:rsid w:val="18E362A5"/>
    <w:rsid w:val="18E8D103"/>
    <w:rsid w:val="18ECDE9E"/>
    <w:rsid w:val="18EDF9FE"/>
    <w:rsid w:val="18F32BCC"/>
    <w:rsid w:val="18F5E0A6"/>
    <w:rsid w:val="18FA79F4"/>
    <w:rsid w:val="18FCDA07"/>
    <w:rsid w:val="18FDB8E0"/>
    <w:rsid w:val="1903836E"/>
    <w:rsid w:val="19072BB9"/>
    <w:rsid w:val="190C1373"/>
    <w:rsid w:val="190CDCBD"/>
    <w:rsid w:val="190D4827"/>
    <w:rsid w:val="19115924"/>
    <w:rsid w:val="1913A5DA"/>
    <w:rsid w:val="191459DE"/>
    <w:rsid w:val="19147933"/>
    <w:rsid w:val="1916BAD0"/>
    <w:rsid w:val="191727A1"/>
    <w:rsid w:val="1918E769"/>
    <w:rsid w:val="19196014"/>
    <w:rsid w:val="1919CE1A"/>
    <w:rsid w:val="1919F83C"/>
    <w:rsid w:val="191A1ACD"/>
    <w:rsid w:val="191A442D"/>
    <w:rsid w:val="192712D4"/>
    <w:rsid w:val="1927250F"/>
    <w:rsid w:val="19274EC8"/>
    <w:rsid w:val="19278F3E"/>
    <w:rsid w:val="1929D0FC"/>
    <w:rsid w:val="192C7D82"/>
    <w:rsid w:val="19303181"/>
    <w:rsid w:val="19332850"/>
    <w:rsid w:val="193451CE"/>
    <w:rsid w:val="1935C09D"/>
    <w:rsid w:val="19394150"/>
    <w:rsid w:val="193969B6"/>
    <w:rsid w:val="193D159E"/>
    <w:rsid w:val="1940994E"/>
    <w:rsid w:val="19515F72"/>
    <w:rsid w:val="1956D110"/>
    <w:rsid w:val="19586495"/>
    <w:rsid w:val="1958F89A"/>
    <w:rsid w:val="195A1039"/>
    <w:rsid w:val="195B3079"/>
    <w:rsid w:val="195C342B"/>
    <w:rsid w:val="19694096"/>
    <w:rsid w:val="1971B47A"/>
    <w:rsid w:val="1973D7EC"/>
    <w:rsid w:val="1974A745"/>
    <w:rsid w:val="19763D03"/>
    <w:rsid w:val="197C0ED9"/>
    <w:rsid w:val="19836B05"/>
    <w:rsid w:val="1984AE1C"/>
    <w:rsid w:val="198A0496"/>
    <w:rsid w:val="198C1DF6"/>
    <w:rsid w:val="1998CD41"/>
    <w:rsid w:val="199ABEAF"/>
    <w:rsid w:val="199B034A"/>
    <w:rsid w:val="19A9689F"/>
    <w:rsid w:val="19AB42B7"/>
    <w:rsid w:val="19AE7AC1"/>
    <w:rsid w:val="19B90C44"/>
    <w:rsid w:val="19B9B247"/>
    <w:rsid w:val="19B9E0A7"/>
    <w:rsid w:val="19BBACEB"/>
    <w:rsid w:val="19BDBACB"/>
    <w:rsid w:val="19BF4DE0"/>
    <w:rsid w:val="19C2F13D"/>
    <w:rsid w:val="19C54D1B"/>
    <w:rsid w:val="19CADAF9"/>
    <w:rsid w:val="19CCF4ED"/>
    <w:rsid w:val="19D3C20B"/>
    <w:rsid w:val="19D5EFCA"/>
    <w:rsid w:val="19D8C3EA"/>
    <w:rsid w:val="19DF3B00"/>
    <w:rsid w:val="19DFEC1B"/>
    <w:rsid w:val="19E1DD73"/>
    <w:rsid w:val="19E26958"/>
    <w:rsid w:val="19E4B03C"/>
    <w:rsid w:val="19E5C05A"/>
    <w:rsid w:val="19E7410E"/>
    <w:rsid w:val="19F268DB"/>
    <w:rsid w:val="19FDBAED"/>
    <w:rsid w:val="19FEAEB2"/>
    <w:rsid w:val="19FFFBDE"/>
    <w:rsid w:val="19FFFCA1"/>
    <w:rsid w:val="1A03D328"/>
    <w:rsid w:val="1A047ECC"/>
    <w:rsid w:val="1A09F2CB"/>
    <w:rsid w:val="1A0BEE58"/>
    <w:rsid w:val="1A0DE28E"/>
    <w:rsid w:val="1A18F105"/>
    <w:rsid w:val="1A220375"/>
    <w:rsid w:val="1A2BC2A8"/>
    <w:rsid w:val="1A2E347E"/>
    <w:rsid w:val="1A2FA211"/>
    <w:rsid w:val="1A329F21"/>
    <w:rsid w:val="1A340096"/>
    <w:rsid w:val="1A378211"/>
    <w:rsid w:val="1A38740D"/>
    <w:rsid w:val="1A394859"/>
    <w:rsid w:val="1A3A8ECF"/>
    <w:rsid w:val="1A3AC71B"/>
    <w:rsid w:val="1A3D3D76"/>
    <w:rsid w:val="1A3ECB8A"/>
    <w:rsid w:val="1A42A22B"/>
    <w:rsid w:val="1A49E963"/>
    <w:rsid w:val="1A4AFED7"/>
    <w:rsid w:val="1A4BBCB5"/>
    <w:rsid w:val="1A525F3C"/>
    <w:rsid w:val="1A55A91F"/>
    <w:rsid w:val="1A59D3C9"/>
    <w:rsid w:val="1A5A7DF4"/>
    <w:rsid w:val="1A5EF80A"/>
    <w:rsid w:val="1A60FF3D"/>
    <w:rsid w:val="1A61FE64"/>
    <w:rsid w:val="1A65EAAF"/>
    <w:rsid w:val="1A66714A"/>
    <w:rsid w:val="1A66FA61"/>
    <w:rsid w:val="1A683FF1"/>
    <w:rsid w:val="1A6DF99B"/>
    <w:rsid w:val="1A7270A2"/>
    <w:rsid w:val="1A72F8CB"/>
    <w:rsid w:val="1A77DE37"/>
    <w:rsid w:val="1A7A392A"/>
    <w:rsid w:val="1A869DDB"/>
    <w:rsid w:val="1A90BB13"/>
    <w:rsid w:val="1A9250AC"/>
    <w:rsid w:val="1A92C60F"/>
    <w:rsid w:val="1A9925CE"/>
    <w:rsid w:val="1A9B0F04"/>
    <w:rsid w:val="1A9B5499"/>
    <w:rsid w:val="1A9B76BC"/>
    <w:rsid w:val="1A9B7B67"/>
    <w:rsid w:val="1A9EFC4F"/>
    <w:rsid w:val="1A9FEEA9"/>
    <w:rsid w:val="1AA6A36D"/>
    <w:rsid w:val="1AA82E34"/>
    <w:rsid w:val="1AA9119A"/>
    <w:rsid w:val="1AA96939"/>
    <w:rsid w:val="1AAADD28"/>
    <w:rsid w:val="1AADBA43"/>
    <w:rsid w:val="1AB015BF"/>
    <w:rsid w:val="1AB0F2C9"/>
    <w:rsid w:val="1AB137E4"/>
    <w:rsid w:val="1AB13F73"/>
    <w:rsid w:val="1AB2B4CD"/>
    <w:rsid w:val="1AB6FBAA"/>
    <w:rsid w:val="1ABF902F"/>
    <w:rsid w:val="1AC4A569"/>
    <w:rsid w:val="1AC6BB89"/>
    <w:rsid w:val="1AC756BD"/>
    <w:rsid w:val="1AC85C12"/>
    <w:rsid w:val="1AC9288A"/>
    <w:rsid w:val="1AD2FF08"/>
    <w:rsid w:val="1AD672FD"/>
    <w:rsid w:val="1AD6DEF4"/>
    <w:rsid w:val="1ADA42D6"/>
    <w:rsid w:val="1ADE2792"/>
    <w:rsid w:val="1AE28A02"/>
    <w:rsid w:val="1AE2BF26"/>
    <w:rsid w:val="1AE2F4D0"/>
    <w:rsid w:val="1AE39C7C"/>
    <w:rsid w:val="1AE3F839"/>
    <w:rsid w:val="1AE4C7E9"/>
    <w:rsid w:val="1AE7B683"/>
    <w:rsid w:val="1AEA583F"/>
    <w:rsid w:val="1AEEA21B"/>
    <w:rsid w:val="1AEFF728"/>
    <w:rsid w:val="1AF30FBB"/>
    <w:rsid w:val="1AF81A64"/>
    <w:rsid w:val="1AF892F7"/>
    <w:rsid w:val="1AF9B4BA"/>
    <w:rsid w:val="1AFEF20C"/>
    <w:rsid w:val="1B008B60"/>
    <w:rsid w:val="1B09E37D"/>
    <w:rsid w:val="1B0D24F4"/>
    <w:rsid w:val="1B0E3265"/>
    <w:rsid w:val="1B0FB232"/>
    <w:rsid w:val="1B14D219"/>
    <w:rsid w:val="1B151695"/>
    <w:rsid w:val="1B19D7EC"/>
    <w:rsid w:val="1B1ECAD4"/>
    <w:rsid w:val="1B1EEEC9"/>
    <w:rsid w:val="1B21DF6B"/>
    <w:rsid w:val="1B21E60F"/>
    <w:rsid w:val="1B2DE8B2"/>
    <w:rsid w:val="1B2ECD46"/>
    <w:rsid w:val="1B312C58"/>
    <w:rsid w:val="1B31987F"/>
    <w:rsid w:val="1B325A01"/>
    <w:rsid w:val="1B33FD6D"/>
    <w:rsid w:val="1B3918EE"/>
    <w:rsid w:val="1B3DA5DD"/>
    <w:rsid w:val="1B425019"/>
    <w:rsid w:val="1B42A003"/>
    <w:rsid w:val="1B572991"/>
    <w:rsid w:val="1B598909"/>
    <w:rsid w:val="1B60CC28"/>
    <w:rsid w:val="1B6195BD"/>
    <w:rsid w:val="1B61BDC4"/>
    <w:rsid w:val="1B624BAD"/>
    <w:rsid w:val="1B64D086"/>
    <w:rsid w:val="1B652736"/>
    <w:rsid w:val="1B6C3749"/>
    <w:rsid w:val="1B700E23"/>
    <w:rsid w:val="1B773A20"/>
    <w:rsid w:val="1B7D81BC"/>
    <w:rsid w:val="1B7E5032"/>
    <w:rsid w:val="1B7E6870"/>
    <w:rsid w:val="1B7E70D8"/>
    <w:rsid w:val="1B7E886B"/>
    <w:rsid w:val="1B84D048"/>
    <w:rsid w:val="1B8D6CFC"/>
    <w:rsid w:val="1B8EFFE9"/>
    <w:rsid w:val="1B97EA97"/>
    <w:rsid w:val="1B988828"/>
    <w:rsid w:val="1B997310"/>
    <w:rsid w:val="1B998245"/>
    <w:rsid w:val="1B9B2B7E"/>
    <w:rsid w:val="1B9D2249"/>
    <w:rsid w:val="1B9D8FDC"/>
    <w:rsid w:val="1BA5C32C"/>
    <w:rsid w:val="1BA6EB2A"/>
    <w:rsid w:val="1BAB10F7"/>
    <w:rsid w:val="1BAD72AD"/>
    <w:rsid w:val="1BADCB61"/>
    <w:rsid w:val="1BB2A28F"/>
    <w:rsid w:val="1BB88F6D"/>
    <w:rsid w:val="1BBD4A5F"/>
    <w:rsid w:val="1BBDF802"/>
    <w:rsid w:val="1BC2636A"/>
    <w:rsid w:val="1BC333FC"/>
    <w:rsid w:val="1BC38009"/>
    <w:rsid w:val="1BC392A4"/>
    <w:rsid w:val="1BC8FDB7"/>
    <w:rsid w:val="1BCCE7F3"/>
    <w:rsid w:val="1BD06BDC"/>
    <w:rsid w:val="1BD5B691"/>
    <w:rsid w:val="1BD5DEF0"/>
    <w:rsid w:val="1BDF1CDE"/>
    <w:rsid w:val="1BE0D582"/>
    <w:rsid w:val="1BE56A59"/>
    <w:rsid w:val="1BE5E39F"/>
    <w:rsid w:val="1BE8A043"/>
    <w:rsid w:val="1BF16408"/>
    <w:rsid w:val="1BF2F0B1"/>
    <w:rsid w:val="1BF3A3C9"/>
    <w:rsid w:val="1BF40A62"/>
    <w:rsid w:val="1BF4E8D2"/>
    <w:rsid w:val="1BF4F44B"/>
    <w:rsid w:val="1BF8CCEC"/>
    <w:rsid w:val="1BFA7EA0"/>
    <w:rsid w:val="1C06D640"/>
    <w:rsid w:val="1C088D94"/>
    <w:rsid w:val="1C0A9AA2"/>
    <w:rsid w:val="1C0E1D6A"/>
    <w:rsid w:val="1C0F202C"/>
    <w:rsid w:val="1C0F2DE1"/>
    <w:rsid w:val="1C0FAEA4"/>
    <w:rsid w:val="1C121990"/>
    <w:rsid w:val="1C12FE70"/>
    <w:rsid w:val="1C140A3C"/>
    <w:rsid w:val="1C16259E"/>
    <w:rsid w:val="1C17251C"/>
    <w:rsid w:val="1C1725F0"/>
    <w:rsid w:val="1C1E18BF"/>
    <w:rsid w:val="1C21DED1"/>
    <w:rsid w:val="1C22DB8F"/>
    <w:rsid w:val="1C2A1628"/>
    <w:rsid w:val="1C300971"/>
    <w:rsid w:val="1C306DE8"/>
    <w:rsid w:val="1C37FA61"/>
    <w:rsid w:val="1C38FEF2"/>
    <w:rsid w:val="1C3D8A8C"/>
    <w:rsid w:val="1C4463A1"/>
    <w:rsid w:val="1C48CA83"/>
    <w:rsid w:val="1C4B8C42"/>
    <w:rsid w:val="1C4EFA15"/>
    <w:rsid w:val="1C501985"/>
    <w:rsid w:val="1C50F91F"/>
    <w:rsid w:val="1C51A21A"/>
    <w:rsid w:val="1C55308D"/>
    <w:rsid w:val="1C55C1BD"/>
    <w:rsid w:val="1C5B6500"/>
    <w:rsid w:val="1C5C3BA2"/>
    <w:rsid w:val="1C5EB396"/>
    <w:rsid w:val="1C62B07A"/>
    <w:rsid w:val="1C660E35"/>
    <w:rsid w:val="1C6790D0"/>
    <w:rsid w:val="1C68413B"/>
    <w:rsid w:val="1C6BF417"/>
    <w:rsid w:val="1C6D9B3A"/>
    <w:rsid w:val="1C6F10C3"/>
    <w:rsid w:val="1C70BDB4"/>
    <w:rsid w:val="1C742B6E"/>
    <w:rsid w:val="1C778774"/>
    <w:rsid w:val="1C7A65AA"/>
    <w:rsid w:val="1C7A8C42"/>
    <w:rsid w:val="1C7BC724"/>
    <w:rsid w:val="1C7C418F"/>
    <w:rsid w:val="1C7ED570"/>
    <w:rsid w:val="1C847FF6"/>
    <w:rsid w:val="1C8776B2"/>
    <w:rsid w:val="1C8AAF04"/>
    <w:rsid w:val="1C8B0EA4"/>
    <w:rsid w:val="1C8DE303"/>
    <w:rsid w:val="1C922D62"/>
    <w:rsid w:val="1C9DCA64"/>
    <w:rsid w:val="1C9EAB70"/>
    <w:rsid w:val="1CA0C07C"/>
    <w:rsid w:val="1CA1D945"/>
    <w:rsid w:val="1CA2C89A"/>
    <w:rsid w:val="1CA64330"/>
    <w:rsid w:val="1CA6A74E"/>
    <w:rsid w:val="1CAC2DDD"/>
    <w:rsid w:val="1CB4D8F7"/>
    <w:rsid w:val="1CB4F0EF"/>
    <w:rsid w:val="1CB93144"/>
    <w:rsid w:val="1CBC9341"/>
    <w:rsid w:val="1CBDB14F"/>
    <w:rsid w:val="1CBE5BD1"/>
    <w:rsid w:val="1CC1B812"/>
    <w:rsid w:val="1CC28E6D"/>
    <w:rsid w:val="1CC438C7"/>
    <w:rsid w:val="1CCAAB83"/>
    <w:rsid w:val="1CCAE582"/>
    <w:rsid w:val="1CCD1B4B"/>
    <w:rsid w:val="1CCF32B0"/>
    <w:rsid w:val="1CD145FD"/>
    <w:rsid w:val="1CD4D5BB"/>
    <w:rsid w:val="1CD73509"/>
    <w:rsid w:val="1CE214A3"/>
    <w:rsid w:val="1CE36478"/>
    <w:rsid w:val="1CE5F676"/>
    <w:rsid w:val="1CE64774"/>
    <w:rsid w:val="1CE664F9"/>
    <w:rsid w:val="1CE6AAE6"/>
    <w:rsid w:val="1CE947E7"/>
    <w:rsid w:val="1CEA7B91"/>
    <w:rsid w:val="1CEC4881"/>
    <w:rsid w:val="1CF0AD06"/>
    <w:rsid w:val="1CF10102"/>
    <w:rsid w:val="1CF50AC1"/>
    <w:rsid w:val="1CF6E205"/>
    <w:rsid w:val="1CF8FE94"/>
    <w:rsid w:val="1CFF0798"/>
    <w:rsid w:val="1D008013"/>
    <w:rsid w:val="1D0291D9"/>
    <w:rsid w:val="1D02B9E8"/>
    <w:rsid w:val="1D049A22"/>
    <w:rsid w:val="1D07BDDE"/>
    <w:rsid w:val="1D0EFF21"/>
    <w:rsid w:val="1D1BF808"/>
    <w:rsid w:val="1D1F1347"/>
    <w:rsid w:val="1D288E75"/>
    <w:rsid w:val="1D2FCDC8"/>
    <w:rsid w:val="1D3027D9"/>
    <w:rsid w:val="1D33DB59"/>
    <w:rsid w:val="1D467312"/>
    <w:rsid w:val="1D485389"/>
    <w:rsid w:val="1D4AF6C8"/>
    <w:rsid w:val="1D4C28E3"/>
    <w:rsid w:val="1D4D5208"/>
    <w:rsid w:val="1D4D62D1"/>
    <w:rsid w:val="1D4E6729"/>
    <w:rsid w:val="1D517FD0"/>
    <w:rsid w:val="1D521F61"/>
    <w:rsid w:val="1D527D33"/>
    <w:rsid w:val="1D5358C4"/>
    <w:rsid w:val="1D589F23"/>
    <w:rsid w:val="1D58C0F1"/>
    <w:rsid w:val="1D5B333C"/>
    <w:rsid w:val="1D5BA96A"/>
    <w:rsid w:val="1D5C979D"/>
    <w:rsid w:val="1D6082BB"/>
    <w:rsid w:val="1D60DA52"/>
    <w:rsid w:val="1D6481CF"/>
    <w:rsid w:val="1D6556F6"/>
    <w:rsid w:val="1D702E64"/>
    <w:rsid w:val="1D72244A"/>
    <w:rsid w:val="1D7515B4"/>
    <w:rsid w:val="1D75E079"/>
    <w:rsid w:val="1D7664E1"/>
    <w:rsid w:val="1D77FC8A"/>
    <w:rsid w:val="1D7B36E1"/>
    <w:rsid w:val="1D7DFB5A"/>
    <w:rsid w:val="1D83A39E"/>
    <w:rsid w:val="1D84FA25"/>
    <w:rsid w:val="1D8A2D55"/>
    <w:rsid w:val="1D8D009C"/>
    <w:rsid w:val="1D8E8FEC"/>
    <w:rsid w:val="1D926E0F"/>
    <w:rsid w:val="1D9D112F"/>
    <w:rsid w:val="1DA144D7"/>
    <w:rsid w:val="1DA1EF9A"/>
    <w:rsid w:val="1DA3499E"/>
    <w:rsid w:val="1DA52B08"/>
    <w:rsid w:val="1DA986BC"/>
    <w:rsid w:val="1DAF9B8F"/>
    <w:rsid w:val="1DB0D203"/>
    <w:rsid w:val="1DB60972"/>
    <w:rsid w:val="1DBF2460"/>
    <w:rsid w:val="1DC5C802"/>
    <w:rsid w:val="1DC6D017"/>
    <w:rsid w:val="1DC720C0"/>
    <w:rsid w:val="1DC7F870"/>
    <w:rsid w:val="1DCDB2CE"/>
    <w:rsid w:val="1DD5017C"/>
    <w:rsid w:val="1DDAF28D"/>
    <w:rsid w:val="1DDC5DEF"/>
    <w:rsid w:val="1DDC8477"/>
    <w:rsid w:val="1DDCE6B4"/>
    <w:rsid w:val="1DE07140"/>
    <w:rsid w:val="1DE12B7D"/>
    <w:rsid w:val="1DE4ED44"/>
    <w:rsid w:val="1DE5ECF5"/>
    <w:rsid w:val="1DE65644"/>
    <w:rsid w:val="1DE8C50B"/>
    <w:rsid w:val="1DEF5071"/>
    <w:rsid w:val="1DF0F7BB"/>
    <w:rsid w:val="1DF2AE37"/>
    <w:rsid w:val="1DF40CEA"/>
    <w:rsid w:val="1DF41F73"/>
    <w:rsid w:val="1DFFA0F4"/>
    <w:rsid w:val="1E0040BC"/>
    <w:rsid w:val="1E0181A1"/>
    <w:rsid w:val="1E021A55"/>
    <w:rsid w:val="1E04A30A"/>
    <w:rsid w:val="1E06918C"/>
    <w:rsid w:val="1E0B70A6"/>
    <w:rsid w:val="1E0B811A"/>
    <w:rsid w:val="1E1D4694"/>
    <w:rsid w:val="1E2692DD"/>
    <w:rsid w:val="1E323804"/>
    <w:rsid w:val="1E3552C7"/>
    <w:rsid w:val="1E3959D6"/>
    <w:rsid w:val="1E3B552E"/>
    <w:rsid w:val="1E3C527F"/>
    <w:rsid w:val="1E3C83BF"/>
    <w:rsid w:val="1E3D289C"/>
    <w:rsid w:val="1E3DB66F"/>
    <w:rsid w:val="1E407D13"/>
    <w:rsid w:val="1E43E4FF"/>
    <w:rsid w:val="1E4849E8"/>
    <w:rsid w:val="1E4C6477"/>
    <w:rsid w:val="1E4FD161"/>
    <w:rsid w:val="1E52848A"/>
    <w:rsid w:val="1E532310"/>
    <w:rsid w:val="1E57E8AD"/>
    <w:rsid w:val="1E57F969"/>
    <w:rsid w:val="1E5B0BC1"/>
    <w:rsid w:val="1E5C2451"/>
    <w:rsid w:val="1E5C97DF"/>
    <w:rsid w:val="1E5FB273"/>
    <w:rsid w:val="1E653A50"/>
    <w:rsid w:val="1E67C63C"/>
    <w:rsid w:val="1E6F51AE"/>
    <w:rsid w:val="1E72AE6D"/>
    <w:rsid w:val="1E79072D"/>
    <w:rsid w:val="1E7A21B8"/>
    <w:rsid w:val="1E7BFFE4"/>
    <w:rsid w:val="1E7E1F5F"/>
    <w:rsid w:val="1E7E2001"/>
    <w:rsid w:val="1E7FFB1B"/>
    <w:rsid w:val="1E8006DE"/>
    <w:rsid w:val="1E85F038"/>
    <w:rsid w:val="1E86209A"/>
    <w:rsid w:val="1E8EEC7F"/>
    <w:rsid w:val="1E8EEDD6"/>
    <w:rsid w:val="1E91BB96"/>
    <w:rsid w:val="1E9351BE"/>
    <w:rsid w:val="1E948286"/>
    <w:rsid w:val="1E98BFCD"/>
    <w:rsid w:val="1E9C94E1"/>
    <w:rsid w:val="1E9FCE87"/>
    <w:rsid w:val="1EA0CDA0"/>
    <w:rsid w:val="1EA5929B"/>
    <w:rsid w:val="1EA774A0"/>
    <w:rsid w:val="1EA8548F"/>
    <w:rsid w:val="1EACDD24"/>
    <w:rsid w:val="1EAF5082"/>
    <w:rsid w:val="1EB4A825"/>
    <w:rsid w:val="1EB5865A"/>
    <w:rsid w:val="1EB5EC4F"/>
    <w:rsid w:val="1EB88D2A"/>
    <w:rsid w:val="1EBA494F"/>
    <w:rsid w:val="1EBD735E"/>
    <w:rsid w:val="1EC2C94B"/>
    <w:rsid w:val="1EC2E79A"/>
    <w:rsid w:val="1EC72A32"/>
    <w:rsid w:val="1EC84CE8"/>
    <w:rsid w:val="1ECB93B4"/>
    <w:rsid w:val="1ECC75F4"/>
    <w:rsid w:val="1ED2BBAA"/>
    <w:rsid w:val="1EDE6C99"/>
    <w:rsid w:val="1EE06854"/>
    <w:rsid w:val="1EE0D2B3"/>
    <w:rsid w:val="1EE3AE74"/>
    <w:rsid w:val="1EE3D541"/>
    <w:rsid w:val="1EE43463"/>
    <w:rsid w:val="1EE982E8"/>
    <w:rsid w:val="1EED0539"/>
    <w:rsid w:val="1EEFEC13"/>
    <w:rsid w:val="1EF72BD2"/>
    <w:rsid w:val="1EFABAFC"/>
    <w:rsid w:val="1EFB3AD8"/>
    <w:rsid w:val="1EFC02A2"/>
    <w:rsid w:val="1F00274F"/>
    <w:rsid w:val="1F0CE55C"/>
    <w:rsid w:val="1F118D03"/>
    <w:rsid w:val="1F12E52F"/>
    <w:rsid w:val="1F1537AB"/>
    <w:rsid w:val="1F1B36C0"/>
    <w:rsid w:val="1F2098F3"/>
    <w:rsid w:val="1F20E019"/>
    <w:rsid w:val="1F239EE1"/>
    <w:rsid w:val="1F24C12F"/>
    <w:rsid w:val="1F298967"/>
    <w:rsid w:val="1F334C49"/>
    <w:rsid w:val="1F348DD2"/>
    <w:rsid w:val="1F34F4E7"/>
    <w:rsid w:val="1F366F9F"/>
    <w:rsid w:val="1F37177D"/>
    <w:rsid w:val="1F3984A3"/>
    <w:rsid w:val="1F3B5CF5"/>
    <w:rsid w:val="1F3FF48E"/>
    <w:rsid w:val="1F42A379"/>
    <w:rsid w:val="1F44A24F"/>
    <w:rsid w:val="1F4DAFF5"/>
    <w:rsid w:val="1F4F400D"/>
    <w:rsid w:val="1F4F419C"/>
    <w:rsid w:val="1F53E1B3"/>
    <w:rsid w:val="1F579598"/>
    <w:rsid w:val="1F58C8F2"/>
    <w:rsid w:val="1F5ADB2B"/>
    <w:rsid w:val="1F627551"/>
    <w:rsid w:val="1F657B60"/>
    <w:rsid w:val="1F67D9AB"/>
    <w:rsid w:val="1F6FF8DC"/>
    <w:rsid w:val="1F719C26"/>
    <w:rsid w:val="1F71D491"/>
    <w:rsid w:val="1F760CEB"/>
    <w:rsid w:val="1F7A2BFD"/>
    <w:rsid w:val="1F7AF2FC"/>
    <w:rsid w:val="1F80A902"/>
    <w:rsid w:val="1F84CA32"/>
    <w:rsid w:val="1F864FE2"/>
    <w:rsid w:val="1F86CBC3"/>
    <w:rsid w:val="1F86EC19"/>
    <w:rsid w:val="1F88E021"/>
    <w:rsid w:val="1F8AD73F"/>
    <w:rsid w:val="1F8CA356"/>
    <w:rsid w:val="1F91BDFB"/>
    <w:rsid w:val="1F93924D"/>
    <w:rsid w:val="1F9C6026"/>
    <w:rsid w:val="1F9DE8CE"/>
    <w:rsid w:val="1F9F0BB5"/>
    <w:rsid w:val="1FA3EA64"/>
    <w:rsid w:val="1FA45FC7"/>
    <w:rsid w:val="1FA5AA65"/>
    <w:rsid w:val="1FAA14DF"/>
    <w:rsid w:val="1FAAA508"/>
    <w:rsid w:val="1FAAD3A2"/>
    <w:rsid w:val="1FAAF48D"/>
    <w:rsid w:val="1FABC3C9"/>
    <w:rsid w:val="1FADCBA7"/>
    <w:rsid w:val="1FADF34C"/>
    <w:rsid w:val="1FB05953"/>
    <w:rsid w:val="1FB2C381"/>
    <w:rsid w:val="1FB8590A"/>
    <w:rsid w:val="1FBA672E"/>
    <w:rsid w:val="1FBE11A8"/>
    <w:rsid w:val="1FC62B77"/>
    <w:rsid w:val="1FC669B0"/>
    <w:rsid w:val="1FC75CFA"/>
    <w:rsid w:val="1FC8F205"/>
    <w:rsid w:val="1FCA06BE"/>
    <w:rsid w:val="1FCF2620"/>
    <w:rsid w:val="1FCF3268"/>
    <w:rsid w:val="1FD4A941"/>
    <w:rsid w:val="1FD5EE32"/>
    <w:rsid w:val="1FD80B82"/>
    <w:rsid w:val="1FDF7765"/>
    <w:rsid w:val="1FDFB0BD"/>
    <w:rsid w:val="1FE03C07"/>
    <w:rsid w:val="1FE092EF"/>
    <w:rsid w:val="1FE41160"/>
    <w:rsid w:val="1FE5134B"/>
    <w:rsid w:val="1FE91DA1"/>
    <w:rsid w:val="1FEB1257"/>
    <w:rsid w:val="1FEF04B9"/>
    <w:rsid w:val="1FEFEA91"/>
    <w:rsid w:val="1FF28AA4"/>
    <w:rsid w:val="1FFC5025"/>
    <w:rsid w:val="1FFDA5C5"/>
    <w:rsid w:val="1FFFE3A2"/>
    <w:rsid w:val="20010FC0"/>
    <w:rsid w:val="20061F70"/>
    <w:rsid w:val="20093CD7"/>
    <w:rsid w:val="200BAD63"/>
    <w:rsid w:val="20122D28"/>
    <w:rsid w:val="20128D82"/>
    <w:rsid w:val="20157FB1"/>
    <w:rsid w:val="201A9035"/>
    <w:rsid w:val="201C3326"/>
    <w:rsid w:val="202012A6"/>
    <w:rsid w:val="202C5493"/>
    <w:rsid w:val="202E6A62"/>
    <w:rsid w:val="20308C96"/>
    <w:rsid w:val="20352261"/>
    <w:rsid w:val="2038CE35"/>
    <w:rsid w:val="2038DA05"/>
    <w:rsid w:val="2041BE89"/>
    <w:rsid w:val="20453AD0"/>
    <w:rsid w:val="204706ED"/>
    <w:rsid w:val="2047D414"/>
    <w:rsid w:val="204894B6"/>
    <w:rsid w:val="20492A96"/>
    <w:rsid w:val="204EAA51"/>
    <w:rsid w:val="204F203F"/>
    <w:rsid w:val="20547125"/>
    <w:rsid w:val="205542CD"/>
    <w:rsid w:val="20554B10"/>
    <w:rsid w:val="205662D7"/>
    <w:rsid w:val="205B5FB7"/>
    <w:rsid w:val="205EDCAF"/>
    <w:rsid w:val="205F526D"/>
    <w:rsid w:val="205F8FAD"/>
    <w:rsid w:val="2061D28F"/>
    <w:rsid w:val="206335FF"/>
    <w:rsid w:val="20641F57"/>
    <w:rsid w:val="20673DD2"/>
    <w:rsid w:val="206847B3"/>
    <w:rsid w:val="206B349E"/>
    <w:rsid w:val="207313DE"/>
    <w:rsid w:val="20781C6F"/>
    <w:rsid w:val="20781DEB"/>
    <w:rsid w:val="207A5A3F"/>
    <w:rsid w:val="207DE097"/>
    <w:rsid w:val="20835AA6"/>
    <w:rsid w:val="20837BEC"/>
    <w:rsid w:val="2083CC89"/>
    <w:rsid w:val="2083FC76"/>
    <w:rsid w:val="20842CBF"/>
    <w:rsid w:val="2086E463"/>
    <w:rsid w:val="208768A2"/>
    <w:rsid w:val="208800A6"/>
    <w:rsid w:val="208958DF"/>
    <w:rsid w:val="208981C4"/>
    <w:rsid w:val="208A53AE"/>
    <w:rsid w:val="208B9542"/>
    <w:rsid w:val="208DCD5F"/>
    <w:rsid w:val="208F8E7D"/>
    <w:rsid w:val="20912787"/>
    <w:rsid w:val="2091347B"/>
    <w:rsid w:val="20942A6F"/>
    <w:rsid w:val="2096E058"/>
    <w:rsid w:val="209C1EDD"/>
    <w:rsid w:val="209DC3D2"/>
    <w:rsid w:val="20A49D17"/>
    <w:rsid w:val="20A4F260"/>
    <w:rsid w:val="20A61564"/>
    <w:rsid w:val="20AA1F71"/>
    <w:rsid w:val="20AA7B87"/>
    <w:rsid w:val="20ABEAB6"/>
    <w:rsid w:val="20ADE587"/>
    <w:rsid w:val="20B7137E"/>
    <w:rsid w:val="20C283C2"/>
    <w:rsid w:val="20C8CEC5"/>
    <w:rsid w:val="20C8D531"/>
    <w:rsid w:val="20C9356A"/>
    <w:rsid w:val="20C93945"/>
    <w:rsid w:val="20C96D44"/>
    <w:rsid w:val="20CE448C"/>
    <w:rsid w:val="20D427CD"/>
    <w:rsid w:val="20D48B67"/>
    <w:rsid w:val="20D65424"/>
    <w:rsid w:val="20D69931"/>
    <w:rsid w:val="20DC94F1"/>
    <w:rsid w:val="20E27CDA"/>
    <w:rsid w:val="20ED25B4"/>
    <w:rsid w:val="20F50D7A"/>
    <w:rsid w:val="20FBF9D1"/>
    <w:rsid w:val="20FC74C1"/>
    <w:rsid w:val="20FD4296"/>
    <w:rsid w:val="21013C40"/>
    <w:rsid w:val="21017C57"/>
    <w:rsid w:val="2104920D"/>
    <w:rsid w:val="21051CBB"/>
    <w:rsid w:val="21059643"/>
    <w:rsid w:val="2108DEAF"/>
    <w:rsid w:val="210AFC4A"/>
    <w:rsid w:val="21110C53"/>
    <w:rsid w:val="21123D3F"/>
    <w:rsid w:val="2114BFFA"/>
    <w:rsid w:val="21175919"/>
    <w:rsid w:val="2118972C"/>
    <w:rsid w:val="211B677C"/>
    <w:rsid w:val="211DD239"/>
    <w:rsid w:val="211DF000"/>
    <w:rsid w:val="211F72E7"/>
    <w:rsid w:val="211FD65F"/>
    <w:rsid w:val="21243AAF"/>
    <w:rsid w:val="21247EEF"/>
    <w:rsid w:val="2124BD0B"/>
    <w:rsid w:val="212B2823"/>
    <w:rsid w:val="212EF968"/>
    <w:rsid w:val="214184A4"/>
    <w:rsid w:val="21420F43"/>
    <w:rsid w:val="2142D2FF"/>
    <w:rsid w:val="2144122A"/>
    <w:rsid w:val="2145969F"/>
    <w:rsid w:val="2145FDF1"/>
    <w:rsid w:val="2146975C"/>
    <w:rsid w:val="2147C7BF"/>
    <w:rsid w:val="214C6850"/>
    <w:rsid w:val="21557B61"/>
    <w:rsid w:val="2158C83E"/>
    <w:rsid w:val="2159222B"/>
    <w:rsid w:val="215D02C2"/>
    <w:rsid w:val="21614997"/>
    <w:rsid w:val="21663EE7"/>
    <w:rsid w:val="21686D79"/>
    <w:rsid w:val="216891EC"/>
    <w:rsid w:val="2168D220"/>
    <w:rsid w:val="216CEA55"/>
    <w:rsid w:val="2170FDCD"/>
    <w:rsid w:val="21739D52"/>
    <w:rsid w:val="2173BB07"/>
    <w:rsid w:val="21745B12"/>
    <w:rsid w:val="2175ABB5"/>
    <w:rsid w:val="218475DD"/>
    <w:rsid w:val="2184A12F"/>
    <w:rsid w:val="21867A6D"/>
    <w:rsid w:val="2186A646"/>
    <w:rsid w:val="2189ABCD"/>
    <w:rsid w:val="2189FE42"/>
    <w:rsid w:val="218E3816"/>
    <w:rsid w:val="218FB106"/>
    <w:rsid w:val="219846BE"/>
    <w:rsid w:val="21986B8A"/>
    <w:rsid w:val="219BD991"/>
    <w:rsid w:val="21A0893F"/>
    <w:rsid w:val="21A26677"/>
    <w:rsid w:val="21A641F3"/>
    <w:rsid w:val="21A77A8D"/>
    <w:rsid w:val="21AA9DC1"/>
    <w:rsid w:val="21ABA002"/>
    <w:rsid w:val="21AE3CBC"/>
    <w:rsid w:val="21AF8E0F"/>
    <w:rsid w:val="21B08C98"/>
    <w:rsid w:val="21B157CB"/>
    <w:rsid w:val="21B19BB3"/>
    <w:rsid w:val="21B1A2E8"/>
    <w:rsid w:val="21B6E7E9"/>
    <w:rsid w:val="21B984FB"/>
    <w:rsid w:val="21C21E61"/>
    <w:rsid w:val="21C235BC"/>
    <w:rsid w:val="21C9857D"/>
    <w:rsid w:val="21CBBFA3"/>
    <w:rsid w:val="21CFEDED"/>
    <w:rsid w:val="21D0E01D"/>
    <w:rsid w:val="21D19A0B"/>
    <w:rsid w:val="21D291BA"/>
    <w:rsid w:val="21D49C09"/>
    <w:rsid w:val="21D5C5C0"/>
    <w:rsid w:val="21DA708B"/>
    <w:rsid w:val="21DA778F"/>
    <w:rsid w:val="21DE1F28"/>
    <w:rsid w:val="21E1AB7F"/>
    <w:rsid w:val="21E3834D"/>
    <w:rsid w:val="21E3C9F5"/>
    <w:rsid w:val="21E420E0"/>
    <w:rsid w:val="21E52E2B"/>
    <w:rsid w:val="21E8C498"/>
    <w:rsid w:val="21EDA555"/>
    <w:rsid w:val="21EFBAA2"/>
    <w:rsid w:val="21F0CFA2"/>
    <w:rsid w:val="21F58004"/>
    <w:rsid w:val="22001312"/>
    <w:rsid w:val="22004FB6"/>
    <w:rsid w:val="2200F0DF"/>
    <w:rsid w:val="22031AF6"/>
    <w:rsid w:val="2206BC38"/>
    <w:rsid w:val="2208958A"/>
    <w:rsid w:val="220A49B2"/>
    <w:rsid w:val="220AABC4"/>
    <w:rsid w:val="220B8CA1"/>
    <w:rsid w:val="220DC8F7"/>
    <w:rsid w:val="2211628F"/>
    <w:rsid w:val="2212E1F7"/>
    <w:rsid w:val="22139F8D"/>
    <w:rsid w:val="2216FA26"/>
    <w:rsid w:val="2218E4E8"/>
    <w:rsid w:val="222386A4"/>
    <w:rsid w:val="222E9C82"/>
    <w:rsid w:val="223B2B2B"/>
    <w:rsid w:val="223E943F"/>
    <w:rsid w:val="22415059"/>
    <w:rsid w:val="22430CD1"/>
    <w:rsid w:val="2245DE07"/>
    <w:rsid w:val="2249C8C0"/>
    <w:rsid w:val="224B11F7"/>
    <w:rsid w:val="225207D3"/>
    <w:rsid w:val="22525332"/>
    <w:rsid w:val="2252B21D"/>
    <w:rsid w:val="2255DD5B"/>
    <w:rsid w:val="22583416"/>
    <w:rsid w:val="225AB946"/>
    <w:rsid w:val="22600ECF"/>
    <w:rsid w:val="2260CA66"/>
    <w:rsid w:val="22687F28"/>
    <w:rsid w:val="2269E83C"/>
    <w:rsid w:val="22753777"/>
    <w:rsid w:val="2279ED5A"/>
    <w:rsid w:val="227B8EF3"/>
    <w:rsid w:val="2285184A"/>
    <w:rsid w:val="22856656"/>
    <w:rsid w:val="2287A8C1"/>
    <w:rsid w:val="228BA0CE"/>
    <w:rsid w:val="228BDBC7"/>
    <w:rsid w:val="228D6D5B"/>
    <w:rsid w:val="229266AD"/>
    <w:rsid w:val="2292A43D"/>
    <w:rsid w:val="22998CED"/>
    <w:rsid w:val="229B9096"/>
    <w:rsid w:val="229DA797"/>
    <w:rsid w:val="22A36430"/>
    <w:rsid w:val="22A4077C"/>
    <w:rsid w:val="22A4DA55"/>
    <w:rsid w:val="22A92A25"/>
    <w:rsid w:val="22A991C9"/>
    <w:rsid w:val="22AA9C44"/>
    <w:rsid w:val="22AC99FD"/>
    <w:rsid w:val="22ADE9EF"/>
    <w:rsid w:val="22B57DE1"/>
    <w:rsid w:val="22B5C411"/>
    <w:rsid w:val="22B6398D"/>
    <w:rsid w:val="22B7A641"/>
    <w:rsid w:val="22C1D3AB"/>
    <w:rsid w:val="22C61744"/>
    <w:rsid w:val="22CCCE96"/>
    <w:rsid w:val="22D3F27D"/>
    <w:rsid w:val="22D43ECE"/>
    <w:rsid w:val="22D70FFC"/>
    <w:rsid w:val="22D735A7"/>
    <w:rsid w:val="22E4A17D"/>
    <w:rsid w:val="22E561AA"/>
    <w:rsid w:val="22EA4881"/>
    <w:rsid w:val="22EEDBAA"/>
    <w:rsid w:val="22F87419"/>
    <w:rsid w:val="22FCBAD7"/>
    <w:rsid w:val="22FE6CD9"/>
    <w:rsid w:val="2302689B"/>
    <w:rsid w:val="2303F954"/>
    <w:rsid w:val="230422D4"/>
    <w:rsid w:val="230911BB"/>
    <w:rsid w:val="23091DF2"/>
    <w:rsid w:val="230939EB"/>
    <w:rsid w:val="23094495"/>
    <w:rsid w:val="230AF2B7"/>
    <w:rsid w:val="231A967C"/>
    <w:rsid w:val="231E8B53"/>
    <w:rsid w:val="2320463E"/>
    <w:rsid w:val="232071D7"/>
    <w:rsid w:val="23226703"/>
    <w:rsid w:val="2322ABA3"/>
    <w:rsid w:val="2326194C"/>
    <w:rsid w:val="2327E5EA"/>
    <w:rsid w:val="232C3E05"/>
    <w:rsid w:val="232CFE4D"/>
    <w:rsid w:val="232E698B"/>
    <w:rsid w:val="2332F1AE"/>
    <w:rsid w:val="233B2AAC"/>
    <w:rsid w:val="233FDB60"/>
    <w:rsid w:val="233FEEB1"/>
    <w:rsid w:val="23425206"/>
    <w:rsid w:val="2344787E"/>
    <w:rsid w:val="234892CA"/>
    <w:rsid w:val="2349B94D"/>
    <w:rsid w:val="234EDB76"/>
    <w:rsid w:val="234F4533"/>
    <w:rsid w:val="2355ED44"/>
    <w:rsid w:val="23562B54"/>
    <w:rsid w:val="2358B69F"/>
    <w:rsid w:val="2360CA99"/>
    <w:rsid w:val="23614ED8"/>
    <w:rsid w:val="23617839"/>
    <w:rsid w:val="23621A74"/>
    <w:rsid w:val="236C0E5C"/>
    <w:rsid w:val="236D1836"/>
    <w:rsid w:val="236D7D85"/>
    <w:rsid w:val="2371E93D"/>
    <w:rsid w:val="2375B94E"/>
    <w:rsid w:val="2375E04A"/>
    <w:rsid w:val="237DA03A"/>
    <w:rsid w:val="237F52C1"/>
    <w:rsid w:val="238633C0"/>
    <w:rsid w:val="23897B0E"/>
    <w:rsid w:val="238B861A"/>
    <w:rsid w:val="2395DF15"/>
    <w:rsid w:val="2395E756"/>
    <w:rsid w:val="239C0E47"/>
    <w:rsid w:val="23A07F2E"/>
    <w:rsid w:val="23A12583"/>
    <w:rsid w:val="23A3197D"/>
    <w:rsid w:val="23A49B1A"/>
    <w:rsid w:val="23B0C1B9"/>
    <w:rsid w:val="23B7E17A"/>
    <w:rsid w:val="23B834BB"/>
    <w:rsid w:val="23BBA4C2"/>
    <w:rsid w:val="23BD765E"/>
    <w:rsid w:val="23C28104"/>
    <w:rsid w:val="23C46FAC"/>
    <w:rsid w:val="23C65F08"/>
    <w:rsid w:val="23CA290F"/>
    <w:rsid w:val="23CB984C"/>
    <w:rsid w:val="23CEE547"/>
    <w:rsid w:val="23CF8293"/>
    <w:rsid w:val="23CFE756"/>
    <w:rsid w:val="23D4BFCA"/>
    <w:rsid w:val="23D5AF14"/>
    <w:rsid w:val="23D82F95"/>
    <w:rsid w:val="23D9166F"/>
    <w:rsid w:val="23DC1A87"/>
    <w:rsid w:val="23DD5999"/>
    <w:rsid w:val="23E043BD"/>
    <w:rsid w:val="23ED7108"/>
    <w:rsid w:val="23EDA9A8"/>
    <w:rsid w:val="23F04DCC"/>
    <w:rsid w:val="23F1AC4D"/>
    <w:rsid w:val="23F4DF86"/>
    <w:rsid w:val="23F61C7A"/>
    <w:rsid w:val="23F6E8A4"/>
    <w:rsid w:val="23F88BBF"/>
    <w:rsid w:val="23F8F33A"/>
    <w:rsid w:val="23FB2693"/>
    <w:rsid w:val="23FB76E4"/>
    <w:rsid w:val="23FCB5CF"/>
    <w:rsid w:val="240005F5"/>
    <w:rsid w:val="2401F421"/>
    <w:rsid w:val="240231C4"/>
    <w:rsid w:val="2409DD2C"/>
    <w:rsid w:val="2409EB30"/>
    <w:rsid w:val="240DAB70"/>
    <w:rsid w:val="2410B74C"/>
    <w:rsid w:val="241420B3"/>
    <w:rsid w:val="24147681"/>
    <w:rsid w:val="2416D422"/>
    <w:rsid w:val="241778E6"/>
    <w:rsid w:val="241C3E5F"/>
    <w:rsid w:val="2421EAA9"/>
    <w:rsid w:val="2425C9A2"/>
    <w:rsid w:val="242C7EAA"/>
    <w:rsid w:val="242DA2E1"/>
    <w:rsid w:val="2431E0B2"/>
    <w:rsid w:val="24320903"/>
    <w:rsid w:val="24360BC4"/>
    <w:rsid w:val="24370695"/>
    <w:rsid w:val="2437E5E6"/>
    <w:rsid w:val="243927BA"/>
    <w:rsid w:val="243CE529"/>
    <w:rsid w:val="243DFE40"/>
    <w:rsid w:val="2442C752"/>
    <w:rsid w:val="24442459"/>
    <w:rsid w:val="2445622A"/>
    <w:rsid w:val="244CEA86"/>
    <w:rsid w:val="244E2231"/>
    <w:rsid w:val="244F9C7D"/>
    <w:rsid w:val="2452CDDE"/>
    <w:rsid w:val="2454A9A4"/>
    <w:rsid w:val="24564ABB"/>
    <w:rsid w:val="245710C7"/>
    <w:rsid w:val="2459C958"/>
    <w:rsid w:val="245FE954"/>
    <w:rsid w:val="24646C58"/>
    <w:rsid w:val="246692C0"/>
    <w:rsid w:val="246AA15F"/>
    <w:rsid w:val="246C689A"/>
    <w:rsid w:val="246C71FE"/>
    <w:rsid w:val="246C8CA5"/>
    <w:rsid w:val="2471B542"/>
    <w:rsid w:val="24732804"/>
    <w:rsid w:val="24744910"/>
    <w:rsid w:val="2476DDBC"/>
    <w:rsid w:val="2477EEC3"/>
    <w:rsid w:val="247D67DF"/>
    <w:rsid w:val="24837A32"/>
    <w:rsid w:val="2483B30C"/>
    <w:rsid w:val="248742D4"/>
    <w:rsid w:val="248A9B9E"/>
    <w:rsid w:val="248C1B67"/>
    <w:rsid w:val="2491BA71"/>
    <w:rsid w:val="2496509B"/>
    <w:rsid w:val="2498D906"/>
    <w:rsid w:val="249A1CBC"/>
    <w:rsid w:val="249BBF37"/>
    <w:rsid w:val="249DA8BB"/>
    <w:rsid w:val="24A49916"/>
    <w:rsid w:val="24A71424"/>
    <w:rsid w:val="24A876A7"/>
    <w:rsid w:val="24ABFBD4"/>
    <w:rsid w:val="24AFC313"/>
    <w:rsid w:val="24B4FFE1"/>
    <w:rsid w:val="24B519D7"/>
    <w:rsid w:val="24B7C308"/>
    <w:rsid w:val="24B80685"/>
    <w:rsid w:val="24BC17D2"/>
    <w:rsid w:val="24BCE641"/>
    <w:rsid w:val="24C02FFB"/>
    <w:rsid w:val="24C39386"/>
    <w:rsid w:val="24C46671"/>
    <w:rsid w:val="24C822E3"/>
    <w:rsid w:val="24CF86B6"/>
    <w:rsid w:val="24D1C80F"/>
    <w:rsid w:val="24D3C4E8"/>
    <w:rsid w:val="24D6030B"/>
    <w:rsid w:val="24DA51D4"/>
    <w:rsid w:val="24DD8FE4"/>
    <w:rsid w:val="24E9FF14"/>
    <w:rsid w:val="24EA88C9"/>
    <w:rsid w:val="24ED3C0B"/>
    <w:rsid w:val="24EFA5D6"/>
    <w:rsid w:val="24F3DEB4"/>
    <w:rsid w:val="24F7E32F"/>
    <w:rsid w:val="24FA8BB6"/>
    <w:rsid w:val="25015172"/>
    <w:rsid w:val="2502247B"/>
    <w:rsid w:val="2505391C"/>
    <w:rsid w:val="2505B7E3"/>
    <w:rsid w:val="250A80C9"/>
    <w:rsid w:val="2510FCCF"/>
    <w:rsid w:val="251AB1CB"/>
    <w:rsid w:val="251C47DD"/>
    <w:rsid w:val="251CD453"/>
    <w:rsid w:val="251D4D13"/>
    <w:rsid w:val="251F16C9"/>
    <w:rsid w:val="251F8219"/>
    <w:rsid w:val="251FC432"/>
    <w:rsid w:val="25271B45"/>
    <w:rsid w:val="2527567B"/>
    <w:rsid w:val="2528EEC1"/>
    <w:rsid w:val="25322AF4"/>
    <w:rsid w:val="25367DD8"/>
    <w:rsid w:val="2536A7F4"/>
    <w:rsid w:val="2539A79A"/>
    <w:rsid w:val="253B6A4E"/>
    <w:rsid w:val="2541A47D"/>
    <w:rsid w:val="25420D8A"/>
    <w:rsid w:val="2543E4A5"/>
    <w:rsid w:val="25454CC2"/>
    <w:rsid w:val="25455149"/>
    <w:rsid w:val="254660A0"/>
    <w:rsid w:val="2548975D"/>
    <w:rsid w:val="25490780"/>
    <w:rsid w:val="254A62C1"/>
    <w:rsid w:val="254DD523"/>
    <w:rsid w:val="2550D022"/>
    <w:rsid w:val="25524052"/>
    <w:rsid w:val="25531140"/>
    <w:rsid w:val="25544A27"/>
    <w:rsid w:val="25569B90"/>
    <w:rsid w:val="2557FEE5"/>
    <w:rsid w:val="2558FDCB"/>
    <w:rsid w:val="255D23BF"/>
    <w:rsid w:val="255F72F0"/>
    <w:rsid w:val="2566A809"/>
    <w:rsid w:val="2566DB80"/>
    <w:rsid w:val="256CE674"/>
    <w:rsid w:val="256D0B21"/>
    <w:rsid w:val="256D43A9"/>
    <w:rsid w:val="256F19D3"/>
    <w:rsid w:val="257F284A"/>
    <w:rsid w:val="2584288B"/>
    <w:rsid w:val="258A04E9"/>
    <w:rsid w:val="258D3436"/>
    <w:rsid w:val="2593C1C4"/>
    <w:rsid w:val="25960851"/>
    <w:rsid w:val="259AA845"/>
    <w:rsid w:val="259D27C4"/>
    <w:rsid w:val="259E4A9A"/>
    <w:rsid w:val="25A2178F"/>
    <w:rsid w:val="25A4DA4C"/>
    <w:rsid w:val="25A7A3AF"/>
    <w:rsid w:val="25ADBEBF"/>
    <w:rsid w:val="25AEF85E"/>
    <w:rsid w:val="25AFCE9E"/>
    <w:rsid w:val="25B027DB"/>
    <w:rsid w:val="25B19186"/>
    <w:rsid w:val="25B2F5E6"/>
    <w:rsid w:val="25B4F862"/>
    <w:rsid w:val="25B65172"/>
    <w:rsid w:val="25C97240"/>
    <w:rsid w:val="25CD2A93"/>
    <w:rsid w:val="25CFFA5E"/>
    <w:rsid w:val="25D241C7"/>
    <w:rsid w:val="25D2A831"/>
    <w:rsid w:val="25D3A899"/>
    <w:rsid w:val="25D40B63"/>
    <w:rsid w:val="25D7098F"/>
    <w:rsid w:val="25D979F6"/>
    <w:rsid w:val="25DED8B4"/>
    <w:rsid w:val="25DF03FB"/>
    <w:rsid w:val="25E20447"/>
    <w:rsid w:val="25E26832"/>
    <w:rsid w:val="25E4C96F"/>
    <w:rsid w:val="25E6846C"/>
    <w:rsid w:val="25EB1E9F"/>
    <w:rsid w:val="25ECDEC9"/>
    <w:rsid w:val="25ED2CD6"/>
    <w:rsid w:val="25F0D68D"/>
    <w:rsid w:val="25F78098"/>
    <w:rsid w:val="25F803CD"/>
    <w:rsid w:val="25FA47E3"/>
    <w:rsid w:val="25FA5100"/>
    <w:rsid w:val="25FEEED2"/>
    <w:rsid w:val="25FF6CB0"/>
    <w:rsid w:val="2603A5DB"/>
    <w:rsid w:val="26043171"/>
    <w:rsid w:val="2604A3E7"/>
    <w:rsid w:val="2604B18C"/>
    <w:rsid w:val="26051627"/>
    <w:rsid w:val="260562B4"/>
    <w:rsid w:val="2606CDB0"/>
    <w:rsid w:val="260C8747"/>
    <w:rsid w:val="260FA8E2"/>
    <w:rsid w:val="2612A64D"/>
    <w:rsid w:val="2613F07C"/>
    <w:rsid w:val="261416F4"/>
    <w:rsid w:val="2616145E"/>
    <w:rsid w:val="261F37E9"/>
    <w:rsid w:val="26218731"/>
    <w:rsid w:val="26243AEE"/>
    <w:rsid w:val="262C7209"/>
    <w:rsid w:val="262D5D2D"/>
    <w:rsid w:val="263104F2"/>
    <w:rsid w:val="263149D6"/>
    <w:rsid w:val="263257D0"/>
    <w:rsid w:val="26331B4B"/>
    <w:rsid w:val="263606B2"/>
    <w:rsid w:val="263D0777"/>
    <w:rsid w:val="2640FE8C"/>
    <w:rsid w:val="26486F97"/>
    <w:rsid w:val="264B790F"/>
    <w:rsid w:val="264FDEC8"/>
    <w:rsid w:val="26521BE1"/>
    <w:rsid w:val="2659A182"/>
    <w:rsid w:val="265B5F83"/>
    <w:rsid w:val="266140A6"/>
    <w:rsid w:val="26643EF4"/>
    <w:rsid w:val="26644437"/>
    <w:rsid w:val="266D0F43"/>
    <w:rsid w:val="266FF330"/>
    <w:rsid w:val="267072A7"/>
    <w:rsid w:val="2675A3C1"/>
    <w:rsid w:val="26763455"/>
    <w:rsid w:val="267C24F5"/>
    <w:rsid w:val="267E72C9"/>
    <w:rsid w:val="26871C89"/>
    <w:rsid w:val="26884705"/>
    <w:rsid w:val="26900BE1"/>
    <w:rsid w:val="26915193"/>
    <w:rsid w:val="269281B4"/>
    <w:rsid w:val="26966019"/>
    <w:rsid w:val="26982F6C"/>
    <w:rsid w:val="2699F7EB"/>
    <w:rsid w:val="269B4205"/>
    <w:rsid w:val="269CAA9B"/>
    <w:rsid w:val="26A1D95F"/>
    <w:rsid w:val="26A2769B"/>
    <w:rsid w:val="26B0CAD7"/>
    <w:rsid w:val="26B12F7E"/>
    <w:rsid w:val="26BDAE56"/>
    <w:rsid w:val="26BF4AA9"/>
    <w:rsid w:val="26C044E1"/>
    <w:rsid w:val="26C1364F"/>
    <w:rsid w:val="26C28227"/>
    <w:rsid w:val="26C6F251"/>
    <w:rsid w:val="26CC61D1"/>
    <w:rsid w:val="26CEE8F0"/>
    <w:rsid w:val="26D184FD"/>
    <w:rsid w:val="26D87DC3"/>
    <w:rsid w:val="26D9D5CE"/>
    <w:rsid w:val="26DA30A3"/>
    <w:rsid w:val="26DC1EDF"/>
    <w:rsid w:val="26DFEF36"/>
    <w:rsid w:val="26E73F0C"/>
    <w:rsid w:val="26ED17F5"/>
    <w:rsid w:val="26EE1517"/>
    <w:rsid w:val="26FC733B"/>
    <w:rsid w:val="26FE5965"/>
    <w:rsid w:val="27004845"/>
    <w:rsid w:val="270467E4"/>
    <w:rsid w:val="27076371"/>
    <w:rsid w:val="270FCCC1"/>
    <w:rsid w:val="2714D34B"/>
    <w:rsid w:val="27154386"/>
    <w:rsid w:val="2716721D"/>
    <w:rsid w:val="271C0BEA"/>
    <w:rsid w:val="2720F545"/>
    <w:rsid w:val="27236261"/>
    <w:rsid w:val="2725AB6B"/>
    <w:rsid w:val="27263B9B"/>
    <w:rsid w:val="27291260"/>
    <w:rsid w:val="272ABFE0"/>
    <w:rsid w:val="272C2D05"/>
    <w:rsid w:val="272C5634"/>
    <w:rsid w:val="272D347F"/>
    <w:rsid w:val="272ED132"/>
    <w:rsid w:val="2730BDB3"/>
    <w:rsid w:val="273434B4"/>
    <w:rsid w:val="273635C0"/>
    <w:rsid w:val="2739B3A4"/>
    <w:rsid w:val="273BB7A4"/>
    <w:rsid w:val="273E448F"/>
    <w:rsid w:val="274268EC"/>
    <w:rsid w:val="2742B23C"/>
    <w:rsid w:val="274C3FF9"/>
    <w:rsid w:val="274FB434"/>
    <w:rsid w:val="274FCDF6"/>
    <w:rsid w:val="27527AFB"/>
    <w:rsid w:val="2754EE64"/>
    <w:rsid w:val="27578C58"/>
    <w:rsid w:val="2757D1D9"/>
    <w:rsid w:val="275E687D"/>
    <w:rsid w:val="275F0DC3"/>
    <w:rsid w:val="27604641"/>
    <w:rsid w:val="2760C5CB"/>
    <w:rsid w:val="2769F404"/>
    <w:rsid w:val="276AC4AE"/>
    <w:rsid w:val="276AFBCA"/>
    <w:rsid w:val="276B1F87"/>
    <w:rsid w:val="2770A135"/>
    <w:rsid w:val="27747D77"/>
    <w:rsid w:val="277AD78B"/>
    <w:rsid w:val="277C9FD5"/>
    <w:rsid w:val="2781A069"/>
    <w:rsid w:val="2782D6B6"/>
    <w:rsid w:val="27834084"/>
    <w:rsid w:val="2785D0B1"/>
    <w:rsid w:val="2789EE58"/>
    <w:rsid w:val="2791E343"/>
    <w:rsid w:val="2792A8E4"/>
    <w:rsid w:val="279C9F78"/>
    <w:rsid w:val="27A17A69"/>
    <w:rsid w:val="27A20163"/>
    <w:rsid w:val="27A883C1"/>
    <w:rsid w:val="27B031DA"/>
    <w:rsid w:val="27B1B180"/>
    <w:rsid w:val="27B644CA"/>
    <w:rsid w:val="27B7D14A"/>
    <w:rsid w:val="27B83AFE"/>
    <w:rsid w:val="27BC346E"/>
    <w:rsid w:val="27C6E72E"/>
    <w:rsid w:val="27CAE6F1"/>
    <w:rsid w:val="27CDC532"/>
    <w:rsid w:val="27D25A1C"/>
    <w:rsid w:val="27D33F4A"/>
    <w:rsid w:val="27D97355"/>
    <w:rsid w:val="27D9763F"/>
    <w:rsid w:val="27E42659"/>
    <w:rsid w:val="27EA560E"/>
    <w:rsid w:val="27EB0B6E"/>
    <w:rsid w:val="27F17C78"/>
    <w:rsid w:val="27F21D32"/>
    <w:rsid w:val="27F36CA7"/>
    <w:rsid w:val="27F3B761"/>
    <w:rsid w:val="27FB04C3"/>
    <w:rsid w:val="27FB65AA"/>
    <w:rsid w:val="27FC6CE3"/>
    <w:rsid w:val="27FD9A44"/>
    <w:rsid w:val="27FEFA9A"/>
    <w:rsid w:val="27FF35A8"/>
    <w:rsid w:val="28011D4D"/>
    <w:rsid w:val="28023D06"/>
    <w:rsid w:val="280284AD"/>
    <w:rsid w:val="28028C2F"/>
    <w:rsid w:val="28080B37"/>
    <w:rsid w:val="280A7415"/>
    <w:rsid w:val="280AAC04"/>
    <w:rsid w:val="280C916E"/>
    <w:rsid w:val="2813A850"/>
    <w:rsid w:val="281F0606"/>
    <w:rsid w:val="282AED58"/>
    <w:rsid w:val="282F2293"/>
    <w:rsid w:val="282F81AC"/>
    <w:rsid w:val="282F83F1"/>
    <w:rsid w:val="28343230"/>
    <w:rsid w:val="2835C6E1"/>
    <w:rsid w:val="28360AB7"/>
    <w:rsid w:val="2836579D"/>
    <w:rsid w:val="283805B1"/>
    <w:rsid w:val="283947A0"/>
    <w:rsid w:val="283B89A1"/>
    <w:rsid w:val="2840B1F0"/>
    <w:rsid w:val="28416A7D"/>
    <w:rsid w:val="2842CACB"/>
    <w:rsid w:val="2844EFD7"/>
    <w:rsid w:val="28463BE7"/>
    <w:rsid w:val="28471114"/>
    <w:rsid w:val="284D0146"/>
    <w:rsid w:val="284E5DA6"/>
    <w:rsid w:val="28527D20"/>
    <w:rsid w:val="28528D31"/>
    <w:rsid w:val="2854D036"/>
    <w:rsid w:val="285507EF"/>
    <w:rsid w:val="28559077"/>
    <w:rsid w:val="28590C90"/>
    <w:rsid w:val="285A2D30"/>
    <w:rsid w:val="285E70FE"/>
    <w:rsid w:val="2860C26A"/>
    <w:rsid w:val="286105DE"/>
    <w:rsid w:val="2861EA5C"/>
    <w:rsid w:val="28621509"/>
    <w:rsid w:val="2864FCE3"/>
    <w:rsid w:val="28667BEA"/>
    <w:rsid w:val="2869681D"/>
    <w:rsid w:val="2869BFAD"/>
    <w:rsid w:val="286CCD57"/>
    <w:rsid w:val="286CDF9F"/>
    <w:rsid w:val="286E4C26"/>
    <w:rsid w:val="286E7608"/>
    <w:rsid w:val="28747DEA"/>
    <w:rsid w:val="287C4D3D"/>
    <w:rsid w:val="287F6851"/>
    <w:rsid w:val="28806F41"/>
    <w:rsid w:val="28812847"/>
    <w:rsid w:val="28834DAF"/>
    <w:rsid w:val="28896034"/>
    <w:rsid w:val="2889DDED"/>
    <w:rsid w:val="288B8F6E"/>
    <w:rsid w:val="288FB536"/>
    <w:rsid w:val="2890D074"/>
    <w:rsid w:val="28922361"/>
    <w:rsid w:val="2895AF4D"/>
    <w:rsid w:val="289AB0AD"/>
    <w:rsid w:val="289B873C"/>
    <w:rsid w:val="289DA109"/>
    <w:rsid w:val="28A577D5"/>
    <w:rsid w:val="28A63810"/>
    <w:rsid w:val="28AA7305"/>
    <w:rsid w:val="28AB4EE9"/>
    <w:rsid w:val="28ABBE8F"/>
    <w:rsid w:val="28ABC979"/>
    <w:rsid w:val="28ADBEC9"/>
    <w:rsid w:val="28AE9A65"/>
    <w:rsid w:val="28B22EB4"/>
    <w:rsid w:val="28B308E8"/>
    <w:rsid w:val="28B7234C"/>
    <w:rsid w:val="28BFE924"/>
    <w:rsid w:val="28C1FE05"/>
    <w:rsid w:val="28C94A39"/>
    <w:rsid w:val="28C9EE0B"/>
    <w:rsid w:val="28CCF61D"/>
    <w:rsid w:val="28CD619B"/>
    <w:rsid w:val="28D22D1F"/>
    <w:rsid w:val="28D8D52F"/>
    <w:rsid w:val="28DA01E5"/>
    <w:rsid w:val="28E0F448"/>
    <w:rsid w:val="28E6B101"/>
    <w:rsid w:val="28E87DC3"/>
    <w:rsid w:val="28EB02BA"/>
    <w:rsid w:val="28ED3664"/>
    <w:rsid w:val="28ED52C7"/>
    <w:rsid w:val="28EE22B4"/>
    <w:rsid w:val="28EEEC54"/>
    <w:rsid w:val="28F11D6D"/>
    <w:rsid w:val="28F1E1C9"/>
    <w:rsid w:val="28F7DC8F"/>
    <w:rsid w:val="28F8B6E9"/>
    <w:rsid w:val="28FB74C3"/>
    <w:rsid w:val="29010D61"/>
    <w:rsid w:val="2901FD45"/>
    <w:rsid w:val="29038BE1"/>
    <w:rsid w:val="2903ACD7"/>
    <w:rsid w:val="29118851"/>
    <w:rsid w:val="29123677"/>
    <w:rsid w:val="29147EC4"/>
    <w:rsid w:val="29192729"/>
    <w:rsid w:val="291F3725"/>
    <w:rsid w:val="2920EEA1"/>
    <w:rsid w:val="2923E0EA"/>
    <w:rsid w:val="29244758"/>
    <w:rsid w:val="29246F2A"/>
    <w:rsid w:val="2927FAF8"/>
    <w:rsid w:val="292A019B"/>
    <w:rsid w:val="292A99B2"/>
    <w:rsid w:val="292CB49C"/>
    <w:rsid w:val="293368A5"/>
    <w:rsid w:val="293A19DE"/>
    <w:rsid w:val="29401087"/>
    <w:rsid w:val="2940850D"/>
    <w:rsid w:val="2940C94D"/>
    <w:rsid w:val="2941F860"/>
    <w:rsid w:val="2942A32A"/>
    <w:rsid w:val="2946417E"/>
    <w:rsid w:val="2947A61B"/>
    <w:rsid w:val="2947B272"/>
    <w:rsid w:val="294B7DC3"/>
    <w:rsid w:val="294BC663"/>
    <w:rsid w:val="2950D223"/>
    <w:rsid w:val="29534DD3"/>
    <w:rsid w:val="295BEF16"/>
    <w:rsid w:val="2963C2DD"/>
    <w:rsid w:val="296EF7B5"/>
    <w:rsid w:val="296EFC28"/>
    <w:rsid w:val="29700E95"/>
    <w:rsid w:val="29703C00"/>
    <w:rsid w:val="2970C2E7"/>
    <w:rsid w:val="2973119B"/>
    <w:rsid w:val="29752D78"/>
    <w:rsid w:val="2979261E"/>
    <w:rsid w:val="297ED151"/>
    <w:rsid w:val="297F3AEE"/>
    <w:rsid w:val="298366D9"/>
    <w:rsid w:val="2985BCC3"/>
    <w:rsid w:val="298CF738"/>
    <w:rsid w:val="298DB7FE"/>
    <w:rsid w:val="29922E56"/>
    <w:rsid w:val="29991C7F"/>
    <w:rsid w:val="299A1E0A"/>
    <w:rsid w:val="299C3A31"/>
    <w:rsid w:val="299CBFF9"/>
    <w:rsid w:val="299D6D86"/>
    <w:rsid w:val="299D8263"/>
    <w:rsid w:val="29A045D4"/>
    <w:rsid w:val="29AF47A2"/>
    <w:rsid w:val="29B16E9A"/>
    <w:rsid w:val="29B20BC3"/>
    <w:rsid w:val="29B2AA00"/>
    <w:rsid w:val="29B5DD03"/>
    <w:rsid w:val="29BB40A2"/>
    <w:rsid w:val="29C56900"/>
    <w:rsid w:val="29C96031"/>
    <w:rsid w:val="29CD6262"/>
    <w:rsid w:val="29D387E8"/>
    <w:rsid w:val="29D3CD6A"/>
    <w:rsid w:val="29D5B37D"/>
    <w:rsid w:val="29D5CA18"/>
    <w:rsid w:val="29D8DE14"/>
    <w:rsid w:val="29D93434"/>
    <w:rsid w:val="29DEC266"/>
    <w:rsid w:val="29DF5B5F"/>
    <w:rsid w:val="29DFBB23"/>
    <w:rsid w:val="29E23860"/>
    <w:rsid w:val="29E37538"/>
    <w:rsid w:val="29E3F405"/>
    <w:rsid w:val="29E8B978"/>
    <w:rsid w:val="29F09791"/>
    <w:rsid w:val="29F22496"/>
    <w:rsid w:val="29F736F4"/>
    <w:rsid w:val="29FDB77F"/>
    <w:rsid w:val="29FFE750"/>
    <w:rsid w:val="2A0647E4"/>
    <w:rsid w:val="2A08245B"/>
    <w:rsid w:val="2A0EF3D0"/>
    <w:rsid w:val="2A10C8F6"/>
    <w:rsid w:val="2A113B67"/>
    <w:rsid w:val="2A11D430"/>
    <w:rsid w:val="2A13256C"/>
    <w:rsid w:val="2A19DF03"/>
    <w:rsid w:val="2A1A5751"/>
    <w:rsid w:val="2A1BB076"/>
    <w:rsid w:val="2A208166"/>
    <w:rsid w:val="2A22A892"/>
    <w:rsid w:val="2A298926"/>
    <w:rsid w:val="2A2A7F86"/>
    <w:rsid w:val="2A2B70AF"/>
    <w:rsid w:val="2A2BEE5B"/>
    <w:rsid w:val="2A2DA67C"/>
    <w:rsid w:val="2A2F804A"/>
    <w:rsid w:val="2A2F9D85"/>
    <w:rsid w:val="2A330892"/>
    <w:rsid w:val="2A3CC386"/>
    <w:rsid w:val="2A407BDD"/>
    <w:rsid w:val="2A42045A"/>
    <w:rsid w:val="2A4388F9"/>
    <w:rsid w:val="2A44D0F7"/>
    <w:rsid w:val="2A468F6C"/>
    <w:rsid w:val="2A474CA6"/>
    <w:rsid w:val="2A47CC7B"/>
    <w:rsid w:val="2A51A7BD"/>
    <w:rsid w:val="2A549DFF"/>
    <w:rsid w:val="2A5ADEEF"/>
    <w:rsid w:val="2A5DCA67"/>
    <w:rsid w:val="2A65A49C"/>
    <w:rsid w:val="2A6C79D4"/>
    <w:rsid w:val="2A6FD46A"/>
    <w:rsid w:val="2A6FE024"/>
    <w:rsid w:val="2A7589B8"/>
    <w:rsid w:val="2A7604BD"/>
    <w:rsid w:val="2A767389"/>
    <w:rsid w:val="2A7902D1"/>
    <w:rsid w:val="2A7B47EF"/>
    <w:rsid w:val="2A7F3E30"/>
    <w:rsid w:val="2A7F8E6A"/>
    <w:rsid w:val="2A806F49"/>
    <w:rsid w:val="2A83AD25"/>
    <w:rsid w:val="2A85FCC6"/>
    <w:rsid w:val="2A86F2AA"/>
    <w:rsid w:val="2A870EB4"/>
    <w:rsid w:val="2A927DDC"/>
    <w:rsid w:val="2A958C8B"/>
    <w:rsid w:val="2A960D69"/>
    <w:rsid w:val="2A9D1287"/>
    <w:rsid w:val="2A9EDE8A"/>
    <w:rsid w:val="2AA0E547"/>
    <w:rsid w:val="2AA2EFC7"/>
    <w:rsid w:val="2AA52193"/>
    <w:rsid w:val="2AA567BB"/>
    <w:rsid w:val="2AA633F4"/>
    <w:rsid w:val="2AA66534"/>
    <w:rsid w:val="2AAD52D8"/>
    <w:rsid w:val="2AB34C4C"/>
    <w:rsid w:val="2AB7BBAD"/>
    <w:rsid w:val="2AB7DCEA"/>
    <w:rsid w:val="2AB80F75"/>
    <w:rsid w:val="2AC736A1"/>
    <w:rsid w:val="2AC83AEB"/>
    <w:rsid w:val="2ACDAAD3"/>
    <w:rsid w:val="2ACF1904"/>
    <w:rsid w:val="2AD0557E"/>
    <w:rsid w:val="2AD05EEC"/>
    <w:rsid w:val="2AD0F2F8"/>
    <w:rsid w:val="2AD2F974"/>
    <w:rsid w:val="2AD906BF"/>
    <w:rsid w:val="2ADB093E"/>
    <w:rsid w:val="2ADB1423"/>
    <w:rsid w:val="2ADBF975"/>
    <w:rsid w:val="2ADD407A"/>
    <w:rsid w:val="2AE30187"/>
    <w:rsid w:val="2AE5AE5A"/>
    <w:rsid w:val="2AE71C97"/>
    <w:rsid w:val="2AE86E4D"/>
    <w:rsid w:val="2AE99E31"/>
    <w:rsid w:val="2AEA47C0"/>
    <w:rsid w:val="2AF3EC17"/>
    <w:rsid w:val="2AF50B8C"/>
    <w:rsid w:val="2AF6CAC1"/>
    <w:rsid w:val="2AF8A3EB"/>
    <w:rsid w:val="2AF9A118"/>
    <w:rsid w:val="2AF9C948"/>
    <w:rsid w:val="2AFCC85A"/>
    <w:rsid w:val="2AFCDE2E"/>
    <w:rsid w:val="2AFFEC9A"/>
    <w:rsid w:val="2B03372C"/>
    <w:rsid w:val="2B04D1B1"/>
    <w:rsid w:val="2B07C193"/>
    <w:rsid w:val="2B0A297C"/>
    <w:rsid w:val="2B0E189B"/>
    <w:rsid w:val="2B114E54"/>
    <w:rsid w:val="2B161BD4"/>
    <w:rsid w:val="2B221751"/>
    <w:rsid w:val="2B25AF2E"/>
    <w:rsid w:val="2B2830F8"/>
    <w:rsid w:val="2B2919B7"/>
    <w:rsid w:val="2B299AED"/>
    <w:rsid w:val="2B2B29E2"/>
    <w:rsid w:val="2B2DFEB7"/>
    <w:rsid w:val="2B36F33A"/>
    <w:rsid w:val="2B382606"/>
    <w:rsid w:val="2B3AD7BA"/>
    <w:rsid w:val="2B3AE139"/>
    <w:rsid w:val="2B40B49E"/>
    <w:rsid w:val="2B4581E8"/>
    <w:rsid w:val="2B46736E"/>
    <w:rsid w:val="2B470074"/>
    <w:rsid w:val="2B4866FF"/>
    <w:rsid w:val="2B4A27E4"/>
    <w:rsid w:val="2B4C5611"/>
    <w:rsid w:val="2B50ED77"/>
    <w:rsid w:val="2B518B55"/>
    <w:rsid w:val="2B51C014"/>
    <w:rsid w:val="2B5253B1"/>
    <w:rsid w:val="2B53D773"/>
    <w:rsid w:val="2B55DD09"/>
    <w:rsid w:val="2B5AE885"/>
    <w:rsid w:val="2B5AF639"/>
    <w:rsid w:val="2B5C14A8"/>
    <w:rsid w:val="2B61418E"/>
    <w:rsid w:val="2B666DE5"/>
    <w:rsid w:val="2B66B962"/>
    <w:rsid w:val="2B6CADDE"/>
    <w:rsid w:val="2B71AEE6"/>
    <w:rsid w:val="2B739C3B"/>
    <w:rsid w:val="2B771ED7"/>
    <w:rsid w:val="2B7B7D59"/>
    <w:rsid w:val="2B7F490B"/>
    <w:rsid w:val="2B8047B5"/>
    <w:rsid w:val="2B82A37A"/>
    <w:rsid w:val="2B871EBB"/>
    <w:rsid w:val="2B8B4B37"/>
    <w:rsid w:val="2B8C84B1"/>
    <w:rsid w:val="2B904F15"/>
    <w:rsid w:val="2B912BEA"/>
    <w:rsid w:val="2B91B8A9"/>
    <w:rsid w:val="2B92A655"/>
    <w:rsid w:val="2B95591F"/>
    <w:rsid w:val="2B98F854"/>
    <w:rsid w:val="2B9EC8E2"/>
    <w:rsid w:val="2BA28DD5"/>
    <w:rsid w:val="2BA2983D"/>
    <w:rsid w:val="2BA3C0FF"/>
    <w:rsid w:val="2BAAD3FE"/>
    <w:rsid w:val="2BAEAF75"/>
    <w:rsid w:val="2BAF9554"/>
    <w:rsid w:val="2BB1E5CA"/>
    <w:rsid w:val="2BB284CF"/>
    <w:rsid w:val="2BB4D39B"/>
    <w:rsid w:val="2BB6FBDB"/>
    <w:rsid w:val="2BBB7F3F"/>
    <w:rsid w:val="2BBF3B8C"/>
    <w:rsid w:val="2BC06727"/>
    <w:rsid w:val="2BC8B57B"/>
    <w:rsid w:val="2BC9A2C7"/>
    <w:rsid w:val="2BC9D11F"/>
    <w:rsid w:val="2BC9F76C"/>
    <w:rsid w:val="2BCA59A2"/>
    <w:rsid w:val="2BCF9118"/>
    <w:rsid w:val="2BD09D9E"/>
    <w:rsid w:val="2BD71589"/>
    <w:rsid w:val="2BDDD413"/>
    <w:rsid w:val="2BE0DF04"/>
    <w:rsid w:val="2BE3BE0B"/>
    <w:rsid w:val="2BE777CB"/>
    <w:rsid w:val="2BE8564E"/>
    <w:rsid w:val="2BED7DB1"/>
    <w:rsid w:val="2BEE2AD1"/>
    <w:rsid w:val="2BF995E0"/>
    <w:rsid w:val="2BFF8342"/>
    <w:rsid w:val="2C01B354"/>
    <w:rsid w:val="2C0442F2"/>
    <w:rsid w:val="2C067F76"/>
    <w:rsid w:val="2C0A385C"/>
    <w:rsid w:val="2C0C5042"/>
    <w:rsid w:val="2C0C5F82"/>
    <w:rsid w:val="2C0D8E86"/>
    <w:rsid w:val="2C0DC069"/>
    <w:rsid w:val="2C118019"/>
    <w:rsid w:val="2C127DC5"/>
    <w:rsid w:val="2C135C72"/>
    <w:rsid w:val="2C136EEA"/>
    <w:rsid w:val="2C155C0A"/>
    <w:rsid w:val="2C172949"/>
    <w:rsid w:val="2C1AFF80"/>
    <w:rsid w:val="2C1D8C3C"/>
    <w:rsid w:val="2C1EF893"/>
    <w:rsid w:val="2C2486E6"/>
    <w:rsid w:val="2C2A0944"/>
    <w:rsid w:val="2C312A97"/>
    <w:rsid w:val="2C319C88"/>
    <w:rsid w:val="2C3436EE"/>
    <w:rsid w:val="2C35816A"/>
    <w:rsid w:val="2C3737C1"/>
    <w:rsid w:val="2C3845F4"/>
    <w:rsid w:val="2C396085"/>
    <w:rsid w:val="2C3B79E4"/>
    <w:rsid w:val="2C40119E"/>
    <w:rsid w:val="2C44463F"/>
    <w:rsid w:val="2C459336"/>
    <w:rsid w:val="2C478ECC"/>
    <w:rsid w:val="2C48648A"/>
    <w:rsid w:val="2C48DA2C"/>
    <w:rsid w:val="2C4BEDE3"/>
    <w:rsid w:val="2C4E92C2"/>
    <w:rsid w:val="2C51412D"/>
    <w:rsid w:val="2C578A99"/>
    <w:rsid w:val="2C5CBDA2"/>
    <w:rsid w:val="2C5D9BCE"/>
    <w:rsid w:val="2C5FDF5E"/>
    <w:rsid w:val="2C62FD5A"/>
    <w:rsid w:val="2C64CB39"/>
    <w:rsid w:val="2C668162"/>
    <w:rsid w:val="2C6727F1"/>
    <w:rsid w:val="2C6BFAA1"/>
    <w:rsid w:val="2C6D4907"/>
    <w:rsid w:val="2C6D8523"/>
    <w:rsid w:val="2C6DCC70"/>
    <w:rsid w:val="2C6F4819"/>
    <w:rsid w:val="2C6F7623"/>
    <w:rsid w:val="2C6FBC60"/>
    <w:rsid w:val="2C70B521"/>
    <w:rsid w:val="2C74D720"/>
    <w:rsid w:val="2C78195E"/>
    <w:rsid w:val="2C79BE07"/>
    <w:rsid w:val="2C7A5711"/>
    <w:rsid w:val="2C8311AD"/>
    <w:rsid w:val="2C835198"/>
    <w:rsid w:val="2C8A5E00"/>
    <w:rsid w:val="2C8B806A"/>
    <w:rsid w:val="2C8F4A5B"/>
    <w:rsid w:val="2C93250D"/>
    <w:rsid w:val="2C9B397A"/>
    <w:rsid w:val="2C9BE51D"/>
    <w:rsid w:val="2C9DE2F3"/>
    <w:rsid w:val="2CA12474"/>
    <w:rsid w:val="2CA3C6E9"/>
    <w:rsid w:val="2CA8FC4E"/>
    <w:rsid w:val="2CA9C119"/>
    <w:rsid w:val="2CA9EEF7"/>
    <w:rsid w:val="2CAB4493"/>
    <w:rsid w:val="2CAB7A4B"/>
    <w:rsid w:val="2CB3E80F"/>
    <w:rsid w:val="2CB60972"/>
    <w:rsid w:val="2CB734A2"/>
    <w:rsid w:val="2CBA6FCA"/>
    <w:rsid w:val="2CBD96F3"/>
    <w:rsid w:val="2CBDFE01"/>
    <w:rsid w:val="2CBF9701"/>
    <w:rsid w:val="2CC1FA87"/>
    <w:rsid w:val="2CC4685D"/>
    <w:rsid w:val="2CC5B6C6"/>
    <w:rsid w:val="2CC9BAE1"/>
    <w:rsid w:val="2CCBF5B5"/>
    <w:rsid w:val="2CD09AB8"/>
    <w:rsid w:val="2CD0F466"/>
    <w:rsid w:val="2CD2E8B9"/>
    <w:rsid w:val="2CDB68D9"/>
    <w:rsid w:val="2CDD9B4A"/>
    <w:rsid w:val="2CE52B1A"/>
    <w:rsid w:val="2CE577A9"/>
    <w:rsid w:val="2CE79B03"/>
    <w:rsid w:val="2CE8560C"/>
    <w:rsid w:val="2CEA24F2"/>
    <w:rsid w:val="2CEE6309"/>
    <w:rsid w:val="2CF21728"/>
    <w:rsid w:val="2CF58BB5"/>
    <w:rsid w:val="2CF88396"/>
    <w:rsid w:val="2CF8E91F"/>
    <w:rsid w:val="2CFDE72F"/>
    <w:rsid w:val="2D017B96"/>
    <w:rsid w:val="2D02A3B4"/>
    <w:rsid w:val="2D046547"/>
    <w:rsid w:val="2D0828A6"/>
    <w:rsid w:val="2D0AEAD7"/>
    <w:rsid w:val="2D0EA1B0"/>
    <w:rsid w:val="2D0F2E70"/>
    <w:rsid w:val="2D0FDE07"/>
    <w:rsid w:val="2D11401B"/>
    <w:rsid w:val="2D13FD9D"/>
    <w:rsid w:val="2D1A0D87"/>
    <w:rsid w:val="2D1A422F"/>
    <w:rsid w:val="2D1E7C49"/>
    <w:rsid w:val="2D213364"/>
    <w:rsid w:val="2D22232F"/>
    <w:rsid w:val="2D22EABC"/>
    <w:rsid w:val="2D24BC54"/>
    <w:rsid w:val="2D281325"/>
    <w:rsid w:val="2D2A48FC"/>
    <w:rsid w:val="2D2D5A35"/>
    <w:rsid w:val="2D341D08"/>
    <w:rsid w:val="2D367979"/>
    <w:rsid w:val="2D3895EF"/>
    <w:rsid w:val="2D38A8FE"/>
    <w:rsid w:val="2D398581"/>
    <w:rsid w:val="2D446A5D"/>
    <w:rsid w:val="2D47BEBA"/>
    <w:rsid w:val="2D4B0240"/>
    <w:rsid w:val="2D4E7451"/>
    <w:rsid w:val="2D4FB070"/>
    <w:rsid w:val="2D547E93"/>
    <w:rsid w:val="2D5576BC"/>
    <w:rsid w:val="2D5B5599"/>
    <w:rsid w:val="2D5B88D7"/>
    <w:rsid w:val="2D6079EE"/>
    <w:rsid w:val="2D60E8B4"/>
    <w:rsid w:val="2D6B9A46"/>
    <w:rsid w:val="2D7026B0"/>
    <w:rsid w:val="2D71B63C"/>
    <w:rsid w:val="2D71CCAF"/>
    <w:rsid w:val="2D7AC3DF"/>
    <w:rsid w:val="2D7AE986"/>
    <w:rsid w:val="2D7DACAB"/>
    <w:rsid w:val="2D7F281F"/>
    <w:rsid w:val="2D80386D"/>
    <w:rsid w:val="2D810794"/>
    <w:rsid w:val="2D81C6D0"/>
    <w:rsid w:val="2D82FC1F"/>
    <w:rsid w:val="2D85C24F"/>
    <w:rsid w:val="2D865166"/>
    <w:rsid w:val="2D8725E9"/>
    <w:rsid w:val="2D887113"/>
    <w:rsid w:val="2D894E12"/>
    <w:rsid w:val="2D89E6DF"/>
    <w:rsid w:val="2D8CC29F"/>
    <w:rsid w:val="2D8EF07B"/>
    <w:rsid w:val="2D90AA58"/>
    <w:rsid w:val="2D922FA1"/>
    <w:rsid w:val="2D94F526"/>
    <w:rsid w:val="2D95C957"/>
    <w:rsid w:val="2D983DB9"/>
    <w:rsid w:val="2D9B04EC"/>
    <w:rsid w:val="2D9BEADA"/>
    <w:rsid w:val="2D9BEFC0"/>
    <w:rsid w:val="2D9D56DB"/>
    <w:rsid w:val="2DA3E8BD"/>
    <w:rsid w:val="2DA47A7B"/>
    <w:rsid w:val="2DA56981"/>
    <w:rsid w:val="2DA622F1"/>
    <w:rsid w:val="2DA654C9"/>
    <w:rsid w:val="2DAB5267"/>
    <w:rsid w:val="2DAC9D79"/>
    <w:rsid w:val="2DAF721C"/>
    <w:rsid w:val="2DAFF209"/>
    <w:rsid w:val="2DB1768A"/>
    <w:rsid w:val="2DB2F211"/>
    <w:rsid w:val="2DB52F7F"/>
    <w:rsid w:val="2DB5E1CA"/>
    <w:rsid w:val="2DB6DDD9"/>
    <w:rsid w:val="2DB8B5F2"/>
    <w:rsid w:val="2DB9D60B"/>
    <w:rsid w:val="2DC3C0DD"/>
    <w:rsid w:val="2DCBEE4C"/>
    <w:rsid w:val="2DD58D93"/>
    <w:rsid w:val="2DD76240"/>
    <w:rsid w:val="2DDE06F2"/>
    <w:rsid w:val="2DE24873"/>
    <w:rsid w:val="2DE49188"/>
    <w:rsid w:val="2DED902C"/>
    <w:rsid w:val="2DEE1BEB"/>
    <w:rsid w:val="2DEFDF09"/>
    <w:rsid w:val="2DF1380B"/>
    <w:rsid w:val="2DF895BA"/>
    <w:rsid w:val="2DF9B606"/>
    <w:rsid w:val="2DFA066B"/>
    <w:rsid w:val="2DFB4BF7"/>
    <w:rsid w:val="2DFEEE16"/>
    <w:rsid w:val="2DFFB2EC"/>
    <w:rsid w:val="2DFFDC02"/>
    <w:rsid w:val="2E02DB6C"/>
    <w:rsid w:val="2E058147"/>
    <w:rsid w:val="2E07A9B8"/>
    <w:rsid w:val="2E09DFF0"/>
    <w:rsid w:val="2E10C32E"/>
    <w:rsid w:val="2E1680E9"/>
    <w:rsid w:val="2E199434"/>
    <w:rsid w:val="2E1A562A"/>
    <w:rsid w:val="2E1B50FF"/>
    <w:rsid w:val="2E1BAF39"/>
    <w:rsid w:val="2E203919"/>
    <w:rsid w:val="2E2228B8"/>
    <w:rsid w:val="2E226285"/>
    <w:rsid w:val="2E365D3C"/>
    <w:rsid w:val="2E399665"/>
    <w:rsid w:val="2E442D72"/>
    <w:rsid w:val="2E445083"/>
    <w:rsid w:val="2E46A02F"/>
    <w:rsid w:val="2E47C898"/>
    <w:rsid w:val="2E48FF49"/>
    <w:rsid w:val="2E490415"/>
    <w:rsid w:val="2E49CA73"/>
    <w:rsid w:val="2E4C3D63"/>
    <w:rsid w:val="2E4F3840"/>
    <w:rsid w:val="2E50D8A0"/>
    <w:rsid w:val="2E570576"/>
    <w:rsid w:val="2E5F1195"/>
    <w:rsid w:val="2E625017"/>
    <w:rsid w:val="2E63FA17"/>
    <w:rsid w:val="2E6C6FCA"/>
    <w:rsid w:val="2E70053B"/>
    <w:rsid w:val="2E77EDD2"/>
    <w:rsid w:val="2E7B778D"/>
    <w:rsid w:val="2E7BEC59"/>
    <w:rsid w:val="2E7D83C6"/>
    <w:rsid w:val="2E7EBA44"/>
    <w:rsid w:val="2E808C95"/>
    <w:rsid w:val="2E859D18"/>
    <w:rsid w:val="2E87C9AF"/>
    <w:rsid w:val="2E880D35"/>
    <w:rsid w:val="2E8D32F0"/>
    <w:rsid w:val="2E8DEE52"/>
    <w:rsid w:val="2E93F3C5"/>
    <w:rsid w:val="2E9FB075"/>
    <w:rsid w:val="2EA1A2B4"/>
    <w:rsid w:val="2EA27B69"/>
    <w:rsid w:val="2EA86888"/>
    <w:rsid w:val="2EB6BD51"/>
    <w:rsid w:val="2EB851EC"/>
    <w:rsid w:val="2EBA922D"/>
    <w:rsid w:val="2EBFB56C"/>
    <w:rsid w:val="2EC34A78"/>
    <w:rsid w:val="2EC4EDE4"/>
    <w:rsid w:val="2EC5A422"/>
    <w:rsid w:val="2EC6136D"/>
    <w:rsid w:val="2EC856DA"/>
    <w:rsid w:val="2EC8B5C1"/>
    <w:rsid w:val="2ECB918B"/>
    <w:rsid w:val="2ECD1151"/>
    <w:rsid w:val="2ECD6EA3"/>
    <w:rsid w:val="2ED4D46A"/>
    <w:rsid w:val="2EDF5F2C"/>
    <w:rsid w:val="2EE692CD"/>
    <w:rsid w:val="2EE6DADA"/>
    <w:rsid w:val="2EED2CD9"/>
    <w:rsid w:val="2EED4B29"/>
    <w:rsid w:val="2EF0F6F0"/>
    <w:rsid w:val="2EF0FF6C"/>
    <w:rsid w:val="2EF34941"/>
    <w:rsid w:val="2EF81E22"/>
    <w:rsid w:val="2F05D034"/>
    <w:rsid w:val="2F09220F"/>
    <w:rsid w:val="2F0C9D81"/>
    <w:rsid w:val="2F0EAE57"/>
    <w:rsid w:val="2F0FC263"/>
    <w:rsid w:val="2F1546A6"/>
    <w:rsid w:val="2F169BF8"/>
    <w:rsid w:val="2F16E5DC"/>
    <w:rsid w:val="2F197511"/>
    <w:rsid w:val="2F1D2C44"/>
    <w:rsid w:val="2F1EE185"/>
    <w:rsid w:val="2F218F4B"/>
    <w:rsid w:val="2F289300"/>
    <w:rsid w:val="2F2BAC99"/>
    <w:rsid w:val="2F31E120"/>
    <w:rsid w:val="2F40CC2F"/>
    <w:rsid w:val="2F410DF0"/>
    <w:rsid w:val="2F465F3F"/>
    <w:rsid w:val="2F46E293"/>
    <w:rsid w:val="2F4B2E89"/>
    <w:rsid w:val="2F4C5E6C"/>
    <w:rsid w:val="2F512C51"/>
    <w:rsid w:val="2F518A17"/>
    <w:rsid w:val="2F521601"/>
    <w:rsid w:val="2F5E59DA"/>
    <w:rsid w:val="2F5FFFD8"/>
    <w:rsid w:val="2F63E2C1"/>
    <w:rsid w:val="2F65D379"/>
    <w:rsid w:val="2F6DEE53"/>
    <w:rsid w:val="2F70A01B"/>
    <w:rsid w:val="2F70A51A"/>
    <w:rsid w:val="2F7D6592"/>
    <w:rsid w:val="2F83C58A"/>
    <w:rsid w:val="2F850F9D"/>
    <w:rsid w:val="2F868BA8"/>
    <w:rsid w:val="2F8827B3"/>
    <w:rsid w:val="2F887978"/>
    <w:rsid w:val="2F889985"/>
    <w:rsid w:val="2F8F8200"/>
    <w:rsid w:val="2F995623"/>
    <w:rsid w:val="2F995D39"/>
    <w:rsid w:val="2F9C2464"/>
    <w:rsid w:val="2F9FE3C7"/>
    <w:rsid w:val="2FA03782"/>
    <w:rsid w:val="2FA66F88"/>
    <w:rsid w:val="2FA9B43E"/>
    <w:rsid w:val="2FAB9231"/>
    <w:rsid w:val="2FB06454"/>
    <w:rsid w:val="2FB18CC6"/>
    <w:rsid w:val="2FB20411"/>
    <w:rsid w:val="2FB8A667"/>
    <w:rsid w:val="2FB8E9A9"/>
    <w:rsid w:val="2FB9B933"/>
    <w:rsid w:val="2FBB1166"/>
    <w:rsid w:val="2FBBB464"/>
    <w:rsid w:val="2FBE5424"/>
    <w:rsid w:val="2FC7F9E1"/>
    <w:rsid w:val="2FC8EB12"/>
    <w:rsid w:val="2FC94B42"/>
    <w:rsid w:val="2FD427DE"/>
    <w:rsid w:val="2FD49FA6"/>
    <w:rsid w:val="2FDDA06A"/>
    <w:rsid w:val="2FDF6122"/>
    <w:rsid w:val="2FE790C6"/>
    <w:rsid w:val="2FE7AFDA"/>
    <w:rsid w:val="2FEBAC2D"/>
    <w:rsid w:val="2FF18BBA"/>
    <w:rsid w:val="2FF1CDE8"/>
    <w:rsid w:val="2FF459AC"/>
    <w:rsid w:val="2FF7A1F1"/>
    <w:rsid w:val="2FF7B87B"/>
    <w:rsid w:val="2FFE910C"/>
    <w:rsid w:val="300073A5"/>
    <w:rsid w:val="300453AD"/>
    <w:rsid w:val="300457AC"/>
    <w:rsid w:val="301298FF"/>
    <w:rsid w:val="3019141E"/>
    <w:rsid w:val="301E8294"/>
    <w:rsid w:val="301F046A"/>
    <w:rsid w:val="30232B6B"/>
    <w:rsid w:val="3025C1E5"/>
    <w:rsid w:val="30284EC1"/>
    <w:rsid w:val="302E0A51"/>
    <w:rsid w:val="303B70DB"/>
    <w:rsid w:val="30440F7D"/>
    <w:rsid w:val="30465EE6"/>
    <w:rsid w:val="3047091F"/>
    <w:rsid w:val="304878FC"/>
    <w:rsid w:val="30498D45"/>
    <w:rsid w:val="304A59D1"/>
    <w:rsid w:val="304C36BF"/>
    <w:rsid w:val="3053B2E9"/>
    <w:rsid w:val="305784F6"/>
    <w:rsid w:val="30581220"/>
    <w:rsid w:val="305F3EE6"/>
    <w:rsid w:val="30603713"/>
    <w:rsid w:val="3068AC31"/>
    <w:rsid w:val="306BBC4D"/>
    <w:rsid w:val="306FA88C"/>
    <w:rsid w:val="307755AC"/>
    <w:rsid w:val="30780090"/>
    <w:rsid w:val="307DC6ED"/>
    <w:rsid w:val="30845966"/>
    <w:rsid w:val="308DEC1D"/>
    <w:rsid w:val="30943D5E"/>
    <w:rsid w:val="309C01A0"/>
    <w:rsid w:val="309D3ADD"/>
    <w:rsid w:val="309F3EF6"/>
    <w:rsid w:val="30A0CBC0"/>
    <w:rsid w:val="30A33EB0"/>
    <w:rsid w:val="30A42F38"/>
    <w:rsid w:val="30A7C50E"/>
    <w:rsid w:val="30A7D590"/>
    <w:rsid w:val="30AADC33"/>
    <w:rsid w:val="30B1071D"/>
    <w:rsid w:val="30B87232"/>
    <w:rsid w:val="30BA4D86"/>
    <w:rsid w:val="30BB89A4"/>
    <w:rsid w:val="30C2CDA0"/>
    <w:rsid w:val="30C2E973"/>
    <w:rsid w:val="30CBD75A"/>
    <w:rsid w:val="30D0058C"/>
    <w:rsid w:val="30D3E3BE"/>
    <w:rsid w:val="30D9916B"/>
    <w:rsid w:val="30E032ED"/>
    <w:rsid w:val="30E5FD71"/>
    <w:rsid w:val="30E6D43F"/>
    <w:rsid w:val="30E6E00D"/>
    <w:rsid w:val="30E907F8"/>
    <w:rsid w:val="30ECED52"/>
    <w:rsid w:val="30EDB238"/>
    <w:rsid w:val="30EF03BB"/>
    <w:rsid w:val="30F3E628"/>
    <w:rsid w:val="30F4CE10"/>
    <w:rsid w:val="30F4EA5A"/>
    <w:rsid w:val="30FAECBF"/>
    <w:rsid w:val="30FB4F0A"/>
    <w:rsid w:val="30FD0853"/>
    <w:rsid w:val="30FF3F47"/>
    <w:rsid w:val="31021DED"/>
    <w:rsid w:val="3103DC72"/>
    <w:rsid w:val="3109E0EB"/>
    <w:rsid w:val="310E238D"/>
    <w:rsid w:val="311700CD"/>
    <w:rsid w:val="31180DAE"/>
    <w:rsid w:val="311D5136"/>
    <w:rsid w:val="312017E3"/>
    <w:rsid w:val="3121789D"/>
    <w:rsid w:val="3123878C"/>
    <w:rsid w:val="3128828C"/>
    <w:rsid w:val="31338CDF"/>
    <w:rsid w:val="31339450"/>
    <w:rsid w:val="3137AF9A"/>
    <w:rsid w:val="3138F82E"/>
    <w:rsid w:val="3139DE59"/>
    <w:rsid w:val="3141AF02"/>
    <w:rsid w:val="31421594"/>
    <w:rsid w:val="3144DB7E"/>
    <w:rsid w:val="31458FB9"/>
    <w:rsid w:val="3146B69A"/>
    <w:rsid w:val="31477269"/>
    <w:rsid w:val="314AD4A5"/>
    <w:rsid w:val="3150A8AD"/>
    <w:rsid w:val="3153E787"/>
    <w:rsid w:val="3154372E"/>
    <w:rsid w:val="3154AD80"/>
    <w:rsid w:val="3158B6FE"/>
    <w:rsid w:val="315BDB88"/>
    <w:rsid w:val="31609E2B"/>
    <w:rsid w:val="31614C06"/>
    <w:rsid w:val="3161A72F"/>
    <w:rsid w:val="3164E14A"/>
    <w:rsid w:val="31680CD2"/>
    <w:rsid w:val="316A88F1"/>
    <w:rsid w:val="316C7E0E"/>
    <w:rsid w:val="31705778"/>
    <w:rsid w:val="3172095C"/>
    <w:rsid w:val="31783521"/>
    <w:rsid w:val="317AFB18"/>
    <w:rsid w:val="317F95AE"/>
    <w:rsid w:val="31835613"/>
    <w:rsid w:val="3184C1CD"/>
    <w:rsid w:val="3186EBD7"/>
    <w:rsid w:val="31899C39"/>
    <w:rsid w:val="318B3BC6"/>
    <w:rsid w:val="318E5B5D"/>
    <w:rsid w:val="31932BA3"/>
    <w:rsid w:val="31952160"/>
    <w:rsid w:val="31967E11"/>
    <w:rsid w:val="31988AC1"/>
    <w:rsid w:val="3198D0C5"/>
    <w:rsid w:val="319E3BC5"/>
    <w:rsid w:val="319E3F3B"/>
    <w:rsid w:val="31AF44C5"/>
    <w:rsid w:val="31B09437"/>
    <w:rsid w:val="31B2666C"/>
    <w:rsid w:val="31B81228"/>
    <w:rsid w:val="31BBB538"/>
    <w:rsid w:val="31BBE06C"/>
    <w:rsid w:val="31BCD205"/>
    <w:rsid w:val="31C3AC06"/>
    <w:rsid w:val="31CB968F"/>
    <w:rsid w:val="31CF8700"/>
    <w:rsid w:val="31D26C06"/>
    <w:rsid w:val="31D299FF"/>
    <w:rsid w:val="31D31639"/>
    <w:rsid w:val="31D65A11"/>
    <w:rsid w:val="31D87546"/>
    <w:rsid w:val="31D90934"/>
    <w:rsid w:val="31DA29C6"/>
    <w:rsid w:val="31DA5471"/>
    <w:rsid w:val="31DBF136"/>
    <w:rsid w:val="31DE7FE4"/>
    <w:rsid w:val="31E174C3"/>
    <w:rsid w:val="31E2E09A"/>
    <w:rsid w:val="31E5A54B"/>
    <w:rsid w:val="31E918BC"/>
    <w:rsid w:val="31EA6E62"/>
    <w:rsid w:val="31EFA96A"/>
    <w:rsid w:val="31EFB3AF"/>
    <w:rsid w:val="31F0993F"/>
    <w:rsid w:val="31F0F0D6"/>
    <w:rsid w:val="31F1CCD5"/>
    <w:rsid w:val="31F5A14D"/>
    <w:rsid w:val="31FD4DCE"/>
    <w:rsid w:val="31FED96A"/>
    <w:rsid w:val="3204AC39"/>
    <w:rsid w:val="320B399B"/>
    <w:rsid w:val="320D2008"/>
    <w:rsid w:val="320D3E31"/>
    <w:rsid w:val="320F4FBC"/>
    <w:rsid w:val="320FAE72"/>
    <w:rsid w:val="3210EFB0"/>
    <w:rsid w:val="3214722B"/>
    <w:rsid w:val="32157814"/>
    <w:rsid w:val="32171963"/>
    <w:rsid w:val="321B09BF"/>
    <w:rsid w:val="3220DF3A"/>
    <w:rsid w:val="3223F1A5"/>
    <w:rsid w:val="3226F529"/>
    <w:rsid w:val="322CAC1D"/>
    <w:rsid w:val="322FBACB"/>
    <w:rsid w:val="32327C5A"/>
    <w:rsid w:val="323A21FE"/>
    <w:rsid w:val="323D363D"/>
    <w:rsid w:val="323E97FB"/>
    <w:rsid w:val="3243F377"/>
    <w:rsid w:val="3244E1FE"/>
    <w:rsid w:val="32480697"/>
    <w:rsid w:val="324C6CD8"/>
    <w:rsid w:val="324D7679"/>
    <w:rsid w:val="3253C241"/>
    <w:rsid w:val="325C1094"/>
    <w:rsid w:val="325E33D8"/>
    <w:rsid w:val="32612DB2"/>
    <w:rsid w:val="3262B517"/>
    <w:rsid w:val="3267D9C8"/>
    <w:rsid w:val="32692304"/>
    <w:rsid w:val="326CAAFB"/>
    <w:rsid w:val="326F2069"/>
    <w:rsid w:val="326FFF65"/>
    <w:rsid w:val="3270B502"/>
    <w:rsid w:val="3274BAC3"/>
    <w:rsid w:val="32756E61"/>
    <w:rsid w:val="3275AAF2"/>
    <w:rsid w:val="32790CCB"/>
    <w:rsid w:val="327B03FE"/>
    <w:rsid w:val="327B7F61"/>
    <w:rsid w:val="328596E0"/>
    <w:rsid w:val="3285BC65"/>
    <w:rsid w:val="3286C966"/>
    <w:rsid w:val="32881D10"/>
    <w:rsid w:val="328B0A4E"/>
    <w:rsid w:val="328EBB5B"/>
    <w:rsid w:val="329328D6"/>
    <w:rsid w:val="3297ADD4"/>
    <w:rsid w:val="329A6CCB"/>
    <w:rsid w:val="329E14FC"/>
    <w:rsid w:val="329F9D42"/>
    <w:rsid w:val="32A06C52"/>
    <w:rsid w:val="32A23B0B"/>
    <w:rsid w:val="32A25C8A"/>
    <w:rsid w:val="32A49C95"/>
    <w:rsid w:val="32A5A6E9"/>
    <w:rsid w:val="32A9AB43"/>
    <w:rsid w:val="32B3D58F"/>
    <w:rsid w:val="32B4642E"/>
    <w:rsid w:val="32BC6F3A"/>
    <w:rsid w:val="32BCFB9F"/>
    <w:rsid w:val="32BD4D9E"/>
    <w:rsid w:val="32BE0463"/>
    <w:rsid w:val="32BE3FC9"/>
    <w:rsid w:val="32BF8BB1"/>
    <w:rsid w:val="32C39676"/>
    <w:rsid w:val="32C41C06"/>
    <w:rsid w:val="32C99180"/>
    <w:rsid w:val="32CA8822"/>
    <w:rsid w:val="32CB8AF1"/>
    <w:rsid w:val="32CBE48F"/>
    <w:rsid w:val="32CC46A7"/>
    <w:rsid w:val="32D03A6A"/>
    <w:rsid w:val="32D15EC5"/>
    <w:rsid w:val="32D584AB"/>
    <w:rsid w:val="32D77509"/>
    <w:rsid w:val="32D9DC81"/>
    <w:rsid w:val="32DDB34F"/>
    <w:rsid w:val="32DF3179"/>
    <w:rsid w:val="32DFDC25"/>
    <w:rsid w:val="32E15FE3"/>
    <w:rsid w:val="32E67CD5"/>
    <w:rsid w:val="32E769B1"/>
    <w:rsid w:val="32E81552"/>
    <w:rsid w:val="32EC1462"/>
    <w:rsid w:val="32ECF122"/>
    <w:rsid w:val="32ED06A9"/>
    <w:rsid w:val="32EED766"/>
    <w:rsid w:val="32F39BE7"/>
    <w:rsid w:val="32FCE3AD"/>
    <w:rsid w:val="330066B0"/>
    <w:rsid w:val="330193A3"/>
    <w:rsid w:val="330E1492"/>
    <w:rsid w:val="330EA190"/>
    <w:rsid w:val="330F08D8"/>
    <w:rsid w:val="3310ECF0"/>
    <w:rsid w:val="33135CE2"/>
    <w:rsid w:val="3316CB26"/>
    <w:rsid w:val="33204A2D"/>
    <w:rsid w:val="3321EFBB"/>
    <w:rsid w:val="3326381F"/>
    <w:rsid w:val="3326B2EB"/>
    <w:rsid w:val="3327F6C3"/>
    <w:rsid w:val="3328A679"/>
    <w:rsid w:val="3328CFDF"/>
    <w:rsid w:val="332B368B"/>
    <w:rsid w:val="332D1A81"/>
    <w:rsid w:val="3335A8E5"/>
    <w:rsid w:val="3338A0C8"/>
    <w:rsid w:val="3339969D"/>
    <w:rsid w:val="333AC1E5"/>
    <w:rsid w:val="33434C26"/>
    <w:rsid w:val="3344DA4E"/>
    <w:rsid w:val="334CC51A"/>
    <w:rsid w:val="33500D45"/>
    <w:rsid w:val="3359C2EF"/>
    <w:rsid w:val="335CE511"/>
    <w:rsid w:val="335DE46C"/>
    <w:rsid w:val="335F0F70"/>
    <w:rsid w:val="335F4752"/>
    <w:rsid w:val="33620CC9"/>
    <w:rsid w:val="33691B1D"/>
    <w:rsid w:val="336A213F"/>
    <w:rsid w:val="336D79B8"/>
    <w:rsid w:val="337281CD"/>
    <w:rsid w:val="3372C90D"/>
    <w:rsid w:val="3375C11F"/>
    <w:rsid w:val="337C9627"/>
    <w:rsid w:val="337CA24F"/>
    <w:rsid w:val="337CD89B"/>
    <w:rsid w:val="337D221D"/>
    <w:rsid w:val="3382D983"/>
    <w:rsid w:val="3387112B"/>
    <w:rsid w:val="338867BB"/>
    <w:rsid w:val="3388F866"/>
    <w:rsid w:val="338C529B"/>
    <w:rsid w:val="338CA844"/>
    <w:rsid w:val="3390F87B"/>
    <w:rsid w:val="3399B6D6"/>
    <w:rsid w:val="3399C9E6"/>
    <w:rsid w:val="339E5B32"/>
    <w:rsid w:val="339FB474"/>
    <w:rsid w:val="33A38D29"/>
    <w:rsid w:val="33A7CADE"/>
    <w:rsid w:val="33A800C0"/>
    <w:rsid w:val="33A9AC90"/>
    <w:rsid w:val="33ABCEBA"/>
    <w:rsid w:val="33B50AB5"/>
    <w:rsid w:val="33B80996"/>
    <w:rsid w:val="33B952F7"/>
    <w:rsid w:val="33BB56DC"/>
    <w:rsid w:val="33BCF9FC"/>
    <w:rsid w:val="33C33AD4"/>
    <w:rsid w:val="33C76312"/>
    <w:rsid w:val="33C80EFF"/>
    <w:rsid w:val="33CB742B"/>
    <w:rsid w:val="33CF31FC"/>
    <w:rsid w:val="33D3AC51"/>
    <w:rsid w:val="33D695E2"/>
    <w:rsid w:val="33D735AB"/>
    <w:rsid w:val="33DA6B31"/>
    <w:rsid w:val="33DB2CA4"/>
    <w:rsid w:val="33E2E862"/>
    <w:rsid w:val="33E4609A"/>
    <w:rsid w:val="33E4CFC3"/>
    <w:rsid w:val="33E6CB65"/>
    <w:rsid w:val="33E78D5B"/>
    <w:rsid w:val="33E8EB56"/>
    <w:rsid w:val="33EB114D"/>
    <w:rsid w:val="33F23933"/>
    <w:rsid w:val="33F3CAC2"/>
    <w:rsid w:val="33F59DB9"/>
    <w:rsid w:val="33FA4021"/>
    <w:rsid w:val="33FA7357"/>
    <w:rsid w:val="3404E64F"/>
    <w:rsid w:val="340658E3"/>
    <w:rsid w:val="3408BF6E"/>
    <w:rsid w:val="340AAFDE"/>
    <w:rsid w:val="340B7892"/>
    <w:rsid w:val="3412AF72"/>
    <w:rsid w:val="341550FC"/>
    <w:rsid w:val="341BDEC0"/>
    <w:rsid w:val="34207377"/>
    <w:rsid w:val="34275D0F"/>
    <w:rsid w:val="342A425F"/>
    <w:rsid w:val="342AE0B0"/>
    <w:rsid w:val="342BAB33"/>
    <w:rsid w:val="343318FC"/>
    <w:rsid w:val="34381E09"/>
    <w:rsid w:val="343883FB"/>
    <w:rsid w:val="343A1FBA"/>
    <w:rsid w:val="343F2B8E"/>
    <w:rsid w:val="3440254C"/>
    <w:rsid w:val="34458AD7"/>
    <w:rsid w:val="3448D658"/>
    <w:rsid w:val="344C177B"/>
    <w:rsid w:val="344CDC20"/>
    <w:rsid w:val="344FF508"/>
    <w:rsid w:val="3454F08A"/>
    <w:rsid w:val="3456B143"/>
    <w:rsid w:val="34578093"/>
    <w:rsid w:val="345E48B2"/>
    <w:rsid w:val="3464DE52"/>
    <w:rsid w:val="3469F67C"/>
    <w:rsid w:val="346B45EA"/>
    <w:rsid w:val="346E0C1E"/>
    <w:rsid w:val="346E6B57"/>
    <w:rsid w:val="347369BC"/>
    <w:rsid w:val="34743B06"/>
    <w:rsid w:val="347749E9"/>
    <w:rsid w:val="3477BDBF"/>
    <w:rsid w:val="347B65BF"/>
    <w:rsid w:val="347D6522"/>
    <w:rsid w:val="347F2CF0"/>
    <w:rsid w:val="34857799"/>
    <w:rsid w:val="34886D37"/>
    <w:rsid w:val="348E0DD5"/>
    <w:rsid w:val="348FCADC"/>
    <w:rsid w:val="349284D9"/>
    <w:rsid w:val="34935B2B"/>
    <w:rsid w:val="34984D13"/>
    <w:rsid w:val="34A07D2A"/>
    <w:rsid w:val="34A381E5"/>
    <w:rsid w:val="34A6D2F6"/>
    <w:rsid w:val="34AA253E"/>
    <w:rsid w:val="34AA7D46"/>
    <w:rsid w:val="34AA9140"/>
    <w:rsid w:val="34ADEABA"/>
    <w:rsid w:val="34AE4F59"/>
    <w:rsid w:val="34B261F0"/>
    <w:rsid w:val="34BE1709"/>
    <w:rsid w:val="34BFA633"/>
    <w:rsid w:val="34BFA964"/>
    <w:rsid w:val="34C03102"/>
    <w:rsid w:val="34C2282D"/>
    <w:rsid w:val="34C58DD7"/>
    <w:rsid w:val="34C6C7A9"/>
    <w:rsid w:val="34CA9820"/>
    <w:rsid w:val="34D085B5"/>
    <w:rsid w:val="34D416E1"/>
    <w:rsid w:val="34D49BFD"/>
    <w:rsid w:val="34D8A4C2"/>
    <w:rsid w:val="34E35832"/>
    <w:rsid w:val="34EB5D9F"/>
    <w:rsid w:val="34EDB3D3"/>
    <w:rsid w:val="34F95362"/>
    <w:rsid w:val="34FDA098"/>
    <w:rsid w:val="34FEC406"/>
    <w:rsid w:val="35083BF7"/>
    <w:rsid w:val="3509340F"/>
    <w:rsid w:val="35115ECC"/>
    <w:rsid w:val="3512C059"/>
    <w:rsid w:val="35149897"/>
    <w:rsid w:val="351851B8"/>
    <w:rsid w:val="351B1C68"/>
    <w:rsid w:val="351C5E16"/>
    <w:rsid w:val="351DD3AD"/>
    <w:rsid w:val="35228E4D"/>
    <w:rsid w:val="3522A574"/>
    <w:rsid w:val="35246FD0"/>
    <w:rsid w:val="35278D82"/>
    <w:rsid w:val="3527AC5B"/>
    <w:rsid w:val="352DB2B2"/>
    <w:rsid w:val="352FBD6B"/>
    <w:rsid w:val="353093F6"/>
    <w:rsid w:val="3534B810"/>
    <w:rsid w:val="35389BC0"/>
    <w:rsid w:val="35394385"/>
    <w:rsid w:val="353B550B"/>
    <w:rsid w:val="353C5973"/>
    <w:rsid w:val="353FC9D8"/>
    <w:rsid w:val="354171BC"/>
    <w:rsid w:val="3547F883"/>
    <w:rsid w:val="354D3F21"/>
    <w:rsid w:val="3551824F"/>
    <w:rsid w:val="3557B03E"/>
    <w:rsid w:val="35588B91"/>
    <w:rsid w:val="355F1BB1"/>
    <w:rsid w:val="3568383F"/>
    <w:rsid w:val="35684C4C"/>
    <w:rsid w:val="356D6A92"/>
    <w:rsid w:val="35726982"/>
    <w:rsid w:val="357282CB"/>
    <w:rsid w:val="357306ED"/>
    <w:rsid w:val="35731ADF"/>
    <w:rsid w:val="3574E00E"/>
    <w:rsid w:val="3577DA77"/>
    <w:rsid w:val="3579F906"/>
    <w:rsid w:val="35815D3D"/>
    <w:rsid w:val="3583587B"/>
    <w:rsid w:val="35865DD6"/>
    <w:rsid w:val="3586A30B"/>
    <w:rsid w:val="3587889A"/>
    <w:rsid w:val="358C807E"/>
    <w:rsid w:val="358E41A1"/>
    <w:rsid w:val="358E6BA0"/>
    <w:rsid w:val="358EB0B3"/>
    <w:rsid w:val="358EF3C6"/>
    <w:rsid w:val="359A2215"/>
    <w:rsid w:val="359B190B"/>
    <w:rsid w:val="359B4857"/>
    <w:rsid w:val="359B6B2B"/>
    <w:rsid w:val="359EDE02"/>
    <w:rsid w:val="35A71989"/>
    <w:rsid w:val="35A7505E"/>
    <w:rsid w:val="35AB2325"/>
    <w:rsid w:val="35AC75DA"/>
    <w:rsid w:val="35B22BDA"/>
    <w:rsid w:val="35B5E291"/>
    <w:rsid w:val="35BA6421"/>
    <w:rsid w:val="35BB76ED"/>
    <w:rsid w:val="35BEFB12"/>
    <w:rsid w:val="35C08F72"/>
    <w:rsid w:val="35C0A5B3"/>
    <w:rsid w:val="35C18E32"/>
    <w:rsid w:val="35C3C0AC"/>
    <w:rsid w:val="35C5B5B7"/>
    <w:rsid w:val="35C6E449"/>
    <w:rsid w:val="35C7C620"/>
    <w:rsid w:val="35CBAA79"/>
    <w:rsid w:val="35CBBB7E"/>
    <w:rsid w:val="35CC683F"/>
    <w:rsid w:val="35CD0F70"/>
    <w:rsid w:val="35CECEC5"/>
    <w:rsid w:val="35D58F10"/>
    <w:rsid w:val="35DA1AC6"/>
    <w:rsid w:val="35DF13F2"/>
    <w:rsid w:val="35E788BF"/>
    <w:rsid w:val="35EA6F9C"/>
    <w:rsid w:val="35EC2FCA"/>
    <w:rsid w:val="35ECF76A"/>
    <w:rsid w:val="35F60027"/>
    <w:rsid w:val="35FADAA3"/>
    <w:rsid w:val="35FBC401"/>
    <w:rsid w:val="35FC1433"/>
    <w:rsid w:val="35FCBDBA"/>
    <w:rsid w:val="35FCD56B"/>
    <w:rsid w:val="35FD27FB"/>
    <w:rsid w:val="35FE0C17"/>
    <w:rsid w:val="35FE7490"/>
    <w:rsid w:val="36002F4F"/>
    <w:rsid w:val="36014734"/>
    <w:rsid w:val="36058D6A"/>
    <w:rsid w:val="3606D961"/>
    <w:rsid w:val="360AEAAA"/>
    <w:rsid w:val="360F243B"/>
    <w:rsid w:val="36102EA1"/>
    <w:rsid w:val="361362EF"/>
    <w:rsid w:val="36152025"/>
    <w:rsid w:val="361B5F03"/>
    <w:rsid w:val="361CC08D"/>
    <w:rsid w:val="361D14F4"/>
    <w:rsid w:val="362071BB"/>
    <w:rsid w:val="3638033B"/>
    <w:rsid w:val="363B0D57"/>
    <w:rsid w:val="36409F99"/>
    <w:rsid w:val="364965C1"/>
    <w:rsid w:val="364A0306"/>
    <w:rsid w:val="3651783F"/>
    <w:rsid w:val="3653AC20"/>
    <w:rsid w:val="3653B9A4"/>
    <w:rsid w:val="365AB715"/>
    <w:rsid w:val="365B51A6"/>
    <w:rsid w:val="365B59CE"/>
    <w:rsid w:val="365BB9C9"/>
    <w:rsid w:val="365C18DE"/>
    <w:rsid w:val="365D84AE"/>
    <w:rsid w:val="365E1132"/>
    <w:rsid w:val="365E9113"/>
    <w:rsid w:val="36719C86"/>
    <w:rsid w:val="36732176"/>
    <w:rsid w:val="367569FE"/>
    <w:rsid w:val="3675B568"/>
    <w:rsid w:val="3675DD02"/>
    <w:rsid w:val="367E389F"/>
    <w:rsid w:val="3682D4EA"/>
    <w:rsid w:val="3685BB14"/>
    <w:rsid w:val="3685F322"/>
    <w:rsid w:val="36870583"/>
    <w:rsid w:val="3687DED4"/>
    <w:rsid w:val="36880C39"/>
    <w:rsid w:val="368FDB92"/>
    <w:rsid w:val="368FFE31"/>
    <w:rsid w:val="369EC4E5"/>
    <w:rsid w:val="36A0EFB1"/>
    <w:rsid w:val="36A14B47"/>
    <w:rsid w:val="36A3A7E2"/>
    <w:rsid w:val="36A5370A"/>
    <w:rsid w:val="36A73086"/>
    <w:rsid w:val="36A9121A"/>
    <w:rsid w:val="36AABCA3"/>
    <w:rsid w:val="36AC65DA"/>
    <w:rsid w:val="36ACDC73"/>
    <w:rsid w:val="36AFEC01"/>
    <w:rsid w:val="36B2E908"/>
    <w:rsid w:val="36B34CD3"/>
    <w:rsid w:val="36BB7843"/>
    <w:rsid w:val="36BBA48A"/>
    <w:rsid w:val="36BE1D58"/>
    <w:rsid w:val="36BE6A75"/>
    <w:rsid w:val="36CD3EBA"/>
    <w:rsid w:val="36D257DC"/>
    <w:rsid w:val="36D2D0C1"/>
    <w:rsid w:val="36D569A8"/>
    <w:rsid w:val="36D5851C"/>
    <w:rsid w:val="36D99A8D"/>
    <w:rsid w:val="36D9D8A6"/>
    <w:rsid w:val="36DD0825"/>
    <w:rsid w:val="36E1F6EA"/>
    <w:rsid w:val="36E622DB"/>
    <w:rsid w:val="36E6F3EC"/>
    <w:rsid w:val="36E90F82"/>
    <w:rsid w:val="36EA1165"/>
    <w:rsid w:val="36EEF705"/>
    <w:rsid w:val="36F0D460"/>
    <w:rsid w:val="36F1EA88"/>
    <w:rsid w:val="36F76C76"/>
    <w:rsid w:val="36FA2D03"/>
    <w:rsid w:val="3701DDE6"/>
    <w:rsid w:val="3703E499"/>
    <w:rsid w:val="37077B40"/>
    <w:rsid w:val="3708AF51"/>
    <w:rsid w:val="3709F121"/>
    <w:rsid w:val="3713F080"/>
    <w:rsid w:val="37176EC2"/>
    <w:rsid w:val="371D5A52"/>
    <w:rsid w:val="371E2208"/>
    <w:rsid w:val="3721DF15"/>
    <w:rsid w:val="3724E197"/>
    <w:rsid w:val="3727A79C"/>
    <w:rsid w:val="372ECAD9"/>
    <w:rsid w:val="3736AD0F"/>
    <w:rsid w:val="3736B427"/>
    <w:rsid w:val="373BBDF0"/>
    <w:rsid w:val="373D0DD6"/>
    <w:rsid w:val="373EE0B8"/>
    <w:rsid w:val="3745967F"/>
    <w:rsid w:val="37491A2A"/>
    <w:rsid w:val="374A0642"/>
    <w:rsid w:val="3750B35D"/>
    <w:rsid w:val="3752AC17"/>
    <w:rsid w:val="37545A4C"/>
    <w:rsid w:val="37568ACD"/>
    <w:rsid w:val="375B3E8E"/>
    <w:rsid w:val="375C8C6C"/>
    <w:rsid w:val="375F9280"/>
    <w:rsid w:val="3763BFAF"/>
    <w:rsid w:val="376AC5C9"/>
    <w:rsid w:val="376EEA73"/>
    <w:rsid w:val="3772865F"/>
    <w:rsid w:val="37757205"/>
    <w:rsid w:val="377715BB"/>
    <w:rsid w:val="37779795"/>
    <w:rsid w:val="3778F949"/>
    <w:rsid w:val="377AB8F2"/>
    <w:rsid w:val="377B99C8"/>
    <w:rsid w:val="377D57DB"/>
    <w:rsid w:val="377E059F"/>
    <w:rsid w:val="3783683F"/>
    <w:rsid w:val="37884D66"/>
    <w:rsid w:val="37890F1C"/>
    <w:rsid w:val="378B5E8D"/>
    <w:rsid w:val="37923B0D"/>
    <w:rsid w:val="3792ACB3"/>
    <w:rsid w:val="37999B19"/>
    <w:rsid w:val="37A4ACF6"/>
    <w:rsid w:val="37A6FBAE"/>
    <w:rsid w:val="37AB3192"/>
    <w:rsid w:val="37AC5D58"/>
    <w:rsid w:val="37B807A4"/>
    <w:rsid w:val="37B80A34"/>
    <w:rsid w:val="37B8DE99"/>
    <w:rsid w:val="37BAF21E"/>
    <w:rsid w:val="37BAF7EE"/>
    <w:rsid w:val="37BE2C39"/>
    <w:rsid w:val="37C0736C"/>
    <w:rsid w:val="37C2C85A"/>
    <w:rsid w:val="37C96CFC"/>
    <w:rsid w:val="37D878A7"/>
    <w:rsid w:val="37E05DC4"/>
    <w:rsid w:val="37E24871"/>
    <w:rsid w:val="37E5ED6A"/>
    <w:rsid w:val="37E676B3"/>
    <w:rsid w:val="37E8A020"/>
    <w:rsid w:val="37E8C6BB"/>
    <w:rsid w:val="37E96314"/>
    <w:rsid w:val="37EE11AC"/>
    <w:rsid w:val="37F71528"/>
    <w:rsid w:val="37FF2ED4"/>
    <w:rsid w:val="380A0892"/>
    <w:rsid w:val="380B5518"/>
    <w:rsid w:val="38142665"/>
    <w:rsid w:val="3815D253"/>
    <w:rsid w:val="381D2A98"/>
    <w:rsid w:val="381ED037"/>
    <w:rsid w:val="38206BD9"/>
    <w:rsid w:val="382190E4"/>
    <w:rsid w:val="38285EB2"/>
    <w:rsid w:val="382C9539"/>
    <w:rsid w:val="38311E21"/>
    <w:rsid w:val="3832DBF2"/>
    <w:rsid w:val="3834482E"/>
    <w:rsid w:val="3835913E"/>
    <w:rsid w:val="38394383"/>
    <w:rsid w:val="3840B9B5"/>
    <w:rsid w:val="3842742D"/>
    <w:rsid w:val="3842A690"/>
    <w:rsid w:val="38447F5F"/>
    <w:rsid w:val="384E361A"/>
    <w:rsid w:val="38507575"/>
    <w:rsid w:val="3859E5AC"/>
    <w:rsid w:val="385C7C90"/>
    <w:rsid w:val="385E0378"/>
    <w:rsid w:val="3860D343"/>
    <w:rsid w:val="3863E393"/>
    <w:rsid w:val="3863ED53"/>
    <w:rsid w:val="3865B8F7"/>
    <w:rsid w:val="386D574C"/>
    <w:rsid w:val="386E9A62"/>
    <w:rsid w:val="386F0D48"/>
    <w:rsid w:val="38722682"/>
    <w:rsid w:val="38728EFD"/>
    <w:rsid w:val="3875974A"/>
    <w:rsid w:val="38769501"/>
    <w:rsid w:val="387896B9"/>
    <w:rsid w:val="387DDCA3"/>
    <w:rsid w:val="387F9F73"/>
    <w:rsid w:val="3885D69B"/>
    <w:rsid w:val="38897E78"/>
    <w:rsid w:val="388BF2AE"/>
    <w:rsid w:val="388D6D42"/>
    <w:rsid w:val="3891EE27"/>
    <w:rsid w:val="3893C35E"/>
    <w:rsid w:val="3896C9F2"/>
    <w:rsid w:val="389ABED6"/>
    <w:rsid w:val="389B02CF"/>
    <w:rsid w:val="38A07708"/>
    <w:rsid w:val="38A48D8B"/>
    <w:rsid w:val="38ADD804"/>
    <w:rsid w:val="38ADF391"/>
    <w:rsid w:val="38AF7D7F"/>
    <w:rsid w:val="38AFFF6A"/>
    <w:rsid w:val="38B062F6"/>
    <w:rsid w:val="38B13508"/>
    <w:rsid w:val="38B3CBC2"/>
    <w:rsid w:val="38B50476"/>
    <w:rsid w:val="38B53F4C"/>
    <w:rsid w:val="38B77829"/>
    <w:rsid w:val="38B87543"/>
    <w:rsid w:val="38B9D3D8"/>
    <w:rsid w:val="38BA6C0C"/>
    <w:rsid w:val="38BB33E9"/>
    <w:rsid w:val="38BD058A"/>
    <w:rsid w:val="38C08452"/>
    <w:rsid w:val="38C21462"/>
    <w:rsid w:val="38C357D9"/>
    <w:rsid w:val="38C40D67"/>
    <w:rsid w:val="38C59B50"/>
    <w:rsid w:val="38C702C9"/>
    <w:rsid w:val="38CA3A43"/>
    <w:rsid w:val="38CAF4A9"/>
    <w:rsid w:val="38CC53B5"/>
    <w:rsid w:val="38CCCC57"/>
    <w:rsid w:val="38CD18F8"/>
    <w:rsid w:val="38CD623C"/>
    <w:rsid w:val="38CED78E"/>
    <w:rsid w:val="38D0C870"/>
    <w:rsid w:val="38D0FA7C"/>
    <w:rsid w:val="38D865E9"/>
    <w:rsid w:val="38D8A228"/>
    <w:rsid w:val="38DA9EE0"/>
    <w:rsid w:val="38DC1816"/>
    <w:rsid w:val="38DE0B8E"/>
    <w:rsid w:val="38E031C8"/>
    <w:rsid w:val="38E036B3"/>
    <w:rsid w:val="38E74298"/>
    <w:rsid w:val="38E7A749"/>
    <w:rsid w:val="38E83582"/>
    <w:rsid w:val="38E99B54"/>
    <w:rsid w:val="38EB6C54"/>
    <w:rsid w:val="38EBBA63"/>
    <w:rsid w:val="38ED9209"/>
    <w:rsid w:val="38F2A2B6"/>
    <w:rsid w:val="38F6C9FC"/>
    <w:rsid w:val="38F86037"/>
    <w:rsid w:val="38F86D1A"/>
    <w:rsid w:val="38F8E888"/>
    <w:rsid w:val="38FA2E15"/>
    <w:rsid w:val="38FE791E"/>
    <w:rsid w:val="39044AEC"/>
    <w:rsid w:val="3906AC13"/>
    <w:rsid w:val="390E4CEF"/>
    <w:rsid w:val="39126064"/>
    <w:rsid w:val="3916EB77"/>
    <w:rsid w:val="391A2E0D"/>
    <w:rsid w:val="392126FE"/>
    <w:rsid w:val="39216128"/>
    <w:rsid w:val="39293F8F"/>
    <w:rsid w:val="3929F4F8"/>
    <w:rsid w:val="392A0A81"/>
    <w:rsid w:val="39311133"/>
    <w:rsid w:val="393121F9"/>
    <w:rsid w:val="3931A4A3"/>
    <w:rsid w:val="39334390"/>
    <w:rsid w:val="39350E15"/>
    <w:rsid w:val="39361AD2"/>
    <w:rsid w:val="3936C7C4"/>
    <w:rsid w:val="393B2374"/>
    <w:rsid w:val="393BC4B7"/>
    <w:rsid w:val="39424A70"/>
    <w:rsid w:val="3943A7F4"/>
    <w:rsid w:val="39462FBD"/>
    <w:rsid w:val="394A9527"/>
    <w:rsid w:val="3953D0B6"/>
    <w:rsid w:val="39543404"/>
    <w:rsid w:val="3956AB35"/>
    <w:rsid w:val="3958DF00"/>
    <w:rsid w:val="395927E5"/>
    <w:rsid w:val="395940B3"/>
    <w:rsid w:val="395ECDEB"/>
    <w:rsid w:val="3960D2DB"/>
    <w:rsid w:val="39661E41"/>
    <w:rsid w:val="396CE42E"/>
    <w:rsid w:val="396DAE1E"/>
    <w:rsid w:val="396F9DD6"/>
    <w:rsid w:val="39709F3E"/>
    <w:rsid w:val="39726170"/>
    <w:rsid w:val="39727A7F"/>
    <w:rsid w:val="3977A11E"/>
    <w:rsid w:val="397CC1D2"/>
    <w:rsid w:val="39824802"/>
    <w:rsid w:val="39835F8E"/>
    <w:rsid w:val="3988FC86"/>
    <w:rsid w:val="398A8760"/>
    <w:rsid w:val="398C0780"/>
    <w:rsid w:val="398DAB8E"/>
    <w:rsid w:val="398E147D"/>
    <w:rsid w:val="39914EB6"/>
    <w:rsid w:val="399357F0"/>
    <w:rsid w:val="3993D7B4"/>
    <w:rsid w:val="399470B5"/>
    <w:rsid w:val="39AE6BAC"/>
    <w:rsid w:val="39AE79CF"/>
    <w:rsid w:val="39AEA407"/>
    <w:rsid w:val="39B2622E"/>
    <w:rsid w:val="39B3FBC5"/>
    <w:rsid w:val="39B759F4"/>
    <w:rsid w:val="39BC867D"/>
    <w:rsid w:val="39BCB6C9"/>
    <w:rsid w:val="39BEC20B"/>
    <w:rsid w:val="39C30008"/>
    <w:rsid w:val="39C85C29"/>
    <w:rsid w:val="39CBCBED"/>
    <w:rsid w:val="39CD3C35"/>
    <w:rsid w:val="39D0B5FC"/>
    <w:rsid w:val="39D0E1FE"/>
    <w:rsid w:val="39D7995C"/>
    <w:rsid w:val="39DCA21D"/>
    <w:rsid w:val="39DF771B"/>
    <w:rsid w:val="39E0507D"/>
    <w:rsid w:val="39E27599"/>
    <w:rsid w:val="39EF5D91"/>
    <w:rsid w:val="39F0BC4C"/>
    <w:rsid w:val="39F9A179"/>
    <w:rsid w:val="39FA2E0D"/>
    <w:rsid w:val="39FB6B0C"/>
    <w:rsid w:val="39FDA0C9"/>
    <w:rsid w:val="3A029907"/>
    <w:rsid w:val="3A04EAAA"/>
    <w:rsid w:val="3A05FBBD"/>
    <w:rsid w:val="3A06DEA5"/>
    <w:rsid w:val="3A096748"/>
    <w:rsid w:val="3A0B2DA4"/>
    <w:rsid w:val="3A0C1536"/>
    <w:rsid w:val="3A0C6FCE"/>
    <w:rsid w:val="3A112D07"/>
    <w:rsid w:val="3A1623F4"/>
    <w:rsid w:val="3A18D3BC"/>
    <w:rsid w:val="3A1A891E"/>
    <w:rsid w:val="3A1C0621"/>
    <w:rsid w:val="3A2224EF"/>
    <w:rsid w:val="3A22CDC7"/>
    <w:rsid w:val="3A2443FC"/>
    <w:rsid w:val="3A27F525"/>
    <w:rsid w:val="3A288C6F"/>
    <w:rsid w:val="3A2AE138"/>
    <w:rsid w:val="3A2C6CFA"/>
    <w:rsid w:val="3A2C75ED"/>
    <w:rsid w:val="3A2DDD1C"/>
    <w:rsid w:val="3A2F3755"/>
    <w:rsid w:val="3A2FED2F"/>
    <w:rsid w:val="3A3757B6"/>
    <w:rsid w:val="3A37CC7D"/>
    <w:rsid w:val="3A384C94"/>
    <w:rsid w:val="3A3ED3CF"/>
    <w:rsid w:val="3A479271"/>
    <w:rsid w:val="3A4D8A35"/>
    <w:rsid w:val="3A4DCD17"/>
    <w:rsid w:val="3A540124"/>
    <w:rsid w:val="3A572AD0"/>
    <w:rsid w:val="3A5A929D"/>
    <w:rsid w:val="3A624A36"/>
    <w:rsid w:val="3A694EFB"/>
    <w:rsid w:val="3A6F0EF1"/>
    <w:rsid w:val="3A7142F6"/>
    <w:rsid w:val="3A77CB25"/>
    <w:rsid w:val="3A78CF8F"/>
    <w:rsid w:val="3A7C1488"/>
    <w:rsid w:val="3A7D9FE9"/>
    <w:rsid w:val="3A8110A4"/>
    <w:rsid w:val="3A840832"/>
    <w:rsid w:val="3A849728"/>
    <w:rsid w:val="3A868C2E"/>
    <w:rsid w:val="3A876AB9"/>
    <w:rsid w:val="3A8A5975"/>
    <w:rsid w:val="3A8AD190"/>
    <w:rsid w:val="3A96BC32"/>
    <w:rsid w:val="3AA0FD5B"/>
    <w:rsid w:val="3AA31A84"/>
    <w:rsid w:val="3AA3A8A4"/>
    <w:rsid w:val="3AA6DD38"/>
    <w:rsid w:val="3AAB231F"/>
    <w:rsid w:val="3AAF44EA"/>
    <w:rsid w:val="3AB1381C"/>
    <w:rsid w:val="3AB2DB16"/>
    <w:rsid w:val="3AB38851"/>
    <w:rsid w:val="3AB3F423"/>
    <w:rsid w:val="3AB53DAB"/>
    <w:rsid w:val="3AB692B1"/>
    <w:rsid w:val="3AB7A9E2"/>
    <w:rsid w:val="3AB8C22B"/>
    <w:rsid w:val="3AB98912"/>
    <w:rsid w:val="3ABBDA83"/>
    <w:rsid w:val="3ABD0ED1"/>
    <w:rsid w:val="3AC3CDD4"/>
    <w:rsid w:val="3AC4C018"/>
    <w:rsid w:val="3AC50911"/>
    <w:rsid w:val="3AC537CF"/>
    <w:rsid w:val="3AC70CF3"/>
    <w:rsid w:val="3AC8C3A7"/>
    <w:rsid w:val="3ACE941D"/>
    <w:rsid w:val="3ACEC15B"/>
    <w:rsid w:val="3ACF7F2D"/>
    <w:rsid w:val="3AD0CF6B"/>
    <w:rsid w:val="3AD49B3E"/>
    <w:rsid w:val="3ADCBAAB"/>
    <w:rsid w:val="3AE67144"/>
    <w:rsid w:val="3AE6F396"/>
    <w:rsid w:val="3AED4BB1"/>
    <w:rsid w:val="3AEEA870"/>
    <w:rsid w:val="3AF01BA8"/>
    <w:rsid w:val="3AF0AB58"/>
    <w:rsid w:val="3AF34FF9"/>
    <w:rsid w:val="3AF70B17"/>
    <w:rsid w:val="3AFD276D"/>
    <w:rsid w:val="3AFF0847"/>
    <w:rsid w:val="3B0801FB"/>
    <w:rsid w:val="3B0813E1"/>
    <w:rsid w:val="3B0A4CD6"/>
    <w:rsid w:val="3B0B9B1A"/>
    <w:rsid w:val="3B0C31D4"/>
    <w:rsid w:val="3B0D9037"/>
    <w:rsid w:val="3B0DE38F"/>
    <w:rsid w:val="3B111D79"/>
    <w:rsid w:val="3B130683"/>
    <w:rsid w:val="3B14366D"/>
    <w:rsid w:val="3B194F5B"/>
    <w:rsid w:val="3B1AF2E3"/>
    <w:rsid w:val="3B1BFE6F"/>
    <w:rsid w:val="3B234210"/>
    <w:rsid w:val="3B249104"/>
    <w:rsid w:val="3B24ABE4"/>
    <w:rsid w:val="3B26B381"/>
    <w:rsid w:val="3B271C3F"/>
    <w:rsid w:val="3B2AC6D4"/>
    <w:rsid w:val="3B2AD02C"/>
    <w:rsid w:val="3B2D27DE"/>
    <w:rsid w:val="3B2D94EA"/>
    <w:rsid w:val="3B34A39B"/>
    <w:rsid w:val="3B3518DA"/>
    <w:rsid w:val="3B35A142"/>
    <w:rsid w:val="3B383D97"/>
    <w:rsid w:val="3B387876"/>
    <w:rsid w:val="3B3B2E8A"/>
    <w:rsid w:val="3B3F2F69"/>
    <w:rsid w:val="3B4172EF"/>
    <w:rsid w:val="3B485C3F"/>
    <w:rsid w:val="3B4AA4DA"/>
    <w:rsid w:val="3B4B0B3E"/>
    <w:rsid w:val="3B53AE2A"/>
    <w:rsid w:val="3B56C876"/>
    <w:rsid w:val="3B5AC37A"/>
    <w:rsid w:val="3B5E6D70"/>
    <w:rsid w:val="3B6D4C49"/>
    <w:rsid w:val="3B7BAD43"/>
    <w:rsid w:val="3B7CE1E5"/>
    <w:rsid w:val="3B84C9E6"/>
    <w:rsid w:val="3B87194F"/>
    <w:rsid w:val="3B878662"/>
    <w:rsid w:val="3B8D78DA"/>
    <w:rsid w:val="3B9252CA"/>
    <w:rsid w:val="3B9705EF"/>
    <w:rsid w:val="3B9DFB74"/>
    <w:rsid w:val="3B9F3058"/>
    <w:rsid w:val="3BA691D7"/>
    <w:rsid w:val="3BAAA3BB"/>
    <w:rsid w:val="3BB3D34A"/>
    <w:rsid w:val="3BB5B081"/>
    <w:rsid w:val="3BBA2E46"/>
    <w:rsid w:val="3BBC7AB0"/>
    <w:rsid w:val="3BBDB1DA"/>
    <w:rsid w:val="3BBFD3CA"/>
    <w:rsid w:val="3BC33D21"/>
    <w:rsid w:val="3BC5640D"/>
    <w:rsid w:val="3BC95DDE"/>
    <w:rsid w:val="3BCD8F5F"/>
    <w:rsid w:val="3BD1A5A3"/>
    <w:rsid w:val="3BD34374"/>
    <w:rsid w:val="3BD6A55C"/>
    <w:rsid w:val="3BD91E13"/>
    <w:rsid w:val="3BDA14AE"/>
    <w:rsid w:val="3BDA97E2"/>
    <w:rsid w:val="3BE90468"/>
    <w:rsid w:val="3BEB21DE"/>
    <w:rsid w:val="3BEBA84C"/>
    <w:rsid w:val="3BF0F45B"/>
    <w:rsid w:val="3BF18019"/>
    <w:rsid w:val="3BF2FCFB"/>
    <w:rsid w:val="3BF65643"/>
    <w:rsid w:val="3BFAE166"/>
    <w:rsid w:val="3BFFE2E1"/>
    <w:rsid w:val="3C00EC54"/>
    <w:rsid w:val="3C01D69F"/>
    <w:rsid w:val="3C048129"/>
    <w:rsid w:val="3C052E2A"/>
    <w:rsid w:val="3C07A153"/>
    <w:rsid w:val="3C0BFBB8"/>
    <w:rsid w:val="3C108DDA"/>
    <w:rsid w:val="3C10CB4F"/>
    <w:rsid w:val="3C118D94"/>
    <w:rsid w:val="3C13C9B4"/>
    <w:rsid w:val="3C15B0A3"/>
    <w:rsid w:val="3C1DDF1B"/>
    <w:rsid w:val="3C20332E"/>
    <w:rsid w:val="3C20C8E1"/>
    <w:rsid w:val="3C22CAFD"/>
    <w:rsid w:val="3C26D221"/>
    <w:rsid w:val="3C285770"/>
    <w:rsid w:val="3C29FBF0"/>
    <w:rsid w:val="3C2A7870"/>
    <w:rsid w:val="3C2F6735"/>
    <w:rsid w:val="3C309BF8"/>
    <w:rsid w:val="3C37D32B"/>
    <w:rsid w:val="3C37E574"/>
    <w:rsid w:val="3C38FFBB"/>
    <w:rsid w:val="3C44F54A"/>
    <w:rsid w:val="3C48C6A0"/>
    <w:rsid w:val="3C4C33C8"/>
    <w:rsid w:val="3C4DCFF7"/>
    <w:rsid w:val="3C4E8624"/>
    <w:rsid w:val="3C5071ED"/>
    <w:rsid w:val="3C547D86"/>
    <w:rsid w:val="3C5870C6"/>
    <w:rsid w:val="3C59B305"/>
    <w:rsid w:val="3C60C970"/>
    <w:rsid w:val="3C61ADAA"/>
    <w:rsid w:val="3C62F199"/>
    <w:rsid w:val="3C633ED2"/>
    <w:rsid w:val="3C635E84"/>
    <w:rsid w:val="3C64E1FD"/>
    <w:rsid w:val="3C6B989D"/>
    <w:rsid w:val="3C6E4F67"/>
    <w:rsid w:val="3C7D1120"/>
    <w:rsid w:val="3C7D2BC4"/>
    <w:rsid w:val="3C8131CC"/>
    <w:rsid w:val="3C8196BD"/>
    <w:rsid w:val="3C891C12"/>
    <w:rsid w:val="3C8FD1F1"/>
    <w:rsid w:val="3C9249FE"/>
    <w:rsid w:val="3C974C7A"/>
    <w:rsid w:val="3C9E0704"/>
    <w:rsid w:val="3C9E48E3"/>
    <w:rsid w:val="3C9E93A1"/>
    <w:rsid w:val="3CA030B6"/>
    <w:rsid w:val="3CA1338A"/>
    <w:rsid w:val="3CA37FE2"/>
    <w:rsid w:val="3CA46EE8"/>
    <w:rsid w:val="3CA7E971"/>
    <w:rsid w:val="3CAAEF9C"/>
    <w:rsid w:val="3CABDD01"/>
    <w:rsid w:val="3CAF936D"/>
    <w:rsid w:val="3CB10091"/>
    <w:rsid w:val="3CB17160"/>
    <w:rsid w:val="3CB73CD4"/>
    <w:rsid w:val="3CB81F72"/>
    <w:rsid w:val="3CB89632"/>
    <w:rsid w:val="3CB9D44D"/>
    <w:rsid w:val="3CBA1639"/>
    <w:rsid w:val="3CBDE755"/>
    <w:rsid w:val="3CC00A49"/>
    <w:rsid w:val="3CC6881D"/>
    <w:rsid w:val="3CC6D131"/>
    <w:rsid w:val="3CC6E862"/>
    <w:rsid w:val="3CC751F6"/>
    <w:rsid w:val="3CCCAEE1"/>
    <w:rsid w:val="3CD2DA09"/>
    <w:rsid w:val="3CD48BAE"/>
    <w:rsid w:val="3CD7387A"/>
    <w:rsid w:val="3CDDF442"/>
    <w:rsid w:val="3CE0FAED"/>
    <w:rsid w:val="3CE1E3B0"/>
    <w:rsid w:val="3CE2160E"/>
    <w:rsid w:val="3CE88E99"/>
    <w:rsid w:val="3CE936C5"/>
    <w:rsid w:val="3CEBDB78"/>
    <w:rsid w:val="3CF0AB0D"/>
    <w:rsid w:val="3CF0C8C5"/>
    <w:rsid w:val="3CF175E9"/>
    <w:rsid w:val="3CF5F147"/>
    <w:rsid w:val="3CF7E1AE"/>
    <w:rsid w:val="3CF9FBA1"/>
    <w:rsid w:val="3CFE789D"/>
    <w:rsid w:val="3D00730B"/>
    <w:rsid w:val="3D0A9282"/>
    <w:rsid w:val="3D0CDA25"/>
    <w:rsid w:val="3D0DB873"/>
    <w:rsid w:val="3D0DE8C2"/>
    <w:rsid w:val="3D108883"/>
    <w:rsid w:val="3D16B416"/>
    <w:rsid w:val="3D19A0E0"/>
    <w:rsid w:val="3D19E4D5"/>
    <w:rsid w:val="3D1AEE1E"/>
    <w:rsid w:val="3D1B01EE"/>
    <w:rsid w:val="3D1D55A7"/>
    <w:rsid w:val="3D23BD85"/>
    <w:rsid w:val="3D2B9520"/>
    <w:rsid w:val="3D2BB345"/>
    <w:rsid w:val="3D31E8CA"/>
    <w:rsid w:val="3D37B842"/>
    <w:rsid w:val="3D3D67F0"/>
    <w:rsid w:val="3D3E8252"/>
    <w:rsid w:val="3D3EC030"/>
    <w:rsid w:val="3D3F2290"/>
    <w:rsid w:val="3D42B239"/>
    <w:rsid w:val="3D436F9A"/>
    <w:rsid w:val="3D488F8D"/>
    <w:rsid w:val="3D4A9630"/>
    <w:rsid w:val="3D53C2EF"/>
    <w:rsid w:val="3D53CDDF"/>
    <w:rsid w:val="3D598BDC"/>
    <w:rsid w:val="3D5AD145"/>
    <w:rsid w:val="3D5DA8F5"/>
    <w:rsid w:val="3D6099B2"/>
    <w:rsid w:val="3D629E39"/>
    <w:rsid w:val="3D634A77"/>
    <w:rsid w:val="3D65E572"/>
    <w:rsid w:val="3D6B3DC7"/>
    <w:rsid w:val="3D6BAB12"/>
    <w:rsid w:val="3D6FCF06"/>
    <w:rsid w:val="3D7CCD7E"/>
    <w:rsid w:val="3D7CF3F7"/>
    <w:rsid w:val="3D7E1C6A"/>
    <w:rsid w:val="3D7FF47E"/>
    <w:rsid w:val="3D81F84F"/>
    <w:rsid w:val="3D8404A0"/>
    <w:rsid w:val="3D850886"/>
    <w:rsid w:val="3D86C96C"/>
    <w:rsid w:val="3D88E753"/>
    <w:rsid w:val="3D89BF9E"/>
    <w:rsid w:val="3D8EBDD1"/>
    <w:rsid w:val="3D8F55E2"/>
    <w:rsid w:val="3D932CED"/>
    <w:rsid w:val="3D942011"/>
    <w:rsid w:val="3D94933E"/>
    <w:rsid w:val="3D94FC7F"/>
    <w:rsid w:val="3D9B7AE5"/>
    <w:rsid w:val="3D9F3EA6"/>
    <w:rsid w:val="3D9F7D99"/>
    <w:rsid w:val="3DA252F6"/>
    <w:rsid w:val="3DA34D54"/>
    <w:rsid w:val="3DA3B741"/>
    <w:rsid w:val="3DA41ED0"/>
    <w:rsid w:val="3DA96E4A"/>
    <w:rsid w:val="3DB632D3"/>
    <w:rsid w:val="3DB9651C"/>
    <w:rsid w:val="3DC105F9"/>
    <w:rsid w:val="3DCE31AC"/>
    <w:rsid w:val="3DDEDF0E"/>
    <w:rsid w:val="3DDFD563"/>
    <w:rsid w:val="3DE289DF"/>
    <w:rsid w:val="3DE40938"/>
    <w:rsid w:val="3DE49914"/>
    <w:rsid w:val="3DE62631"/>
    <w:rsid w:val="3DE80429"/>
    <w:rsid w:val="3DE961DB"/>
    <w:rsid w:val="3DEB3E95"/>
    <w:rsid w:val="3DF2833C"/>
    <w:rsid w:val="3DF3527D"/>
    <w:rsid w:val="3DF6BBE1"/>
    <w:rsid w:val="3DF7AEB0"/>
    <w:rsid w:val="3DFC5A55"/>
    <w:rsid w:val="3DFD1D05"/>
    <w:rsid w:val="3DFDB33E"/>
    <w:rsid w:val="3DFEE970"/>
    <w:rsid w:val="3E00B5B5"/>
    <w:rsid w:val="3E02767F"/>
    <w:rsid w:val="3E07F37F"/>
    <w:rsid w:val="3E15F4B3"/>
    <w:rsid w:val="3E205C2C"/>
    <w:rsid w:val="3E25273A"/>
    <w:rsid w:val="3E25F58C"/>
    <w:rsid w:val="3E2C4E78"/>
    <w:rsid w:val="3E2FF4FA"/>
    <w:rsid w:val="3E355775"/>
    <w:rsid w:val="3E36E282"/>
    <w:rsid w:val="3E3AC1A8"/>
    <w:rsid w:val="3E3C4020"/>
    <w:rsid w:val="3E3D0648"/>
    <w:rsid w:val="3E43C146"/>
    <w:rsid w:val="3E480556"/>
    <w:rsid w:val="3E4B9F89"/>
    <w:rsid w:val="3E5028B4"/>
    <w:rsid w:val="3E509707"/>
    <w:rsid w:val="3E53BB15"/>
    <w:rsid w:val="3E5753F5"/>
    <w:rsid w:val="3E5A8346"/>
    <w:rsid w:val="3E5EFC96"/>
    <w:rsid w:val="3E5F8C87"/>
    <w:rsid w:val="3E68C828"/>
    <w:rsid w:val="3E74F707"/>
    <w:rsid w:val="3E758145"/>
    <w:rsid w:val="3E75C6A6"/>
    <w:rsid w:val="3E7627A0"/>
    <w:rsid w:val="3E7AC483"/>
    <w:rsid w:val="3E83AF6F"/>
    <w:rsid w:val="3E83C682"/>
    <w:rsid w:val="3E8D152A"/>
    <w:rsid w:val="3E900A27"/>
    <w:rsid w:val="3E901D54"/>
    <w:rsid w:val="3E92CB6F"/>
    <w:rsid w:val="3EA14C6B"/>
    <w:rsid w:val="3EA2EA07"/>
    <w:rsid w:val="3EA8429C"/>
    <w:rsid w:val="3EB02697"/>
    <w:rsid w:val="3EB208D8"/>
    <w:rsid w:val="3EB922DA"/>
    <w:rsid w:val="3EC04E62"/>
    <w:rsid w:val="3EC2E12C"/>
    <w:rsid w:val="3EC4AE5D"/>
    <w:rsid w:val="3EC89633"/>
    <w:rsid w:val="3ECB95FE"/>
    <w:rsid w:val="3ED1CB0D"/>
    <w:rsid w:val="3ED3CB64"/>
    <w:rsid w:val="3ED5C8AD"/>
    <w:rsid w:val="3ED794E8"/>
    <w:rsid w:val="3EDB3AEF"/>
    <w:rsid w:val="3EDC2107"/>
    <w:rsid w:val="3EDE9664"/>
    <w:rsid w:val="3EE13B92"/>
    <w:rsid w:val="3EE46A48"/>
    <w:rsid w:val="3EE70F2F"/>
    <w:rsid w:val="3EE9F7E5"/>
    <w:rsid w:val="3EED8D25"/>
    <w:rsid w:val="3EEF07F0"/>
    <w:rsid w:val="3EEFED74"/>
    <w:rsid w:val="3EF63FEF"/>
    <w:rsid w:val="3EF6E7C4"/>
    <w:rsid w:val="3EFD20D8"/>
    <w:rsid w:val="3EFD6896"/>
    <w:rsid w:val="3F07424F"/>
    <w:rsid w:val="3F0E56A7"/>
    <w:rsid w:val="3F111207"/>
    <w:rsid w:val="3F1166C3"/>
    <w:rsid w:val="3F135C2C"/>
    <w:rsid w:val="3F155AA0"/>
    <w:rsid w:val="3F159886"/>
    <w:rsid w:val="3F18F77A"/>
    <w:rsid w:val="3F196C0A"/>
    <w:rsid w:val="3F21DDD4"/>
    <w:rsid w:val="3F220313"/>
    <w:rsid w:val="3F2B0CC7"/>
    <w:rsid w:val="3F2D1FD2"/>
    <w:rsid w:val="3F2F43FF"/>
    <w:rsid w:val="3F31200B"/>
    <w:rsid w:val="3F329EBD"/>
    <w:rsid w:val="3F353E5C"/>
    <w:rsid w:val="3F356B2C"/>
    <w:rsid w:val="3F3A410B"/>
    <w:rsid w:val="3F3BA2C2"/>
    <w:rsid w:val="3F4163D9"/>
    <w:rsid w:val="3F48387E"/>
    <w:rsid w:val="3F4F74CD"/>
    <w:rsid w:val="3F51E781"/>
    <w:rsid w:val="3F5474A1"/>
    <w:rsid w:val="3F5FF0EA"/>
    <w:rsid w:val="3F601155"/>
    <w:rsid w:val="3F60683A"/>
    <w:rsid w:val="3F608DD5"/>
    <w:rsid w:val="3F66182E"/>
    <w:rsid w:val="3F661C7B"/>
    <w:rsid w:val="3F6920FC"/>
    <w:rsid w:val="3F6F353A"/>
    <w:rsid w:val="3F72153F"/>
    <w:rsid w:val="3F732D84"/>
    <w:rsid w:val="3F74CD21"/>
    <w:rsid w:val="3F77E1F4"/>
    <w:rsid w:val="3F78406A"/>
    <w:rsid w:val="3F78462A"/>
    <w:rsid w:val="3F7FDB03"/>
    <w:rsid w:val="3F803661"/>
    <w:rsid w:val="3F837DE5"/>
    <w:rsid w:val="3F842D04"/>
    <w:rsid w:val="3F8A7084"/>
    <w:rsid w:val="3F8CBCEE"/>
    <w:rsid w:val="3F941F10"/>
    <w:rsid w:val="3F9EC0BF"/>
    <w:rsid w:val="3FA16A61"/>
    <w:rsid w:val="3FA3B49E"/>
    <w:rsid w:val="3FA8CA51"/>
    <w:rsid w:val="3FA96DCF"/>
    <w:rsid w:val="3FAAEA21"/>
    <w:rsid w:val="3FAD9D80"/>
    <w:rsid w:val="3FAE067F"/>
    <w:rsid w:val="3FB0B2EA"/>
    <w:rsid w:val="3FB40254"/>
    <w:rsid w:val="3FB7A035"/>
    <w:rsid w:val="3FB7DD1F"/>
    <w:rsid w:val="3FB87140"/>
    <w:rsid w:val="3FBC061C"/>
    <w:rsid w:val="3FBDFDD0"/>
    <w:rsid w:val="3FC25EF0"/>
    <w:rsid w:val="3FD2CED4"/>
    <w:rsid w:val="3FD649EB"/>
    <w:rsid w:val="3FDF3DE6"/>
    <w:rsid w:val="3FE5A6EE"/>
    <w:rsid w:val="3FEA2784"/>
    <w:rsid w:val="3FEAA100"/>
    <w:rsid w:val="3FEB7FED"/>
    <w:rsid w:val="3FEE3868"/>
    <w:rsid w:val="3FF795D4"/>
    <w:rsid w:val="3FF809BE"/>
    <w:rsid w:val="3FF9FE39"/>
    <w:rsid w:val="3FFDF1EA"/>
    <w:rsid w:val="3FFE73F6"/>
    <w:rsid w:val="3FFE7B42"/>
    <w:rsid w:val="40029974"/>
    <w:rsid w:val="40081D13"/>
    <w:rsid w:val="400B3B55"/>
    <w:rsid w:val="400C6B98"/>
    <w:rsid w:val="400F5183"/>
    <w:rsid w:val="40132B02"/>
    <w:rsid w:val="40132CFA"/>
    <w:rsid w:val="4014D195"/>
    <w:rsid w:val="40158707"/>
    <w:rsid w:val="4019BA78"/>
    <w:rsid w:val="401E3F7A"/>
    <w:rsid w:val="401E9D22"/>
    <w:rsid w:val="40289CB0"/>
    <w:rsid w:val="402EAB12"/>
    <w:rsid w:val="402F115E"/>
    <w:rsid w:val="402FA8D5"/>
    <w:rsid w:val="40359FC1"/>
    <w:rsid w:val="4037E695"/>
    <w:rsid w:val="403E1BE8"/>
    <w:rsid w:val="40450709"/>
    <w:rsid w:val="4046B1FE"/>
    <w:rsid w:val="40470EDB"/>
    <w:rsid w:val="4047F6C9"/>
    <w:rsid w:val="404B70E3"/>
    <w:rsid w:val="404BA161"/>
    <w:rsid w:val="404EF4C4"/>
    <w:rsid w:val="40516532"/>
    <w:rsid w:val="40529E84"/>
    <w:rsid w:val="40553C1C"/>
    <w:rsid w:val="4058FCE9"/>
    <w:rsid w:val="405A08E2"/>
    <w:rsid w:val="40636A75"/>
    <w:rsid w:val="4066585D"/>
    <w:rsid w:val="40676251"/>
    <w:rsid w:val="406DC84D"/>
    <w:rsid w:val="406EC26E"/>
    <w:rsid w:val="40708675"/>
    <w:rsid w:val="407212E9"/>
    <w:rsid w:val="407223AE"/>
    <w:rsid w:val="40726153"/>
    <w:rsid w:val="407453D3"/>
    <w:rsid w:val="4077FBF5"/>
    <w:rsid w:val="4078AE50"/>
    <w:rsid w:val="4078D136"/>
    <w:rsid w:val="407A33B5"/>
    <w:rsid w:val="407B5AA6"/>
    <w:rsid w:val="407E7404"/>
    <w:rsid w:val="4080A4BE"/>
    <w:rsid w:val="40851C1B"/>
    <w:rsid w:val="40856E39"/>
    <w:rsid w:val="4087A618"/>
    <w:rsid w:val="408AE8C7"/>
    <w:rsid w:val="408C6243"/>
    <w:rsid w:val="408E34CE"/>
    <w:rsid w:val="408F28E7"/>
    <w:rsid w:val="409543D8"/>
    <w:rsid w:val="4095DEAC"/>
    <w:rsid w:val="409BA499"/>
    <w:rsid w:val="409EE67F"/>
    <w:rsid w:val="409F043C"/>
    <w:rsid w:val="40A0E711"/>
    <w:rsid w:val="40A5C37A"/>
    <w:rsid w:val="40A609DD"/>
    <w:rsid w:val="40A77401"/>
    <w:rsid w:val="40A8FC20"/>
    <w:rsid w:val="40A9BD30"/>
    <w:rsid w:val="40A9CB03"/>
    <w:rsid w:val="40AE1EC3"/>
    <w:rsid w:val="40AEEDAC"/>
    <w:rsid w:val="40AEF07F"/>
    <w:rsid w:val="40B1A327"/>
    <w:rsid w:val="40B3066A"/>
    <w:rsid w:val="40B5C60D"/>
    <w:rsid w:val="40BCF303"/>
    <w:rsid w:val="40C2B36B"/>
    <w:rsid w:val="40C3BAA0"/>
    <w:rsid w:val="40C43F60"/>
    <w:rsid w:val="40C57525"/>
    <w:rsid w:val="40C7D8D6"/>
    <w:rsid w:val="40CC83C2"/>
    <w:rsid w:val="40CD00F9"/>
    <w:rsid w:val="40D2A646"/>
    <w:rsid w:val="40D5644C"/>
    <w:rsid w:val="40DD14DA"/>
    <w:rsid w:val="40DD3615"/>
    <w:rsid w:val="40DFBDAF"/>
    <w:rsid w:val="40E9A759"/>
    <w:rsid w:val="40EA8DBC"/>
    <w:rsid w:val="40ECE684"/>
    <w:rsid w:val="40F04314"/>
    <w:rsid w:val="40F18F40"/>
    <w:rsid w:val="40FC389B"/>
    <w:rsid w:val="4106C6C0"/>
    <w:rsid w:val="41071E4D"/>
    <w:rsid w:val="410721C2"/>
    <w:rsid w:val="410C7210"/>
    <w:rsid w:val="410FC72A"/>
    <w:rsid w:val="4110BE33"/>
    <w:rsid w:val="4111596F"/>
    <w:rsid w:val="4112A483"/>
    <w:rsid w:val="4113A26E"/>
    <w:rsid w:val="41142B8D"/>
    <w:rsid w:val="4114A25D"/>
    <w:rsid w:val="411FCA94"/>
    <w:rsid w:val="41274BA1"/>
    <w:rsid w:val="412BC255"/>
    <w:rsid w:val="412EFE43"/>
    <w:rsid w:val="4130DA51"/>
    <w:rsid w:val="4132C1F7"/>
    <w:rsid w:val="41341F58"/>
    <w:rsid w:val="4136BA0E"/>
    <w:rsid w:val="4139C776"/>
    <w:rsid w:val="413B5F86"/>
    <w:rsid w:val="413BB45E"/>
    <w:rsid w:val="413C397C"/>
    <w:rsid w:val="414462EF"/>
    <w:rsid w:val="414867B8"/>
    <w:rsid w:val="41488DB1"/>
    <w:rsid w:val="414CA72D"/>
    <w:rsid w:val="41516AE9"/>
    <w:rsid w:val="4152BF88"/>
    <w:rsid w:val="4154806A"/>
    <w:rsid w:val="415501AF"/>
    <w:rsid w:val="4156ABE6"/>
    <w:rsid w:val="41577260"/>
    <w:rsid w:val="4159450E"/>
    <w:rsid w:val="415C88A1"/>
    <w:rsid w:val="415D7AC9"/>
    <w:rsid w:val="4160D8C7"/>
    <w:rsid w:val="41619D60"/>
    <w:rsid w:val="416305C6"/>
    <w:rsid w:val="416443A3"/>
    <w:rsid w:val="4166F61E"/>
    <w:rsid w:val="416E307D"/>
    <w:rsid w:val="4170634C"/>
    <w:rsid w:val="4173B13B"/>
    <w:rsid w:val="4175D13D"/>
    <w:rsid w:val="418270FA"/>
    <w:rsid w:val="41830ED1"/>
    <w:rsid w:val="418404EF"/>
    <w:rsid w:val="418536C6"/>
    <w:rsid w:val="4187408D"/>
    <w:rsid w:val="41882460"/>
    <w:rsid w:val="418F3108"/>
    <w:rsid w:val="4190A19A"/>
    <w:rsid w:val="4193A83C"/>
    <w:rsid w:val="41946C14"/>
    <w:rsid w:val="4195B0D0"/>
    <w:rsid w:val="419CD737"/>
    <w:rsid w:val="419E5083"/>
    <w:rsid w:val="419FC181"/>
    <w:rsid w:val="41A097D8"/>
    <w:rsid w:val="41A154EA"/>
    <w:rsid w:val="41A315CF"/>
    <w:rsid w:val="41ABE4D0"/>
    <w:rsid w:val="41AC15FE"/>
    <w:rsid w:val="41B005B4"/>
    <w:rsid w:val="41B1BC20"/>
    <w:rsid w:val="41B41504"/>
    <w:rsid w:val="41B87759"/>
    <w:rsid w:val="41BCC18E"/>
    <w:rsid w:val="41BE0B70"/>
    <w:rsid w:val="41BF1C9A"/>
    <w:rsid w:val="41C41D1B"/>
    <w:rsid w:val="41CA8CBC"/>
    <w:rsid w:val="41CEF4C4"/>
    <w:rsid w:val="41D1A770"/>
    <w:rsid w:val="41D434D4"/>
    <w:rsid w:val="41DC2DAF"/>
    <w:rsid w:val="41E1F48B"/>
    <w:rsid w:val="41E55C9C"/>
    <w:rsid w:val="41EA3886"/>
    <w:rsid w:val="41EB09F7"/>
    <w:rsid w:val="41F0000A"/>
    <w:rsid w:val="41F24E64"/>
    <w:rsid w:val="41F40D52"/>
    <w:rsid w:val="41F506E6"/>
    <w:rsid w:val="41F5216B"/>
    <w:rsid w:val="41F557EB"/>
    <w:rsid w:val="41F5C4FA"/>
    <w:rsid w:val="41F61AC9"/>
    <w:rsid w:val="41F86671"/>
    <w:rsid w:val="41FE9B03"/>
    <w:rsid w:val="4201F3E4"/>
    <w:rsid w:val="42040126"/>
    <w:rsid w:val="420814CB"/>
    <w:rsid w:val="420C3847"/>
    <w:rsid w:val="42109736"/>
    <w:rsid w:val="4211FE37"/>
    <w:rsid w:val="422154B6"/>
    <w:rsid w:val="4223C390"/>
    <w:rsid w:val="42241DFF"/>
    <w:rsid w:val="422B1FCC"/>
    <w:rsid w:val="422BD0B4"/>
    <w:rsid w:val="422D3910"/>
    <w:rsid w:val="42322E96"/>
    <w:rsid w:val="4234E93C"/>
    <w:rsid w:val="4238C783"/>
    <w:rsid w:val="423F726E"/>
    <w:rsid w:val="4241D4C9"/>
    <w:rsid w:val="4242558B"/>
    <w:rsid w:val="4243877F"/>
    <w:rsid w:val="4243FEF4"/>
    <w:rsid w:val="42478E68"/>
    <w:rsid w:val="42484397"/>
    <w:rsid w:val="4248A719"/>
    <w:rsid w:val="4256E7DB"/>
    <w:rsid w:val="42572C95"/>
    <w:rsid w:val="4258CFB5"/>
    <w:rsid w:val="425B11F2"/>
    <w:rsid w:val="425B3A50"/>
    <w:rsid w:val="425F73A8"/>
    <w:rsid w:val="42617569"/>
    <w:rsid w:val="426B2EC2"/>
    <w:rsid w:val="426B8256"/>
    <w:rsid w:val="426EBAB6"/>
    <w:rsid w:val="426F4526"/>
    <w:rsid w:val="426FB701"/>
    <w:rsid w:val="42712EF0"/>
    <w:rsid w:val="427183E4"/>
    <w:rsid w:val="42734B78"/>
    <w:rsid w:val="427868AB"/>
    <w:rsid w:val="4279D1EC"/>
    <w:rsid w:val="4279E3DF"/>
    <w:rsid w:val="427CBF88"/>
    <w:rsid w:val="427E7097"/>
    <w:rsid w:val="42811573"/>
    <w:rsid w:val="428142F4"/>
    <w:rsid w:val="42826A4C"/>
    <w:rsid w:val="42844C0E"/>
    <w:rsid w:val="42853020"/>
    <w:rsid w:val="428AC15B"/>
    <w:rsid w:val="4296B00F"/>
    <w:rsid w:val="429E7619"/>
    <w:rsid w:val="429E7C69"/>
    <w:rsid w:val="42A46F4F"/>
    <w:rsid w:val="42A5E266"/>
    <w:rsid w:val="42A6874C"/>
    <w:rsid w:val="42A7C6DF"/>
    <w:rsid w:val="42A92B9E"/>
    <w:rsid w:val="42A96925"/>
    <w:rsid w:val="42B5C31E"/>
    <w:rsid w:val="42B9D446"/>
    <w:rsid w:val="42BDEC7D"/>
    <w:rsid w:val="42BE9EB5"/>
    <w:rsid w:val="42BFD6F9"/>
    <w:rsid w:val="42C2C7FE"/>
    <w:rsid w:val="42C463B5"/>
    <w:rsid w:val="42C52C59"/>
    <w:rsid w:val="42C62878"/>
    <w:rsid w:val="42C661F8"/>
    <w:rsid w:val="42C8263E"/>
    <w:rsid w:val="42D0F45D"/>
    <w:rsid w:val="42D30FA3"/>
    <w:rsid w:val="42D50327"/>
    <w:rsid w:val="42D791BC"/>
    <w:rsid w:val="42DF2AB0"/>
    <w:rsid w:val="42EA0E2F"/>
    <w:rsid w:val="42EB68BE"/>
    <w:rsid w:val="42EC168D"/>
    <w:rsid w:val="42EED49A"/>
    <w:rsid w:val="42EFDFD9"/>
    <w:rsid w:val="42F26460"/>
    <w:rsid w:val="43003468"/>
    <w:rsid w:val="4301E6A8"/>
    <w:rsid w:val="4315DACD"/>
    <w:rsid w:val="431D9316"/>
    <w:rsid w:val="4328D134"/>
    <w:rsid w:val="4330CEBF"/>
    <w:rsid w:val="4332944D"/>
    <w:rsid w:val="4333D043"/>
    <w:rsid w:val="433659AF"/>
    <w:rsid w:val="433AB601"/>
    <w:rsid w:val="433D084E"/>
    <w:rsid w:val="433D0F0C"/>
    <w:rsid w:val="433EE733"/>
    <w:rsid w:val="43454952"/>
    <w:rsid w:val="434EE3CD"/>
    <w:rsid w:val="43521B59"/>
    <w:rsid w:val="43521D62"/>
    <w:rsid w:val="43536124"/>
    <w:rsid w:val="435443CB"/>
    <w:rsid w:val="435677F9"/>
    <w:rsid w:val="4362D607"/>
    <w:rsid w:val="4364750A"/>
    <w:rsid w:val="43659A34"/>
    <w:rsid w:val="4368106D"/>
    <w:rsid w:val="436828AF"/>
    <w:rsid w:val="436A446B"/>
    <w:rsid w:val="436BED71"/>
    <w:rsid w:val="436DB19E"/>
    <w:rsid w:val="436E4B6E"/>
    <w:rsid w:val="436EB640"/>
    <w:rsid w:val="4373E707"/>
    <w:rsid w:val="437CA186"/>
    <w:rsid w:val="437F7C43"/>
    <w:rsid w:val="43817A75"/>
    <w:rsid w:val="43825B91"/>
    <w:rsid w:val="438595D6"/>
    <w:rsid w:val="4388B88E"/>
    <w:rsid w:val="438C6766"/>
    <w:rsid w:val="438EDDBE"/>
    <w:rsid w:val="43916D5B"/>
    <w:rsid w:val="4392098A"/>
    <w:rsid w:val="4396C6BC"/>
    <w:rsid w:val="439968B1"/>
    <w:rsid w:val="4399E2BD"/>
    <w:rsid w:val="439B3EB8"/>
    <w:rsid w:val="439DB978"/>
    <w:rsid w:val="43A1B837"/>
    <w:rsid w:val="43A32EA3"/>
    <w:rsid w:val="43ACBC24"/>
    <w:rsid w:val="43AD3A38"/>
    <w:rsid w:val="43AE9ED6"/>
    <w:rsid w:val="43AF4BC4"/>
    <w:rsid w:val="43B6473A"/>
    <w:rsid w:val="43BB8F22"/>
    <w:rsid w:val="43BCEB11"/>
    <w:rsid w:val="43BF5367"/>
    <w:rsid w:val="43C1EC79"/>
    <w:rsid w:val="43C38D34"/>
    <w:rsid w:val="43C65DEB"/>
    <w:rsid w:val="43CA50B4"/>
    <w:rsid w:val="43CACEB4"/>
    <w:rsid w:val="43CE4DFE"/>
    <w:rsid w:val="43CE74CA"/>
    <w:rsid w:val="43D0376D"/>
    <w:rsid w:val="43D3543F"/>
    <w:rsid w:val="43D67A8E"/>
    <w:rsid w:val="43D6AC45"/>
    <w:rsid w:val="43DCDD10"/>
    <w:rsid w:val="43DD0794"/>
    <w:rsid w:val="43DD7148"/>
    <w:rsid w:val="43E4D48B"/>
    <w:rsid w:val="43E7CE0F"/>
    <w:rsid w:val="43EDF50D"/>
    <w:rsid w:val="43EF1AB9"/>
    <w:rsid w:val="43F27C94"/>
    <w:rsid w:val="43F7C3AA"/>
    <w:rsid w:val="43FF04B3"/>
    <w:rsid w:val="43FF6A8D"/>
    <w:rsid w:val="440521F6"/>
    <w:rsid w:val="44054334"/>
    <w:rsid w:val="44063427"/>
    <w:rsid w:val="4408E5A9"/>
    <w:rsid w:val="44103B11"/>
    <w:rsid w:val="4411216B"/>
    <w:rsid w:val="44124F77"/>
    <w:rsid w:val="4415C0E7"/>
    <w:rsid w:val="44193B34"/>
    <w:rsid w:val="441968D9"/>
    <w:rsid w:val="4419F7D2"/>
    <w:rsid w:val="441A3A67"/>
    <w:rsid w:val="441A3C0B"/>
    <w:rsid w:val="44216187"/>
    <w:rsid w:val="44227ADF"/>
    <w:rsid w:val="44253EE2"/>
    <w:rsid w:val="4426984D"/>
    <w:rsid w:val="4428EEEE"/>
    <w:rsid w:val="442B3D9C"/>
    <w:rsid w:val="442BC695"/>
    <w:rsid w:val="442CDEE2"/>
    <w:rsid w:val="442D9EA1"/>
    <w:rsid w:val="442EDE2C"/>
    <w:rsid w:val="443275C9"/>
    <w:rsid w:val="4432AF8B"/>
    <w:rsid w:val="443367B3"/>
    <w:rsid w:val="4439235D"/>
    <w:rsid w:val="443B097F"/>
    <w:rsid w:val="443B8A46"/>
    <w:rsid w:val="443BBB80"/>
    <w:rsid w:val="444006A9"/>
    <w:rsid w:val="444024AC"/>
    <w:rsid w:val="4445EC93"/>
    <w:rsid w:val="4446D13A"/>
    <w:rsid w:val="444B3599"/>
    <w:rsid w:val="444CC05E"/>
    <w:rsid w:val="444DF228"/>
    <w:rsid w:val="44516381"/>
    <w:rsid w:val="44544771"/>
    <w:rsid w:val="4454E9D9"/>
    <w:rsid w:val="44558F9F"/>
    <w:rsid w:val="44586ADF"/>
    <w:rsid w:val="44594375"/>
    <w:rsid w:val="445E271A"/>
    <w:rsid w:val="445ED12A"/>
    <w:rsid w:val="44643697"/>
    <w:rsid w:val="446982AA"/>
    <w:rsid w:val="446FA160"/>
    <w:rsid w:val="447714CF"/>
    <w:rsid w:val="44797791"/>
    <w:rsid w:val="448004B2"/>
    <w:rsid w:val="448971A0"/>
    <w:rsid w:val="448B6A35"/>
    <w:rsid w:val="448B9506"/>
    <w:rsid w:val="448C1D68"/>
    <w:rsid w:val="448D7694"/>
    <w:rsid w:val="44950FE7"/>
    <w:rsid w:val="44983EE8"/>
    <w:rsid w:val="4499EAA3"/>
    <w:rsid w:val="449B1ED2"/>
    <w:rsid w:val="449F56A1"/>
    <w:rsid w:val="44A54071"/>
    <w:rsid w:val="44AEB0AE"/>
    <w:rsid w:val="44AFD82F"/>
    <w:rsid w:val="44B3386A"/>
    <w:rsid w:val="44B6EEE6"/>
    <w:rsid w:val="44BACA04"/>
    <w:rsid w:val="44BD0928"/>
    <w:rsid w:val="44BDD468"/>
    <w:rsid w:val="44BF4BE2"/>
    <w:rsid w:val="44BF8FD5"/>
    <w:rsid w:val="44C3455C"/>
    <w:rsid w:val="44C3EF6A"/>
    <w:rsid w:val="44C40C7E"/>
    <w:rsid w:val="44C8249D"/>
    <w:rsid w:val="44C9680F"/>
    <w:rsid w:val="44CB4272"/>
    <w:rsid w:val="44CD6EA8"/>
    <w:rsid w:val="44CF78CA"/>
    <w:rsid w:val="44D283D5"/>
    <w:rsid w:val="44D4E9AE"/>
    <w:rsid w:val="44E21538"/>
    <w:rsid w:val="44E59D9C"/>
    <w:rsid w:val="44E9B28C"/>
    <w:rsid w:val="44E9F0A8"/>
    <w:rsid w:val="44EAA219"/>
    <w:rsid w:val="44EBAB4C"/>
    <w:rsid w:val="44EC9ABA"/>
    <w:rsid w:val="44ECC34C"/>
    <w:rsid w:val="44F2CA5A"/>
    <w:rsid w:val="44F3425F"/>
    <w:rsid w:val="44F59ADE"/>
    <w:rsid w:val="44F6A07B"/>
    <w:rsid w:val="44F6BFD5"/>
    <w:rsid w:val="44F75DE1"/>
    <w:rsid w:val="44F7F818"/>
    <w:rsid w:val="44F99D17"/>
    <w:rsid w:val="44F9A2D9"/>
    <w:rsid w:val="45015314"/>
    <w:rsid w:val="4501742B"/>
    <w:rsid w:val="450194F4"/>
    <w:rsid w:val="4505A5E9"/>
    <w:rsid w:val="45065470"/>
    <w:rsid w:val="45091A34"/>
    <w:rsid w:val="450B7423"/>
    <w:rsid w:val="450D8E65"/>
    <w:rsid w:val="450FB4A0"/>
    <w:rsid w:val="45158BA5"/>
    <w:rsid w:val="45173306"/>
    <w:rsid w:val="451999D0"/>
    <w:rsid w:val="451DF162"/>
    <w:rsid w:val="45233039"/>
    <w:rsid w:val="452507ED"/>
    <w:rsid w:val="45286372"/>
    <w:rsid w:val="452BB5D1"/>
    <w:rsid w:val="452D756A"/>
    <w:rsid w:val="452F33E8"/>
    <w:rsid w:val="45371DA4"/>
    <w:rsid w:val="4538F4D1"/>
    <w:rsid w:val="453AB986"/>
    <w:rsid w:val="453D4500"/>
    <w:rsid w:val="45401581"/>
    <w:rsid w:val="454028D5"/>
    <w:rsid w:val="4540C026"/>
    <w:rsid w:val="45421A48"/>
    <w:rsid w:val="4548168E"/>
    <w:rsid w:val="454B2EE0"/>
    <w:rsid w:val="454D21EC"/>
    <w:rsid w:val="4551FC41"/>
    <w:rsid w:val="455AB848"/>
    <w:rsid w:val="455AE4DD"/>
    <w:rsid w:val="4561F5A4"/>
    <w:rsid w:val="4564CA43"/>
    <w:rsid w:val="4565E116"/>
    <w:rsid w:val="456BF767"/>
    <w:rsid w:val="456C0916"/>
    <w:rsid w:val="4572BA11"/>
    <w:rsid w:val="457892FD"/>
    <w:rsid w:val="457E4C17"/>
    <w:rsid w:val="45884C3C"/>
    <w:rsid w:val="45914F9A"/>
    <w:rsid w:val="4591D963"/>
    <w:rsid w:val="4591F1D1"/>
    <w:rsid w:val="45922454"/>
    <w:rsid w:val="4593F805"/>
    <w:rsid w:val="4594435C"/>
    <w:rsid w:val="4594664D"/>
    <w:rsid w:val="4594D46C"/>
    <w:rsid w:val="459B2192"/>
    <w:rsid w:val="45A7A724"/>
    <w:rsid w:val="45AD485C"/>
    <w:rsid w:val="45B570D9"/>
    <w:rsid w:val="45B70CE9"/>
    <w:rsid w:val="45BA61A6"/>
    <w:rsid w:val="45BC6C51"/>
    <w:rsid w:val="45C6ADB0"/>
    <w:rsid w:val="45D62C89"/>
    <w:rsid w:val="45D77495"/>
    <w:rsid w:val="45DD32A7"/>
    <w:rsid w:val="45DE5194"/>
    <w:rsid w:val="45E2CE34"/>
    <w:rsid w:val="45E712FA"/>
    <w:rsid w:val="45E8DEEF"/>
    <w:rsid w:val="45ED5CB9"/>
    <w:rsid w:val="45F77960"/>
    <w:rsid w:val="45F7A7A4"/>
    <w:rsid w:val="45F7D6EA"/>
    <w:rsid w:val="45FCC987"/>
    <w:rsid w:val="45FDB251"/>
    <w:rsid w:val="46031CAA"/>
    <w:rsid w:val="460CF806"/>
    <w:rsid w:val="4610BFFB"/>
    <w:rsid w:val="46127BEF"/>
    <w:rsid w:val="4613549C"/>
    <w:rsid w:val="4613D3B0"/>
    <w:rsid w:val="46175C3E"/>
    <w:rsid w:val="461DFFCA"/>
    <w:rsid w:val="46210382"/>
    <w:rsid w:val="4621A536"/>
    <w:rsid w:val="4622D27B"/>
    <w:rsid w:val="4623DC13"/>
    <w:rsid w:val="462493B6"/>
    <w:rsid w:val="462A0522"/>
    <w:rsid w:val="46316244"/>
    <w:rsid w:val="46347307"/>
    <w:rsid w:val="46354FC9"/>
    <w:rsid w:val="463CA283"/>
    <w:rsid w:val="46418E3A"/>
    <w:rsid w:val="4641E999"/>
    <w:rsid w:val="46423B2E"/>
    <w:rsid w:val="46425B33"/>
    <w:rsid w:val="46447DF5"/>
    <w:rsid w:val="46469527"/>
    <w:rsid w:val="4649B095"/>
    <w:rsid w:val="464C1C68"/>
    <w:rsid w:val="465175EA"/>
    <w:rsid w:val="46548C34"/>
    <w:rsid w:val="4658D54B"/>
    <w:rsid w:val="465B7522"/>
    <w:rsid w:val="46653731"/>
    <w:rsid w:val="466659C8"/>
    <w:rsid w:val="4667938F"/>
    <w:rsid w:val="466B1DF3"/>
    <w:rsid w:val="466DC772"/>
    <w:rsid w:val="466F9B79"/>
    <w:rsid w:val="46746ECB"/>
    <w:rsid w:val="467A5EA2"/>
    <w:rsid w:val="467D9C3E"/>
    <w:rsid w:val="467E57B9"/>
    <w:rsid w:val="467ED622"/>
    <w:rsid w:val="46810CBF"/>
    <w:rsid w:val="46841DBC"/>
    <w:rsid w:val="468F813B"/>
    <w:rsid w:val="46944FF1"/>
    <w:rsid w:val="469563E5"/>
    <w:rsid w:val="4696138A"/>
    <w:rsid w:val="46970DC1"/>
    <w:rsid w:val="46987CD7"/>
    <w:rsid w:val="469C54F0"/>
    <w:rsid w:val="46A26C15"/>
    <w:rsid w:val="46A41B20"/>
    <w:rsid w:val="46A51693"/>
    <w:rsid w:val="46AA1A5C"/>
    <w:rsid w:val="46AC3162"/>
    <w:rsid w:val="46ADF70B"/>
    <w:rsid w:val="46B2112D"/>
    <w:rsid w:val="46B9A230"/>
    <w:rsid w:val="46BE401D"/>
    <w:rsid w:val="46C27BFC"/>
    <w:rsid w:val="46C35F78"/>
    <w:rsid w:val="46C4A129"/>
    <w:rsid w:val="46C7525D"/>
    <w:rsid w:val="46CBC99F"/>
    <w:rsid w:val="46CE5F82"/>
    <w:rsid w:val="46CF4AB6"/>
    <w:rsid w:val="46D0A4FE"/>
    <w:rsid w:val="46D376FC"/>
    <w:rsid w:val="46D4EB9E"/>
    <w:rsid w:val="46D8F21E"/>
    <w:rsid w:val="46D95C82"/>
    <w:rsid w:val="46D9DA0A"/>
    <w:rsid w:val="46DB8851"/>
    <w:rsid w:val="46DECBA8"/>
    <w:rsid w:val="46DF248B"/>
    <w:rsid w:val="46E54CBF"/>
    <w:rsid w:val="46E63565"/>
    <w:rsid w:val="46E685AA"/>
    <w:rsid w:val="46EDE644"/>
    <w:rsid w:val="46F22128"/>
    <w:rsid w:val="46F71BD4"/>
    <w:rsid w:val="46F7999E"/>
    <w:rsid w:val="46F7D0D3"/>
    <w:rsid w:val="47036122"/>
    <w:rsid w:val="4703F892"/>
    <w:rsid w:val="47052796"/>
    <w:rsid w:val="470CD7B8"/>
    <w:rsid w:val="470FC482"/>
    <w:rsid w:val="47188257"/>
    <w:rsid w:val="47193C1A"/>
    <w:rsid w:val="471A1C03"/>
    <w:rsid w:val="471B88C9"/>
    <w:rsid w:val="47221857"/>
    <w:rsid w:val="472E3460"/>
    <w:rsid w:val="47339A85"/>
    <w:rsid w:val="47349E54"/>
    <w:rsid w:val="4739623F"/>
    <w:rsid w:val="47396B6A"/>
    <w:rsid w:val="47396F69"/>
    <w:rsid w:val="47448BCA"/>
    <w:rsid w:val="47465EA6"/>
    <w:rsid w:val="4748533A"/>
    <w:rsid w:val="474DA7A8"/>
    <w:rsid w:val="474E0960"/>
    <w:rsid w:val="474E41A8"/>
    <w:rsid w:val="4752BE7B"/>
    <w:rsid w:val="47575771"/>
    <w:rsid w:val="475C5944"/>
    <w:rsid w:val="475CF966"/>
    <w:rsid w:val="47624669"/>
    <w:rsid w:val="476448F9"/>
    <w:rsid w:val="4768B26C"/>
    <w:rsid w:val="476A1E44"/>
    <w:rsid w:val="477432E1"/>
    <w:rsid w:val="4778DBF5"/>
    <w:rsid w:val="477958E1"/>
    <w:rsid w:val="4779FBAB"/>
    <w:rsid w:val="477EFBB4"/>
    <w:rsid w:val="477F2762"/>
    <w:rsid w:val="477FFD9C"/>
    <w:rsid w:val="4786C7F6"/>
    <w:rsid w:val="478EC5E8"/>
    <w:rsid w:val="47923C06"/>
    <w:rsid w:val="4792D9CC"/>
    <w:rsid w:val="47978BA0"/>
    <w:rsid w:val="47991D4D"/>
    <w:rsid w:val="479A88F1"/>
    <w:rsid w:val="47A1320F"/>
    <w:rsid w:val="47A23B9C"/>
    <w:rsid w:val="47A3E633"/>
    <w:rsid w:val="47A4B94E"/>
    <w:rsid w:val="47A7DC7B"/>
    <w:rsid w:val="47AAA29C"/>
    <w:rsid w:val="47AB933A"/>
    <w:rsid w:val="47AF6490"/>
    <w:rsid w:val="47B17E98"/>
    <w:rsid w:val="47BD93D2"/>
    <w:rsid w:val="47BF9A87"/>
    <w:rsid w:val="47C1D39C"/>
    <w:rsid w:val="47C298F2"/>
    <w:rsid w:val="47C5D583"/>
    <w:rsid w:val="47C8FD0A"/>
    <w:rsid w:val="47C90081"/>
    <w:rsid w:val="47C90F72"/>
    <w:rsid w:val="47CA3C47"/>
    <w:rsid w:val="47CD3E02"/>
    <w:rsid w:val="47D40C93"/>
    <w:rsid w:val="47D68E08"/>
    <w:rsid w:val="47D92283"/>
    <w:rsid w:val="47DAE365"/>
    <w:rsid w:val="47DEBCB7"/>
    <w:rsid w:val="47E23051"/>
    <w:rsid w:val="47E3AD12"/>
    <w:rsid w:val="47E700B0"/>
    <w:rsid w:val="47E782D6"/>
    <w:rsid w:val="47E83FE9"/>
    <w:rsid w:val="47F099E0"/>
    <w:rsid w:val="47F41F37"/>
    <w:rsid w:val="47F49ABF"/>
    <w:rsid w:val="47F4F472"/>
    <w:rsid w:val="47F660CB"/>
    <w:rsid w:val="47F8282B"/>
    <w:rsid w:val="47FF80E9"/>
    <w:rsid w:val="48023F7D"/>
    <w:rsid w:val="480413B4"/>
    <w:rsid w:val="4806018A"/>
    <w:rsid w:val="4806843C"/>
    <w:rsid w:val="4806C5D8"/>
    <w:rsid w:val="48093BB7"/>
    <w:rsid w:val="480BB2B7"/>
    <w:rsid w:val="480EFC1B"/>
    <w:rsid w:val="48126322"/>
    <w:rsid w:val="48186737"/>
    <w:rsid w:val="48196776"/>
    <w:rsid w:val="481D3702"/>
    <w:rsid w:val="4820BE4A"/>
    <w:rsid w:val="4821F7FF"/>
    <w:rsid w:val="48231517"/>
    <w:rsid w:val="48245F71"/>
    <w:rsid w:val="48348054"/>
    <w:rsid w:val="48360CAC"/>
    <w:rsid w:val="4838DE83"/>
    <w:rsid w:val="483BD022"/>
    <w:rsid w:val="483CA2BC"/>
    <w:rsid w:val="484F2C9C"/>
    <w:rsid w:val="484F84CE"/>
    <w:rsid w:val="48512C34"/>
    <w:rsid w:val="48519904"/>
    <w:rsid w:val="48592F21"/>
    <w:rsid w:val="4859ACB6"/>
    <w:rsid w:val="485A1E48"/>
    <w:rsid w:val="485A5209"/>
    <w:rsid w:val="485B9D4A"/>
    <w:rsid w:val="485E123B"/>
    <w:rsid w:val="485ED989"/>
    <w:rsid w:val="48641919"/>
    <w:rsid w:val="48678563"/>
    <w:rsid w:val="486E9FAE"/>
    <w:rsid w:val="487B92D9"/>
    <w:rsid w:val="487C96F1"/>
    <w:rsid w:val="48858708"/>
    <w:rsid w:val="48890E13"/>
    <w:rsid w:val="4889B1F7"/>
    <w:rsid w:val="488BF159"/>
    <w:rsid w:val="488ED326"/>
    <w:rsid w:val="4890A7F7"/>
    <w:rsid w:val="4896A6D3"/>
    <w:rsid w:val="489BCD70"/>
    <w:rsid w:val="48A11765"/>
    <w:rsid w:val="48A6E581"/>
    <w:rsid w:val="48A7626F"/>
    <w:rsid w:val="48A863D4"/>
    <w:rsid w:val="48AF7D43"/>
    <w:rsid w:val="48B05022"/>
    <w:rsid w:val="48B0B955"/>
    <w:rsid w:val="48B565FF"/>
    <w:rsid w:val="48B5D446"/>
    <w:rsid w:val="48C324F4"/>
    <w:rsid w:val="48C8F59A"/>
    <w:rsid w:val="48CBA700"/>
    <w:rsid w:val="48CD0179"/>
    <w:rsid w:val="48CDC3E6"/>
    <w:rsid w:val="48D547AF"/>
    <w:rsid w:val="48D6F190"/>
    <w:rsid w:val="48DF07CB"/>
    <w:rsid w:val="48E19041"/>
    <w:rsid w:val="48E80886"/>
    <w:rsid w:val="48E80CE9"/>
    <w:rsid w:val="48EADB70"/>
    <w:rsid w:val="48EC7C16"/>
    <w:rsid w:val="48ED03B0"/>
    <w:rsid w:val="48ED30A4"/>
    <w:rsid w:val="48ED79EA"/>
    <w:rsid w:val="48F0A2CA"/>
    <w:rsid w:val="48F349D1"/>
    <w:rsid w:val="48F7DB6C"/>
    <w:rsid w:val="48FBEC05"/>
    <w:rsid w:val="4902BE13"/>
    <w:rsid w:val="4903C850"/>
    <w:rsid w:val="49053883"/>
    <w:rsid w:val="4906D347"/>
    <w:rsid w:val="4908AF0C"/>
    <w:rsid w:val="490B2886"/>
    <w:rsid w:val="490D2AEC"/>
    <w:rsid w:val="490E8BDE"/>
    <w:rsid w:val="491485F7"/>
    <w:rsid w:val="4914C022"/>
    <w:rsid w:val="4915ABB8"/>
    <w:rsid w:val="491A279E"/>
    <w:rsid w:val="4921B60A"/>
    <w:rsid w:val="492491B6"/>
    <w:rsid w:val="492835E2"/>
    <w:rsid w:val="49327A9A"/>
    <w:rsid w:val="493684C7"/>
    <w:rsid w:val="493A6C8A"/>
    <w:rsid w:val="493A72E5"/>
    <w:rsid w:val="493BDC39"/>
    <w:rsid w:val="493BEF46"/>
    <w:rsid w:val="493C10BA"/>
    <w:rsid w:val="49426F45"/>
    <w:rsid w:val="4948549A"/>
    <w:rsid w:val="494B0496"/>
    <w:rsid w:val="494DE526"/>
    <w:rsid w:val="4957939A"/>
    <w:rsid w:val="495911EE"/>
    <w:rsid w:val="495C1394"/>
    <w:rsid w:val="495CCB0F"/>
    <w:rsid w:val="495E2E89"/>
    <w:rsid w:val="49600D19"/>
    <w:rsid w:val="49601736"/>
    <w:rsid w:val="496280AD"/>
    <w:rsid w:val="496977A3"/>
    <w:rsid w:val="496D2449"/>
    <w:rsid w:val="49710CB4"/>
    <w:rsid w:val="4972DD0B"/>
    <w:rsid w:val="4976DBF9"/>
    <w:rsid w:val="49770003"/>
    <w:rsid w:val="49771716"/>
    <w:rsid w:val="4977FE07"/>
    <w:rsid w:val="497923C6"/>
    <w:rsid w:val="497B5AC2"/>
    <w:rsid w:val="498293FE"/>
    <w:rsid w:val="4987DFCB"/>
    <w:rsid w:val="498EC6A0"/>
    <w:rsid w:val="49919977"/>
    <w:rsid w:val="49978B35"/>
    <w:rsid w:val="49990B6D"/>
    <w:rsid w:val="499A6481"/>
    <w:rsid w:val="499ABF8D"/>
    <w:rsid w:val="499E0C77"/>
    <w:rsid w:val="499E6713"/>
    <w:rsid w:val="49A0599D"/>
    <w:rsid w:val="49A57E8E"/>
    <w:rsid w:val="49A5A8B0"/>
    <w:rsid w:val="49AC188E"/>
    <w:rsid w:val="49B47A17"/>
    <w:rsid w:val="49B53D00"/>
    <w:rsid w:val="49BA0977"/>
    <w:rsid w:val="49BB0C13"/>
    <w:rsid w:val="49BB3C68"/>
    <w:rsid w:val="49C1CCDC"/>
    <w:rsid w:val="49C737D7"/>
    <w:rsid w:val="49CB68A1"/>
    <w:rsid w:val="49CCFB42"/>
    <w:rsid w:val="49D05095"/>
    <w:rsid w:val="49D2788D"/>
    <w:rsid w:val="49D579E0"/>
    <w:rsid w:val="49D9C807"/>
    <w:rsid w:val="49E31ECD"/>
    <w:rsid w:val="49E766D0"/>
    <w:rsid w:val="49E848AA"/>
    <w:rsid w:val="49E8D36F"/>
    <w:rsid w:val="49F36056"/>
    <w:rsid w:val="49F393C0"/>
    <w:rsid w:val="49FB5013"/>
    <w:rsid w:val="49FD71FB"/>
    <w:rsid w:val="49FE789B"/>
    <w:rsid w:val="4A06549F"/>
    <w:rsid w:val="4A077FEF"/>
    <w:rsid w:val="4A0BD9A1"/>
    <w:rsid w:val="4A13508C"/>
    <w:rsid w:val="4A1A4048"/>
    <w:rsid w:val="4A2150F1"/>
    <w:rsid w:val="4A22FB7F"/>
    <w:rsid w:val="4A23AF88"/>
    <w:rsid w:val="4A24830B"/>
    <w:rsid w:val="4A297F93"/>
    <w:rsid w:val="4A2D4A41"/>
    <w:rsid w:val="4A2DAD88"/>
    <w:rsid w:val="4A2E6363"/>
    <w:rsid w:val="4A30BF35"/>
    <w:rsid w:val="4A31FC76"/>
    <w:rsid w:val="4A33304E"/>
    <w:rsid w:val="4A37E6A2"/>
    <w:rsid w:val="4A381579"/>
    <w:rsid w:val="4A38EC19"/>
    <w:rsid w:val="4A3AB4EF"/>
    <w:rsid w:val="4A3CC858"/>
    <w:rsid w:val="4A3D38A9"/>
    <w:rsid w:val="4A4ABD37"/>
    <w:rsid w:val="4A4CDBE2"/>
    <w:rsid w:val="4A50ABAE"/>
    <w:rsid w:val="4A559600"/>
    <w:rsid w:val="4A58B0B5"/>
    <w:rsid w:val="4A5AF5F2"/>
    <w:rsid w:val="4A5D20DD"/>
    <w:rsid w:val="4A6211A2"/>
    <w:rsid w:val="4A699C36"/>
    <w:rsid w:val="4A6E4503"/>
    <w:rsid w:val="4A6E8788"/>
    <w:rsid w:val="4A6F5C5B"/>
    <w:rsid w:val="4A75F4DC"/>
    <w:rsid w:val="4A7808A7"/>
    <w:rsid w:val="4A8310A3"/>
    <w:rsid w:val="4A87CEAD"/>
    <w:rsid w:val="4A889B63"/>
    <w:rsid w:val="4A8A8601"/>
    <w:rsid w:val="4A91A36D"/>
    <w:rsid w:val="4A91A7D9"/>
    <w:rsid w:val="4A933575"/>
    <w:rsid w:val="4A94BAD4"/>
    <w:rsid w:val="4A97378C"/>
    <w:rsid w:val="4A993B23"/>
    <w:rsid w:val="4A9C2BA3"/>
    <w:rsid w:val="4A9F7484"/>
    <w:rsid w:val="4AA0D18B"/>
    <w:rsid w:val="4AA4B376"/>
    <w:rsid w:val="4AA76913"/>
    <w:rsid w:val="4AA95C63"/>
    <w:rsid w:val="4AAA797A"/>
    <w:rsid w:val="4AAE553F"/>
    <w:rsid w:val="4AAE9972"/>
    <w:rsid w:val="4AAEDC6F"/>
    <w:rsid w:val="4AB05658"/>
    <w:rsid w:val="4AB1D4BF"/>
    <w:rsid w:val="4ABA2B30"/>
    <w:rsid w:val="4ABC8059"/>
    <w:rsid w:val="4ABCE41A"/>
    <w:rsid w:val="4ABDAB8B"/>
    <w:rsid w:val="4ABF6FF1"/>
    <w:rsid w:val="4AC90F8A"/>
    <w:rsid w:val="4AD19C4E"/>
    <w:rsid w:val="4AD2FA1B"/>
    <w:rsid w:val="4AD462D7"/>
    <w:rsid w:val="4AD4C44C"/>
    <w:rsid w:val="4ADBB023"/>
    <w:rsid w:val="4ADE5433"/>
    <w:rsid w:val="4AE31EE7"/>
    <w:rsid w:val="4AE3C4A2"/>
    <w:rsid w:val="4AE66193"/>
    <w:rsid w:val="4AE8E16F"/>
    <w:rsid w:val="4AE98050"/>
    <w:rsid w:val="4AED141C"/>
    <w:rsid w:val="4AEE4008"/>
    <w:rsid w:val="4AEFCE73"/>
    <w:rsid w:val="4AF19790"/>
    <w:rsid w:val="4AF37FB1"/>
    <w:rsid w:val="4AF54257"/>
    <w:rsid w:val="4AF5907B"/>
    <w:rsid w:val="4AF782C1"/>
    <w:rsid w:val="4AFEB0B9"/>
    <w:rsid w:val="4B00FD3A"/>
    <w:rsid w:val="4B01DFED"/>
    <w:rsid w:val="4B01EB7C"/>
    <w:rsid w:val="4B050A3E"/>
    <w:rsid w:val="4B07DC8F"/>
    <w:rsid w:val="4B0C2752"/>
    <w:rsid w:val="4B1097C6"/>
    <w:rsid w:val="4B111F79"/>
    <w:rsid w:val="4B114739"/>
    <w:rsid w:val="4B132264"/>
    <w:rsid w:val="4B148C76"/>
    <w:rsid w:val="4B17A002"/>
    <w:rsid w:val="4B1F5629"/>
    <w:rsid w:val="4B21603B"/>
    <w:rsid w:val="4B22B254"/>
    <w:rsid w:val="4B24EF4E"/>
    <w:rsid w:val="4B2873EC"/>
    <w:rsid w:val="4B2A910C"/>
    <w:rsid w:val="4B352EB6"/>
    <w:rsid w:val="4B3E06F9"/>
    <w:rsid w:val="4B413697"/>
    <w:rsid w:val="4B430B6D"/>
    <w:rsid w:val="4B457848"/>
    <w:rsid w:val="4B475089"/>
    <w:rsid w:val="4B49A375"/>
    <w:rsid w:val="4B57D618"/>
    <w:rsid w:val="4B59C203"/>
    <w:rsid w:val="4B5A2B5F"/>
    <w:rsid w:val="4B633B11"/>
    <w:rsid w:val="4B65B4DE"/>
    <w:rsid w:val="4B6DB305"/>
    <w:rsid w:val="4B6F37A8"/>
    <w:rsid w:val="4B730C19"/>
    <w:rsid w:val="4B7801BE"/>
    <w:rsid w:val="4B7CDB25"/>
    <w:rsid w:val="4B7D2AD0"/>
    <w:rsid w:val="4B7F2C44"/>
    <w:rsid w:val="4B8D381A"/>
    <w:rsid w:val="4B97D51B"/>
    <w:rsid w:val="4B9D3552"/>
    <w:rsid w:val="4BA0F89F"/>
    <w:rsid w:val="4BA25B86"/>
    <w:rsid w:val="4BA38984"/>
    <w:rsid w:val="4BA3DA8D"/>
    <w:rsid w:val="4BAA1393"/>
    <w:rsid w:val="4BAA6F04"/>
    <w:rsid w:val="4BAAD1C1"/>
    <w:rsid w:val="4BAB284D"/>
    <w:rsid w:val="4BB29AA7"/>
    <w:rsid w:val="4BB6B0B3"/>
    <w:rsid w:val="4BBB2F38"/>
    <w:rsid w:val="4BBD0E72"/>
    <w:rsid w:val="4BBEDFD7"/>
    <w:rsid w:val="4BC0979B"/>
    <w:rsid w:val="4BC0B9F0"/>
    <w:rsid w:val="4BC43CAE"/>
    <w:rsid w:val="4BC64379"/>
    <w:rsid w:val="4BC806A4"/>
    <w:rsid w:val="4BCD7177"/>
    <w:rsid w:val="4BCFF17F"/>
    <w:rsid w:val="4BD014C4"/>
    <w:rsid w:val="4BD2AD48"/>
    <w:rsid w:val="4BD6CDAE"/>
    <w:rsid w:val="4BD71011"/>
    <w:rsid w:val="4BDBA55C"/>
    <w:rsid w:val="4BDBF71B"/>
    <w:rsid w:val="4BDE9ED4"/>
    <w:rsid w:val="4BE3EF82"/>
    <w:rsid w:val="4BE5F479"/>
    <w:rsid w:val="4BE66E33"/>
    <w:rsid w:val="4BF4D6D5"/>
    <w:rsid w:val="4BF4E1C8"/>
    <w:rsid w:val="4BF65DA2"/>
    <w:rsid w:val="4BF72CBC"/>
    <w:rsid w:val="4BF8EF45"/>
    <w:rsid w:val="4BFA3FAD"/>
    <w:rsid w:val="4BFA6882"/>
    <w:rsid w:val="4BFB7880"/>
    <w:rsid w:val="4BFD2DFF"/>
    <w:rsid w:val="4C0B9267"/>
    <w:rsid w:val="4C0CFA4E"/>
    <w:rsid w:val="4C0F945C"/>
    <w:rsid w:val="4C17144F"/>
    <w:rsid w:val="4C17DE87"/>
    <w:rsid w:val="4C18259D"/>
    <w:rsid w:val="4C19FA59"/>
    <w:rsid w:val="4C1B35BB"/>
    <w:rsid w:val="4C245F51"/>
    <w:rsid w:val="4C2475EC"/>
    <w:rsid w:val="4C26E5A0"/>
    <w:rsid w:val="4C2BA0A5"/>
    <w:rsid w:val="4C2BEC98"/>
    <w:rsid w:val="4C2E0E97"/>
    <w:rsid w:val="4C331B78"/>
    <w:rsid w:val="4C36A3AF"/>
    <w:rsid w:val="4C3A164B"/>
    <w:rsid w:val="4C3BF394"/>
    <w:rsid w:val="4C426D3F"/>
    <w:rsid w:val="4C48C591"/>
    <w:rsid w:val="4C4C05F8"/>
    <w:rsid w:val="4C4E6E63"/>
    <w:rsid w:val="4C50D072"/>
    <w:rsid w:val="4C515C50"/>
    <w:rsid w:val="4C51D0AA"/>
    <w:rsid w:val="4C589158"/>
    <w:rsid w:val="4C5B3371"/>
    <w:rsid w:val="4C5F6F2C"/>
    <w:rsid w:val="4C5FC063"/>
    <w:rsid w:val="4C6708CE"/>
    <w:rsid w:val="4C737D71"/>
    <w:rsid w:val="4C75953C"/>
    <w:rsid w:val="4C793DC1"/>
    <w:rsid w:val="4C7B0C7F"/>
    <w:rsid w:val="4C7B5AFF"/>
    <w:rsid w:val="4C7D0F84"/>
    <w:rsid w:val="4C7DB255"/>
    <w:rsid w:val="4C80CAE0"/>
    <w:rsid w:val="4C83473B"/>
    <w:rsid w:val="4C840B9F"/>
    <w:rsid w:val="4C88C0A0"/>
    <w:rsid w:val="4C88E9EB"/>
    <w:rsid w:val="4C899CD2"/>
    <w:rsid w:val="4C8D81E9"/>
    <w:rsid w:val="4C8EB987"/>
    <w:rsid w:val="4C8EE58C"/>
    <w:rsid w:val="4C8F5BB6"/>
    <w:rsid w:val="4C8FD8D6"/>
    <w:rsid w:val="4C901002"/>
    <w:rsid w:val="4C901C9B"/>
    <w:rsid w:val="4C913E99"/>
    <w:rsid w:val="4C91C9A8"/>
    <w:rsid w:val="4C921595"/>
    <w:rsid w:val="4C9619D2"/>
    <w:rsid w:val="4C9AE71A"/>
    <w:rsid w:val="4C9B374F"/>
    <w:rsid w:val="4CA020D7"/>
    <w:rsid w:val="4CA65071"/>
    <w:rsid w:val="4CAB1F51"/>
    <w:rsid w:val="4CB0D2BD"/>
    <w:rsid w:val="4CB3C311"/>
    <w:rsid w:val="4CB8C6F0"/>
    <w:rsid w:val="4CBA31BC"/>
    <w:rsid w:val="4CBB6F05"/>
    <w:rsid w:val="4CBDFA62"/>
    <w:rsid w:val="4CC5B9F5"/>
    <w:rsid w:val="4CC60EFA"/>
    <w:rsid w:val="4CC6D6E2"/>
    <w:rsid w:val="4CC73923"/>
    <w:rsid w:val="4CCA259A"/>
    <w:rsid w:val="4CCD1B5B"/>
    <w:rsid w:val="4CCE3D0F"/>
    <w:rsid w:val="4CCE7A79"/>
    <w:rsid w:val="4CCFDE34"/>
    <w:rsid w:val="4CD3E56B"/>
    <w:rsid w:val="4CD6130E"/>
    <w:rsid w:val="4CD6F251"/>
    <w:rsid w:val="4CDAA0AA"/>
    <w:rsid w:val="4CDBCB38"/>
    <w:rsid w:val="4CDEA57E"/>
    <w:rsid w:val="4CE63D0F"/>
    <w:rsid w:val="4CE80980"/>
    <w:rsid w:val="4CE82EBA"/>
    <w:rsid w:val="4CEA6854"/>
    <w:rsid w:val="4CED42E5"/>
    <w:rsid w:val="4CEF5B95"/>
    <w:rsid w:val="4CF017F1"/>
    <w:rsid w:val="4CF12C49"/>
    <w:rsid w:val="4CF148A3"/>
    <w:rsid w:val="4CF76245"/>
    <w:rsid w:val="4CFA805C"/>
    <w:rsid w:val="4CFA956E"/>
    <w:rsid w:val="4CFD86BF"/>
    <w:rsid w:val="4CFF9714"/>
    <w:rsid w:val="4D01CF34"/>
    <w:rsid w:val="4D027BE2"/>
    <w:rsid w:val="4D04035D"/>
    <w:rsid w:val="4D099654"/>
    <w:rsid w:val="4D0C7528"/>
    <w:rsid w:val="4D0D0272"/>
    <w:rsid w:val="4D12347D"/>
    <w:rsid w:val="4D161911"/>
    <w:rsid w:val="4D1A0CC6"/>
    <w:rsid w:val="4D1F65F2"/>
    <w:rsid w:val="4D21D065"/>
    <w:rsid w:val="4D28718C"/>
    <w:rsid w:val="4D28785A"/>
    <w:rsid w:val="4D2AEC12"/>
    <w:rsid w:val="4D2B435A"/>
    <w:rsid w:val="4D2BF3A6"/>
    <w:rsid w:val="4D2FA2BA"/>
    <w:rsid w:val="4D31B041"/>
    <w:rsid w:val="4D358EF4"/>
    <w:rsid w:val="4D3B038C"/>
    <w:rsid w:val="4D3B617B"/>
    <w:rsid w:val="4D3DBA1A"/>
    <w:rsid w:val="4D486068"/>
    <w:rsid w:val="4D48A6FB"/>
    <w:rsid w:val="4D48A722"/>
    <w:rsid w:val="4D4A1771"/>
    <w:rsid w:val="4D4A97C8"/>
    <w:rsid w:val="4D5746FE"/>
    <w:rsid w:val="4D593BCB"/>
    <w:rsid w:val="4D5EEF19"/>
    <w:rsid w:val="4D673817"/>
    <w:rsid w:val="4D6A8897"/>
    <w:rsid w:val="4D6BFF9F"/>
    <w:rsid w:val="4D6C6935"/>
    <w:rsid w:val="4D6E7952"/>
    <w:rsid w:val="4D7148DA"/>
    <w:rsid w:val="4D772288"/>
    <w:rsid w:val="4D774848"/>
    <w:rsid w:val="4D791C87"/>
    <w:rsid w:val="4D8856E7"/>
    <w:rsid w:val="4D8F254A"/>
    <w:rsid w:val="4D8F3937"/>
    <w:rsid w:val="4D90251F"/>
    <w:rsid w:val="4D90C4D5"/>
    <w:rsid w:val="4D927138"/>
    <w:rsid w:val="4D92969E"/>
    <w:rsid w:val="4D96677A"/>
    <w:rsid w:val="4D9A8CCB"/>
    <w:rsid w:val="4D9C1A72"/>
    <w:rsid w:val="4DA0D69A"/>
    <w:rsid w:val="4DA272C3"/>
    <w:rsid w:val="4DAD172B"/>
    <w:rsid w:val="4DAE8C96"/>
    <w:rsid w:val="4DB1974A"/>
    <w:rsid w:val="4DB1ADEB"/>
    <w:rsid w:val="4DB451FE"/>
    <w:rsid w:val="4DB4D468"/>
    <w:rsid w:val="4DB5C3BE"/>
    <w:rsid w:val="4DB7936E"/>
    <w:rsid w:val="4DBB7E87"/>
    <w:rsid w:val="4DBBA173"/>
    <w:rsid w:val="4DBF0220"/>
    <w:rsid w:val="4DC4CCAB"/>
    <w:rsid w:val="4DC86473"/>
    <w:rsid w:val="4DD12F2C"/>
    <w:rsid w:val="4DD6CFD3"/>
    <w:rsid w:val="4DD79FC4"/>
    <w:rsid w:val="4DDC69F7"/>
    <w:rsid w:val="4DE1CCEB"/>
    <w:rsid w:val="4DE40644"/>
    <w:rsid w:val="4DE4D820"/>
    <w:rsid w:val="4DE8DF94"/>
    <w:rsid w:val="4DEB6961"/>
    <w:rsid w:val="4DED69BD"/>
    <w:rsid w:val="4DEE135D"/>
    <w:rsid w:val="4DEE5F94"/>
    <w:rsid w:val="4DF9EDB1"/>
    <w:rsid w:val="4DFBC352"/>
    <w:rsid w:val="4DFCC849"/>
    <w:rsid w:val="4E061197"/>
    <w:rsid w:val="4E0ADA4C"/>
    <w:rsid w:val="4E0B5873"/>
    <w:rsid w:val="4E0D4765"/>
    <w:rsid w:val="4E0D6630"/>
    <w:rsid w:val="4E0E0AAB"/>
    <w:rsid w:val="4E0E9B45"/>
    <w:rsid w:val="4E1052C6"/>
    <w:rsid w:val="4E158787"/>
    <w:rsid w:val="4E172A2F"/>
    <w:rsid w:val="4E1F3AC7"/>
    <w:rsid w:val="4E22A40D"/>
    <w:rsid w:val="4E283483"/>
    <w:rsid w:val="4E289814"/>
    <w:rsid w:val="4E2B5C2D"/>
    <w:rsid w:val="4E2E87E5"/>
    <w:rsid w:val="4E3317F4"/>
    <w:rsid w:val="4E3426F1"/>
    <w:rsid w:val="4E368F1D"/>
    <w:rsid w:val="4E3A0FFE"/>
    <w:rsid w:val="4E3ADE21"/>
    <w:rsid w:val="4E48A751"/>
    <w:rsid w:val="4E48CC18"/>
    <w:rsid w:val="4E4F7434"/>
    <w:rsid w:val="4E511C00"/>
    <w:rsid w:val="4E51CFB6"/>
    <w:rsid w:val="4E59CEBB"/>
    <w:rsid w:val="4E60AA1E"/>
    <w:rsid w:val="4E655F5E"/>
    <w:rsid w:val="4E6B5933"/>
    <w:rsid w:val="4E6CF7A5"/>
    <w:rsid w:val="4E71BC59"/>
    <w:rsid w:val="4E7391C2"/>
    <w:rsid w:val="4E739458"/>
    <w:rsid w:val="4E7400F6"/>
    <w:rsid w:val="4E741682"/>
    <w:rsid w:val="4E7747AB"/>
    <w:rsid w:val="4E7A9D6E"/>
    <w:rsid w:val="4E7B7026"/>
    <w:rsid w:val="4E84CE34"/>
    <w:rsid w:val="4E874CE9"/>
    <w:rsid w:val="4E8B6F8E"/>
    <w:rsid w:val="4E904582"/>
    <w:rsid w:val="4E90B363"/>
    <w:rsid w:val="4E927A84"/>
    <w:rsid w:val="4E9521E8"/>
    <w:rsid w:val="4E97CF68"/>
    <w:rsid w:val="4E98EFB6"/>
    <w:rsid w:val="4E99DE7B"/>
    <w:rsid w:val="4E9C9313"/>
    <w:rsid w:val="4EA9DB28"/>
    <w:rsid w:val="4EAEA6A2"/>
    <w:rsid w:val="4EAF2629"/>
    <w:rsid w:val="4EB1AE1D"/>
    <w:rsid w:val="4EB26199"/>
    <w:rsid w:val="4EB2A22C"/>
    <w:rsid w:val="4EB3770D"/>
    <w:rsid w:val="4EB4405B"/>
    <w:rsid w:val="4EB472B5"/>
    <w:rsid w:val="4EB75C29"/>
    <w:rsid w:val="4EBC8FBA"/>
    <w:rsid w:val="4EC0077C"/>
    <w:rsid w:val="4EC43A74"/>
    <w:rsid w:val="4EC5CAEC"/>
    <w:rsid w:val="4EC6822B"/>
    <w:rsid w:val="4EC7ECB2"/>
    <w:rsid w:val="4EC95BD6"/>
    <w:rsid w:val="4ECAA686"/>
    <w:rsid w:val="4ECCDA75"/>
    <w:rsid w:val="4ECDC568"/>
    <w:rsid w:val="4ED0ACCF"/>
    <w:rsid w:val="4ED243D3"/>
    <w:rsid w:val="4ED55AAE"/>
    <w:rsid w:val="4ED5E487"/>
    <w:rsid w:val="4ED67A8C"/>
    <w:rsid w:val="4EDA88EE"/>
    <w:rsid w:val="4EDC7346"/>
    <w:rsid w:val="4EDC7F9A"/>
    <w:rsid w:val="4EDCA535"/>
    <w:rsid w:val="4EE69FA0"/>
    <w:rsid w:val="4EE6A589"/>
    <w:rsid w:val="4EF06B54"/>
    <w:rsid w:val="4EF44AA7"/>
    <w:rsid w:val="4EF8206A"/>
    <w:rsid w:val="4EF8AB16"/>
    <w:rsid w:val="4EFA2097"/>
    <w:rsid w:val="4EFC9DAE"/>
    <w:rsid w:val="4F01CABF"/>
    <w:rsid w:val="4F0B0EF4"/>
    <w:rsid w:val="4F0D1AD8"/>
    <w:rsid w:val="4F1423FA"/>
    <w:rsid w:val="4F1C62D8"/>
    <w:rsid w:val="4F1D5C3C"/>
    <w:rsid w:val="4F211EC2"/>
    <w:rsid w:val="4F21A0A6"/>
    <w:rsid w:val="4F25245C"/>
    <w:rsid w:val="4F27ACFB"/>
    <w:rsid w:val="4F38A917"/>
    <w:rsid w:val="4F3C1998"/>
    <w:rsid w:val="4F3CDBE6"/>
    <w:rsid w:val="4F3EEFCB"/>
    <w:rsid w:val="4F3F1A46"/>
    <w:rsid w:val="4F421B66"/>
    <w:rsid w:val="4F42FE30"/>
    <w:rsid w:val="4F4498E9"/>
    <w:rsid w:val="4F4569D0"/>
    <w:rsid w:val="4F45EFAC"/>
    <w:rsid w:val="4F490C2C"/>
    <w:rsid w:val="4F4EA9E9"/>
    <w:rsid w:val="4F4FA8AA"/>
    <w:rsid w:val="4F541FCF"/>
    <w:rsid w:val="4F57EDB2"/>
    <w:rsid w:val="4F58C1FC"/>
    <w:rsid w:val="4F5B4F81"/>
    <w:rsid w:val="4F5E1431"/>
    <w:rsid w:val="4F5FB7BB"/>
    <w:rsid w:val="4F5FD6E2"/>
    <w:rsid w:val="4F63BD58"/>
    <w:rsid w:val="4F673F5C"/>
    <w:rsid w:val="4F69050C"/>
    <w:rsid w:val="4F6D8360"/>
    <w:rsid w:val="4F6D9621"/>
    <w:rsid w:val="4F71FAF4"/>
    <w:rsid w:val="4F77CF62"/>
    <w:rsid w:val="4F813FCE"/>
    <w:rsid w:val="4F819082"/>
    <w:rsid w:val="4F81F9FB"/>
    <w:rsid w:val="4F823670"/>
    <w:rsid w:val="4F8261D1"/>
    <w:rsid w:val="4F828564"/>
    <w:rsid w:val="4F84BDD4"/>
    <w:rsid w:val="4F8691E4"/>
    <w:rsid w:val="4F8976AE"/>
    <w:rsid w:val="4F8A8D90"/>
    <w:rsid w:val="4F8C47BD"/>
    <w:rsid w:val="4F8DB731"/>
    <w:rsid w:val="4F8EF985"/>
    <w:rsid w:val="4F92CC68"/>
    <w:rsid w:val="4F94AE3E"/>
    <w:rsid w:val="4F95F400"/>
    <w:rsid w:val="4F9C8C24"/>
    <w:rsid w:val="4FA0B859"/>
    <w:rsid w:val="4FA0B999"/>
    <w:rsid w:val="4FA37FB4"/>
    <w:rsid w:val="4FA7C000"/>
    <w:rsid w:val="4FABF2C3"/>
    <w:rsid w:val="4FADC608"/>
    <w:rsid w:val="4FAE502D"/>
    <w:rsid w:val="4FAE72B0"/>
    <w:rsid w:val="4FB196C4"/>
    <w:rsid w:val="4FB1D534"/>
    <w:rsid w:val="4FB41F43"/>
    <w:rsid w:val="4FB46FBF"/>
    <w:rsid w:val="4FBC6ABC"/>
    <w:rsid w:val="4FBC7C74"/>
    <w:rsid w:val="4FBCBD85"/>
    <w:rsid w:val="4FC07707"/>
    <w:rsid w:val="4FC399CE"/>
    <w:rsid w:val="4FC4F21B"/>
    <w:rsid w:val="4FC58157"/>
    <w:rsid w:val="4FC6CFCE"/>
    <w:rsid w:val="4FCA517B"/>
    <w:rsid w:val="4FCADB01"/>
    <w:rsid w:val="4FCB0387"/>
    <w:rsid w:val="4FCD5730"/>
    <w:rsid w:val="4FCEC8CE"/>
    <w:rsid w:val="4FD0AAD5"/>
    <w:rsid w:val="4FD0D1C6"/>
    <w:rsid w:val="4FD302DD"/>
    <w:rsid w:val="4FD561C1"/>
    <w:rsid w:val="4FD5B725"/>
    <w:rsid w:val="4FD5CB19"/>
    <w:rsid w:val="4FD8B441"/>
    <w:rsid w:val="4FDE7727"/>
    <w:rsid w:val="4FE75F32"/>
    <w:rsid w:val="4FE96F9E"/>
    <w:rsid w:val="4FEA0DAA"/>
    <w:rsid w:val="4FEC93BA"/>
    <w:rsid w:val="4FECAF75"/>
    <w:rsid w:val="4FF33048"/>
    <w:rsid w:val="4FF5AEF0"/>
    <w:rsid w:val="4FF89083"/>
    <w:rsid w:val="5001B6E8"/>
    <w:rsid w:val="5003DD70"/>
    <w:rsid w:val="500A45A9"/>
    <w:rsid w:val="50116BC2"/>
    <w:rsid w:val="5012377D"/>
    <w:rsid w:val="50191ED0"/>
    <w:rsid w:val="501C33B4"/>
    <w:rsid w:val="501DA07D"/>
    <w:rsid w:val="50255D70"/>
    <w:rsid w:val="502E31CE"/>
    <w:rsid w:val="50301A61"/>
    <w:rsid w:val="5034B9A4"/>
    <w:rsid w:val="50351B29"/>
    <w:rsid w:val="5038BD7A"/>
    <w:rsid w:val="5039613E"/>
    <w:rsid w:val="5041FCD9"/>
    <w:rsid w:val="5042707D"/>
    <w:rsid w:val="5044B61F"/>
    <w:rsid w:val="5046B6A1"/>
    <w:rsid w:val="504ABADB"/>
    <w:rsid w:val="504FEA44"/>
    <w:rsid w:val="50517C73"/>
    <w:rsid w:val="50521EFB"/>
    <w:rsid w:val="5054B8FD"/>
    <w:rsid w:val="50578CD3"/>
    <w:rsid w:val="505A7678"/>
    <w:rsid w:val="505CD727"/>
    <w:rsid w:val="50608A64"/>
    <w:rsid w:val="5061D4CA"/>
    <w:rsid w:val="50629DE4"/>
    <w:rsid w:val="5065BF36"/>
    <w:rsid w:val="5065F6D7"/>
    <w:rsid w:val="506AD597"/>
    <w:rsid w:val="506DA4F2"/>
    <w:rsid w:val="506E0064"/>
    <w:rsid w:val="506E8739"/>
    <w:rsid w:val="50761ACD"/>
    <w:rsid w:val="507763E3"/>
    <w:rsid w:val="507E62D2"/>
    <w:rsid w:val="5080D949"/>
    <w:rsid w:val="508193C5"/>
    <w:rsid w:val="50832546"/>
    <w:rsid w:val="5083FE21"/>
    <w:rsid w:val="508AD4C3"/>
    <w:rsid w:val="508C7158"/>
    <w:rsid w:val="508F560E"/>
    <w:rsid w:val="5099F099"/>
    <w:rsid w:val="509DFC2B"/>
    <w:rsid w:val="50A0DE7D"/>
    <w:rsid w:val="50A6AE33"/>
    <w:rsid w:val="50AB7192"/>
    <w:rsid w:val="50ABAE22"/>
    <w:rsid w:val="50AC549C"/>
    <w:rsid w:val="50AFF51B"/>
    <w:rsid w:val="50B20B85"/>
    <w:rsid w:val="50B6F612"/>
    <w:rsid w:val="50B7DEE4"/>
    <w:rsid w:val="50BAC2BA"/>
    <w:rsid w:val="50BB6CE2"/>
    <w:rsid w:val="50BB74A9"/>
    <w:rsid w:val="50BB7A3F"/>
    <w:rsid w:val="50C3EC6E"/>
    <w:rsid w:val="50C5B08C"/>
    <w:rsid w:val="50C9C372"/>
    <w:rsid w:val="50C9CC49"/>
    <w:rsid w:val="50CC3F06"/>
    <w:rsid w:val="50DA518E"/>
    <w:rsid w:val="50DF21F2"/>
    <w:rsid w:val="50E1ACC3"/>
    <w:rsid w:val="50E1D853"/>
    <w:rsid w:val="50E2CBDC"/>
    <w:rsid w:val="50E3E395"/>
    <w:rsid w:val="50EE8F4D"/>
    <w:rsid w:val="50F1622C"/>
    <w:rsid w:val="50F8A852"/>
    <w:rsid w:val="50F9EB99"/>
    <w:rsid w:val="50FD307A"/>
    <w:rsid w:val="50FD5F6A"/>
    <w:rsid w:val="50FD6B40"/>
    <w:rsid w:val="51002F2D"/>
    <w:rsid w:val="5107983E"/>
    <w:rsid w:val="510AD795"/>
    <w:rsid w:val="511A0F0A"/>
    <w:rsid w:val="511BB5CC"/>
    <w:rsid w:val="51228B83"/>
    <w:rsid w:val="5129DB0E"/>
    <w:rsid w:val="512D3A02"/>
    <w:rsid w:val="512FE4CE"/>
    <w:rsid w:val="512FE813"/>
    <w:rsid w:val="51314ED6"/>
    <w:rsid w:val="513866AD"/>
    <w:rsid w:val="513A3528"/>
    <w:rsid w:val="513A8434"/>
    <w:rsid w:val="51412796"/>
    <w:rsid w:val="5147AD23"/>
    <w:rsid w:val="51489A49"/>
    <w:rsid w:val="5149065F"/>
    <w:rsid w:val="514A61A5"/>
    <w:rsid w:val="515036F1"/>
    <w:rsid w:val="5151719E"/>
    <w:rsid w:val="5151B986"/>
    <w:rsid w:val="51528F66"/>
    <w:rsid w:val="5159AAA0"/>
    <w:rsid w:val="515E7FF6"/>
    <w:rsid w:val="51608FAB"/>
    <w:rsid w:val="5162DAD4"/>
    <w:rsid w:val="51643413"/>
    <w:rsid w:val="5169EB33"/>
    <w:rsid w:val="516C484B"/>
    <w:rsid w:val="516DCDD3"/>
    <w:rsid w:val="5170801A"/>
    <w:rsid w:val="51721120"/>
    <w:rsid w:val="51761CBE"/>
    <w:rsid w:val="5179F75A"/>
    <w:rsid w:val="517BA963"/>
    <w:rsid w:val="517E99B8"/>
    <w:rsid w:val="5181A761"/>
    <w:rsid w:val="5182DF79"/>
    <w:rsid w:val="51830F0F"/>
    <w:rsid w:val="5187754A"/>
    <w:rsid w:val="518BF786"/>
    <w:rsid w:val="518C2399"/>
    <w:rsid w:val="518F94C2"/>
    <w:rsid w:val="5198CBAA"/>
    <w:rsid w:val="519F4D1A"/>
    <w:rsid w:val="519FAC0C"/>
    <w:rsid w:val="51A10A4D"/>
    <w:rsid w:val="51A24BCD"/>
    <w:rsid w:val="51A88CEC"/>
    <w:rsid w:val="51A8DD4D"/>
    <w:rsid w:val="51A953E1"/>
    <w:rsid w:val="51ADD720"/>
    <w:rsid w:val="51AFD802"/>
    <w:rsid w:val="51AFE285"/>
    <w:rsid w:val="51B0E243"/>
    <w:rsid w:val="51B15A00"/>
    <w:rsid w:val="51B17795"/>
    <w:rsid w:val="51B82A60"/>
    <w:rsid w:val="51C72DDD"/>
    <w:rsid w:val="51C88A39"/>
    <w:rsid w:val="51CABA91"/>
    <w:rsid w:val="51CAF0E6"/>
    <w:rsid w:val="51CD8955"/>
    <w:rsid w:val="51CFBFA9"/>
    <w:rsid w:val="51D3EDFE"/>
    <w:rsid w:val="51D9DEC3"/>
    <w:rsid w:val="51DA8AD9"/>
    <w:rsid w:val="51DB113B"/>
    <w:rsid w:val="51DE3ED0"/>
    <w:rsid w:val="51DF0803"/>
    <w:rsid w:val="51E1845B"/>
    <w:rsid w:val="51E4AFC0"/>
    <w:rsid w:val="51E5FC0B"/>
    <w:rsid w:val="51E72E97"/>
    <w:rsid w:val="51F47DFB"/>
    <w:rsid w:val="51F5066A"/>
    <w:rsid w:val="51F5317E"/>
    <w:rsid w:val="51F8499E"/>
    <w:rsid w:val="51F9FAAB"/>
    <w:rsid w:val="51FD514B"/>
    <w:rsid w:val="520866EE"/>
    <w:rsid w:val="5208FD08"/>
    <w:rsid w:val="520D33B1"/>
    <w:rsid w:val="52113C5F"/>
    <w:rsid w:val="5211DF7E"/>
    <w:rsid w:val="5216A101"/>
    <w:rsid w:val="522038A9"/>
    <w:rsid w:val="522244EE"/>
    <w:rsid w:val="5227F620"/>
    <w:rsid w:val="522AB8B5"/>
    <w:rsid w:val="522CB14A"/>
    <w:rsid w:val="522ED77E"/>
    <w:rsid w:val="5234798E"/>
    <w:rsid w:val="523519B7"/>
    <w:rsid w:val="52353AF3"/>
    <w:rsid w:val="523A12CE"/>
    <w:rsid w:val="523FACF8"/>
    <w:rsid w:val="5242D03A"/>
    <w:rsid w:val="5242F29D"/>
    <w:rsid w:val="5248BF81"/>
    <w:rsid w:val="5249A3FC"/>
    <w:rsid w:val="5250E380"/>
    <w:rsid w:val="5251D064"/>
    <w:rsid w:val="5255F1AF"/>
    <w:rsid w:val="5256013A"/>
    <w:rsid w:val="5257071C"/>
    <w:rsid w:val="52598C48"/>
    <w:rsid w:val="525C8931"/>
    <w:rsid w:val="525F53F5"/>
    <w:rsid w:val="525FDB67"/>
    <w:rsid w:val="526094B8"/>
    <w:rsid w:val="526189F7"/>
    <w:rsid w:val="5261E186"/>
    <w:rsid w:val="526A5AA8"/>
    <w:rsid w:val="526F1F25"/>
    <w:rsid w:val="5270B2CE"/>
    <w:rsid w:val="527E5191"/>
    <w:rsid w:val="527EBF25"/>
    <w:rsid w:val="52815040"/>
    <w:rsid w:val="5281FDD7"/>
    <w:rsid w:val="528A28C6"/>
    <w:rsid w:val="528AC4E5"/>
    <w:rsid w:val="528F6B62"/>
    <w:rsid w:val="528FAA22"/>
    <w:rsid w:val="529580E6"/>
    <w:rsid w:val="5298C8FA"/>
    <w:rsid w:val="5298E26F"/>
    <w:rsid w:val="529A5DF1"/>
    <w:rsid w:val="529AF370"/>
    <w:rsid w:val="529B19D6"/>
    <w:rsid w:val="52A98439"/>
    <w:rsid w:val="52AB8854"/>
    <w:rsid w:val="52AB9CEC"/>
    <w:rsid w:val="52AF2F56"/>
    <w:rsid w:val="52B1C11E"/>
    <w:rsid w:val="52B556BC"/>
    <w:rsid w:val="52B5A804"/>
    <w:rsid w:val="52B628D4"/>
    <w:rsid w:val="52B632A6"/>
    <w:rsid w:val="52B9E89C"/>
    <w:rsid w:val="52BB6487"/>
    <w:rsid w:val="52C84E58"/>
    <w:rsid w:val="52C9A92F"/>
    <w:rsid w:val="52CF2E7B"/>
    <w:rsid w:val="52CF2F09"/>
    <w:rsid w:val="52D80CEB"/>
    <w:rsid w:val="52D942B4"/>
    <w:rsid w:val="52DC1851"/>
    <w:rsid w:val="52DC55E4"/>
    <w:rsid w:val="52E1FFBB"/>
    <w:rsid w:val="52E3CEBA"/>
    <w:rsid w:val="52E43D46"/>
    <w:rsid w:val="52E57BCD"/>
    <w:rsid w:val="52E943C7"/>
    <w:rsid w:val="52EE3949"/>
    <w:rsid w:val="52EF4406"/>
    <w:rsid w:val="52F36D6E"/>
    <w:rsid w:val="52F4E94B"/>
    <w:rsid w:val="52F65BCC"/>
    <w:rsid w:val="52FAE0FC"/>
    <w:rsid w:val="52FFAAE4"/>
    <w:rsid w:val="53052BFF"/>
    <w:rsid w:val="5307D541"/>
    <w:rsid w:val="530B3783"/>
    <w:rsid w:val="530EA16B"/>
    <w:rsid w:val="530EC40B"/>
    <w:rsid w:val="5310F8E7"/>
    <w:rsid w:val="53123BE9"/>
    <w:rsid w:val="53155336"/>
    <w:rsid w:val="5316751E"/>
    <w:rsid w:val="5316C496"/>
    <w:rsid w:val="5317363F"/>
    <w:rsid w:val="53176E56"/>
    <w:rsid w:val="5317CAD4"/>
    <w:rsid w:val="531DA5EA"/>
    <w:rsid w:val="531EBDF8"/>
    <w:rsid w:val="531FD3AE"/>
    <w:rsid w:val="5321F25D"/>
    <w:rsid w:val="53221D25"/>
    <w:rsid w:val="5327CB95"/>
    <w:rsid w:val="532C8CE5"/>
    <w:rsid w:val="532FFE69"/>
    <w:rsid w:val="5330C410"/>
    <w:rsid w:val="53365C7E"/>
    <w:rsid w:val="533E4635"/>
    <w:rsid w:val="533EC434"/>
    <w:rsid w:val="53417137"/>
    <w:rsid w:val="5341DE1A"/>
    <w:rsid w:val="53452442"/>
    <w:rsid w:val="5347B2A6"/>
    <w:rsid w:val="53484C07"/>
    <w:rsid w:val="534BDC2B"/>
    <w:rsid w:val="53532698"/>
    <w:rsid w:val="5353A5E4"/>
    <w:rsid w:val="53553F80"/>
    <w:rsid w:val="535793BA"/>
    <w:rsid w:val="535B3FE3"/>
    <w:rsid w:val="535BC136"/>
    <w:rsid w:val="53630FC9"/>
    <w:rsid w:val="53665643"/>
    <w:rsid w:val="536B3A0A"/>
    <w:rsid w:val="536B9F3E"/>
    <w:rsid w:val="536BB263"/>
    <w:rsid w:val="536BBBCA"/>
    <w:rsid w:val="536FD761"/>
    <w:rsid w:val="53708448"/>
    <w:rsid w:val="537096C6"/>
    <w:rsid w:val="5370D537"/>
    <w:rsid w:val="5370EF34"/>
    <w:rsid w:val="537610EE"/>
    <w:rsid w:val="5379705F"/>
    <w:rsid w:val="5383E9A3"/>
    <w:rsid w:val="53854BA9"/>
    <w:rsid w:val="538562DF"/>
    <w:rsid w:val="53856346"/>
    <w:rsid w:val="5386E09C"/>
    <w:rsid w:val="538F16DD"/>
    <w:rsid w:val="53972A2F"/>
    <w:rsid w:val="53995650"/>
    <w:rsid w:val="539D206E"/>
    <w:rsid w:val="53A069E4"/>
    <w:rsid w:val="53A08C25"/>
    <w:rsid w:val="53A2D514"/>
    <w:rsid w:val="53A35F47"/>
    <w:rsid w:val="53A4566D"/>
    <w:rsid w:val="53AB1D42"/>
    <w:rsid w:val="53AB75BF"/>
    <w:rsid w:val="53AD5239"/>
    <w:rsid w:val="53AD6CBC"/>
    <w:rsid w:val="53B14353"/>
    <w:rsid w:val="53B21995"/>
    <w:rsid w:val="53B34B1B"/>
    <w:rsid w:val="53B351F6"/>
    <w:rsid w:val="53B3BBA9"/>
    <w:rsid w:val="53BEDD9F"/>
    <w:rsid w:val="53CC2913"/>
    <w:rsid w:val="53CD3590"/>
    <w:rsid w:val="53CDB176"/>
    <w:rsid w:val="53D67B57"/>
    <w:rsid w:val="53D79368"/>
    <w:rsid w:val="53DD08FA"/>
    <w:rsid w:val="53E2E9A6"/>
    <w:rsid w:val="53E5CB34"/>
    <w:rsid w:val="53E6510E"/>
    <w:rsid w:val="53E6F5A0"/>
    <w:rsid w:val="53E84313"/>
    <w:rsid w:val="53EEA4F0"/>
    <w:rsid w:val="53F0317F"/>
    <w:rsid w:val="53F3E05C"/>
    <w:rsid w:val="53F3E2DE"/>
    <w:rsid w:val="53F52181"/>
    <w:rsid w:val="53FA5977"/>
    <w:rsid w:val="53FB76CD"/>
    <w:rsid w:val="53FD0041"/>
    <w:rsid w:val="53FF31D4"/>
    <w:rsid w:val="540399C3"/>
    <w:rsid w:val="5404200F"/>
    <w:rsid w:val="5409CE4F"/>
    <w:rsid w:val="540B499A"/>
    <w:rsid w:val="540C6D6F"/>
    <w:rsid w:val="540F18E1"/>
    <w:rsid w:val="5412A819"/>
    <w:rsid w:val="5412D51A"/>
    <w:rsid w:val="5416A48C"/>
    <w:rsid w:val="5417AEA6"/>
    <w:rsid w:val="54199818"/>
    <w:rsid w:val="541CEF3B"/>
    <w:rsid w:val="542466FA"/>
    <w:rsid w:val="5426DD00"/>
    <w:rsid w:val="54285078"/>
    <w:rsid w:val="542A5E24"/>
    <w:rsid w:val="542A7154"/>
    <w:rsid w:val="542E47E1"/>
    <w:rsid w:val="5431FC22"/>
    <w:rsid w:val="5432E633"/>
    <w:rsid w:val="54339B7E"/>
    <w:rsid w:val="5435FA76"/>
    <w:rsid w:val="5437C1B8"/>
    <w:rsid w:val="543A638F"/>
    <w:rsid w:val="5443FE99"/>
    <w:rsid w:val="544944A9"/>
    <w:rsid w:val="545082E7"/>
    <w:rsid w:val="5451C883"/>
    <w:rsid w:val="54528C8E"/>
    <w:rsid w:val="5455F961"/>
    <w:rsid w:val="5456EFB4"/>
    <w:rsid w:val="545AD9A8"/>
    <w:rsid w:val="54674894"/>
    <w:rsid w:val="54689E65"/>
    <w:rsid w:val="546A1D0A"/>
    <w:rsid w:val="546B3994"/>
    <w:rsid w:val="5470DF1E"/>
    <w:rsid w:val="548ABB6A"/>
    <w:rsid w:val="548AD290"/>
    <w:rsid w:val="548F02A0"/>
    <w:rsid w:val="548F9570"/>
    <w:rsid w:val="548F97C9"/>
    <w:rsid w:val="5491C834"/>
    <w:rsid w:val="5497AD5A"/>
    <w:rsid w:val="5498C47B"/>
    <w:rsid w:val="5499ADFF"/>
    <w:rsid w:val="54A6ACC9"/>
    <w:rsid w:val="54A6CCD6"/>
    <w:rsid w:val="54A702B1"/>
    <w:rsid w:val="54A9D28C"/>
    <w:rsid w:val="54A9D611"/>
    <w:rsid w:val="54AF0951"/>
    <w:rsid w:val="54B1675D"/>
    <w:rsid w:val="54B16B70"/>
    <w:rsid w:val="54B1EE3A"/>
    <w:rsid w:val="54B591BF"/>
    <w:rsid w:val="54B86272"/>
    <w:rsid w:val="54B88B84"/>
    <w:rsid w:val="54B8C14B"/>
    <w:rsid w:val="54BBE4A2"/>
    <w:rsid w:val="54BFEDA7"/>
    <w:rsid w:val="54C428E1"/>
    <w:rsid w:val="54C582F0"/>
    <w:rsid w:val="54CD24F0"/>
    <w:rsid w:val="54D023A0"/>
    <w:rsid w:val="54D05469"/>
    <w:rsid w:val="54D13761"/>
    <w:rsid w:val="54D42BD9"/>
    <w:rsid w:val="54D78DCB"/>
    <w:rsid w:val="54DD0FC8"/>
    <w:rsid w:val="54DD28D5"/>
    <w:rsid w:val="54E35806"/>
    <w:rsid w:val="54E67587"/>
    <w:rsid w:val="54E7DCCE"/>
    <w:rsid w:val="54EB62E2"/>
    <w:rsid w:val="54EC63F5"/>
    <w:rsid w:val="54ED5CF8"/>
    <w:rsid w:val="54EFF4F9"/>
    <w:rsid w:val="54F2E638"/>
    <w:rsid w:val="54F6D306"/>
    <w:rsid w:val="54F7DC58"/>
    <w:rsid w:val="54F82DB2"/>
    <w:rsid w:val="54F82EE5"/>
    <w:rsid w:val="5508B818"/>
    <w:rsid w:val="5508BB88"/>
    <w:rsid w:val="550B9BAC"/>
    <w:rsid w:val="550BBCF4"/>
    <w:rsid w:val="550F26AE"/>
    <w:rsid w:val="5512F09C"/>
    <w:rsid w:val="55154E46"/>
    <w:rsid w:val="551634CB"/>
    <w:rsid w:val="5517AC35"/>
    <w:rsid w:val="551F314E"/>
    <w:rsid w:val="5522FAB3"/>
    <w:rsid w:val="552321F1"/>
    <w:rsid w:val="5523F5AD"/>
    <w:rsid w:val="5529A93D"/>
    <w:rsid w:val="552A6E01"/>
    <w:rsid w:val="552B06F5"/>
    <w:rsid w:val="552DDF9C"/>
    <w:rsid w:val="553A520B"/>
    <w:rsid w:val="553E01EE"/>
    <w:rsid w:val="55496E05"/>
    <w:rsid w:val="554BA6D6"/>
    <w:rsid w:val="5550A8D3"/>
    <w:rsid w:val="5550CC61"/>
    <w:rsid w:val="5559DA76"/>
    <w:rsid w:val="556C31F2"/>
    <w:rsid w:val="556D44F6"/>
    <w:rsid w:val="55764C1F"/>
    <w:rsid w:val="55772456"/>
    <w:rsid w:val="55783CF9"/>
    <w:rsid w:val="557CB71C"/>
    <w:rsid w:val="557D9449"/>
    <w:rsid w:val="5587B899"/>
    <w:rsid w:val="55880592"/>
    <w:rsid w:val="558B08DD"/>
    <w:rsid w:val="55965614"/>
    <w:rsid w:val="559DEBE1"/>
    <w:rsid w:val="559F6B3B"/>
    <w:rsid w:val="55A74ABF"/>
    <w:rsid w:val="55AA51A5"/>
    <w:rsid w:val="55B00958"/>
    <w:rsid w:val="55B59E1A"/>
    <w:rsid w:val="55BCE44F"/>
    <w:rsid w:val="55C1E300"/>
    <w:rsid w:val="55C6D4C7"/>
    <w:rsid w:val="55C7AC7F"/>
    <w:rsid w:val="55CFD841"/>
    <w:rsid w:val="55D45E3A"/>
    <w:rsid w:val="55D51CC9"/>
    <w:rsid w:val="55D85F75"/>
    <w:rsid w:val="55D8B330"/>
    <w:rsid w:val="55DB66F0"/>
    <w:rsid w:val="55DCFD94"/>
    <w:rsid w:val="55E511C8"/>
    <w:rsid w:val="55E5E6B0"/>
    <w:rsid w:val="55E693DC"/>
    <w:rsid w:val="55E6CAEA"/>
    <w:rsid w:val="55E7EBD4"/>
    <w:rsid w:val="55E813C8"/>
    <w:rsid w:val="55EB59A9"/>
    <w:rsid w:val="55ECD5CA"/>
    <w:rsid w:val="55F0E4AA"/>
    <w:rsid w:val="55F11B59"/>
    <w:rsid w:val="55F92A95"/>
    <w:rsid w:val="55FDAC8A"/>
    <w:rsid w:val="56008E48"/>
    <w:rsid w:val="56038996"/>
    <w:rsid w:val="5605244A"/>
    <w:rsid w:val="5605ED37"/>
    <w:rsid w:val="560D61AF"/>
    <w:rsid w:val="56104B1E"/>
    <w:rsid w:val="5611366C"/>
    <w:rsid w:val="56140E29"/>
    <w:rsid w:val="561DB973"/>
    <w:rsid w:val="561F8332"/>
    <w:rsid w:val="5624B323"/>
    <w:rsid w:val="56277599"/>
    <w:rsid w:val="56292F21"/>
    <w:rsid w:val="562B6E15"/>
    <w:rsid w:val="562D62DF"/>
    <w:rsid w:val="562E8D87"/>
    <w:rsid w:val="562E9ADD"/>
    <w:rsid w:val="56319ED8"/>
    <w:rsid w:val="56354847"/>
    <w:rsid w:val="5636447A"/>
    <w:rsid w:val="56384E04"/>
    <w:rsid w:val="563AAFB1"/>
    <w:rsid w:val="563BCE73"/>
    <w:rsid w:val="563C3241"/>
    <w:rsid w:val="563CB820"/>
    <w:rsid w:val="56465D45"/>
    <w:rsid w:val="564D8FD7"/>
    <w:rsid w:val="56520F39"/>
    <w:rsid w:val="5655B716"/>
    <w:rsid w:val="56563C43"/>
    <w:rsid w:val="565890BE"/>
    <w:rsid w:val="56609BC4"/>
    <w:rsid w:val="566B3E0D"/>
    <w:rsid w:val="566DA304"/>
    <w:rsid w:val="567129F8"/>
    <w:rsid w:val="567A5707"/>
    <w:rsid w:val="567CA4A1"/>
    <w:rsid w:val="567DDCA7"/>
    <w:rsid w:val="5680442C"/>
    <w:rsid w:val="568AAE60"/>
    <w:rsid w:val="568DE9B0"/>
    <w:rsid w:val="56911FEF"/>
    <w:rsid w:val="569566BC"/>
    <w:rsid w:val="569B8AF3"/>
    <w:rsid w:val="569F49C6"/>
    <w:rsid w:val="56A31323"/>
    <w:rsid w:val="56A9D4BE"/>
    <w:rsid w:val="56AB5201"/>
    <w:rsid w:val="56ACD243"/>
    <w:rsid w:val="56B096C6"/>
    <w:rsid w:val="56B824C3"/>
    <w:rsid w:val="56BADC26"/>
    <w:rsid w:val="56BBC055"/>
    <w:rsid w:val="56C2F57B"/>
    <w:rsid w:val="56C3663D"/>
    <w:rsid w:val="56C40592"/>
    <w:rsid w:val="56C9E77C"/>
    <w:rsid w:val="56CA2173"/>
    <w:rsid w:val="56CBB1C3"/>
    <w:rsid w:val="56D19376"/>
    <w:rsid w:val="56D217C9"/>
    <w:rsid w:val="56D39E4D"/>
    <w:rsid w:val="56D4AC2C"/>
    <w:rsid w:val="56D5918F"/>
    <w:rsid w:val="56D7DED2"/>
    <w:rsid w:val="56DD20FC"/>
    <w:rsid w:val="56E1D05B"/>
    <w:rsid w:val="56E413A2"/>
    <w:rsid w:val="56E4A21F"/>
    <w:rsid w:val="56EDF9C7"/>
    <w:rsid w:val="56F3B8A7"/>
    <w:rsid w:val="56F5B44F"/>
    <w:rsid w:val="56F7BA79"/>
    <w:rsid w:val="56FBD729"/>
    <w:rsid w:val="57012963"/>
    <w:rsid w:val="57016843"/>
    <w:rsid w:val="57059657"/>
    <w:rsid w:val="570D378D"/>
    <w:rsid w:val="57116136"/>
    <w:rsid w:val="5712396A"/>
    <w:rsid w:val="57154FB8"/>
    <w:rsid w:val="571E2D5B"/>
    <w:rsid w:val="571F81DB"/>
    <w:rsid w:val="5725F419"/>
    <w:rsid w:val="57266FEB"/>
    <w:rsid w:val="5727AC2E"/>
    <w:rsid w:val="5728E138"/>
    <w:rsid w:val="572B1CF1"/>
    <w:rsid w:val="572B2B11"/>
    <w:rsid w:val="572B9697"/>
    <w:rsid w:val="572D4B4C"/>
    <w:rsid w:val="5732B34D"/>
    <w:rsid w:val="57398498"/>
    <w:rsid w:val="5743CB20"/>
    <w:rsid w:val="57485F7B"/>
    <w:rsid w:val="574A07D2"/>
    <w:rsid w:val="574B6593"/>
    <w:rsid w:val="574BE01F"/>
    <w:rsid w:val="57507B5E"/>
    <w:rsid w:val="575D4803"/>
    <w:rsid w:val="575D8A36"/>
    <w:rsid w:val="576046AF"/>
    <w:rsid w:val="576C90E6"/>
    <w:rsid w:val="576CB2E6"/>
    <w:rsid w:val="57715148"/>
    <w:rsid w:val="5774E0B1"/>
    <w:rsid w:val="57761BE4"/>
    <w:rsid w:val="5776F756"/>
    <w:rsid w:val="57799FCC"/>
    <w:rsid w:val="577A5F23"/>
    <w:rsid w:val="577DDE08"/>
    <w:rsid w:val="577E4E30"/>
    <w:rsid w:val="578112B8"/>
    <w:rsid w:val="57836BDB"/>
    <w:rsid w:val="57839171"/>
    <w:rsid w:val="5786E18A"/>
    <w:rsid w:val="5786F29D"/>
    <w:rsid w:val="578800DF"/>
    <w:rsid w:val="5791B378"/>
    <w:rsid w:val="5795E66A"/>
    <w:rsid w:val="579D3E82"/>
    <w:rsid w:val="579E6AD3"/>
    <w:rsid w:val="579F6174"/>
    <w:rsid w:val="57A0E5F1"/>
    <w:rsid w:val="57A34170"/>
    <w:rsid w:val="57A39791"/>
    <w:rsid w:val="57A8E288"/>
    <w:rsid w:val="57AA3A40"/>
    <w:rsid w:val="57ACA77F"/>
    <w:rsid w:val="57AD579F"/>
    <w:rsid w:val="57AEDA3D"/>
    <w:rsid w:val="57BD1FF0"/>
    <w:rsid w:val="57BF6077"/>
    <w:rsid w:val="57C4701A"/>
    <w:rsid w:val="57CBBE8A"/>
    <w:rsid w:val="57CCD9EB"/>
    <w:rsid w:val="57CD9D04"/>
    <w:rsid w:val="57CE227A"/>
    <w:rsid w:val="57D2B231"/>
    <w:rsid w:val="57D50A5A"/>
    <w:rsid w:val="57D99D31"/>
    <w:rsid w:val="57DB14E1"/>
    <w:rsid w:val="57DCD956"/>
    <w:rsid w:val="57DEAE46"/>
    <w:rsid w:val="57E23965"/>
    <w:rsid w:val="57E3FEBA"/>
    <w:rsid w:val="57E5E441"/>
    <w:rsid w:val="57E924F3"/>
    <w:rsid w:val="57F113BD"/>
    <w:rsid w:val="57F323E6"/>
    <w:rsid w:val="57F3CE69"/>
    <w:rsid w:val="57F65A21"/>
    <w:rsid w:val="57F6C0A0"/>
    <w:rsid w:val="57FAA3F9"/>
    <w:rsid w:val="57FBCBF6"/>
    <w:rsid w:val="57FC8E86"/>
    <w:rsid w:val="57FFCC77"/>
    <w:rsid w:val="58019F70"/>
    <w:rsid w:val="5804E139"/>
    <w:rsid w:val="5808D9AC"/>
    <w:rsid w:val="580B5FB5"/>
    <w:rsid w:val="580DB8C6"/>
    <w:rsid w:val="580DD10E"/>
    <w:rsid w:val="580DEE45"/>
    <w:rsid w:val="580E8232"/>
    <w:rsid w:val="580FFE3F"/>
    <w:rsid w:val="58116A25"/>
    <w:rsid w:val="5813102D"/>
    <w:rsid w:val="58140B73"/>
    <w:rsid w:val="581518CE"/>
    <w:rsid w:val="58162768"/>
    <w:rsid w:val="581DA6CF"/>
    <w:rsid w:val="581E3E02"/>
    <w:rsid w:val="582303A4"/>
    <w:rsid w:val="5829C155"/>
    <w:rsid w:val="582A13C4"/>
    <w:rsid w:val="583959B1"/>
    <w:rsid w:val="583AD792"/>
    <w:rsid w:val="583F6CBF"/>
    <w:rsid w:val="5843F69C"/>
    <w:rsid w:val="58467005"/>
    <w:rsid w:val="584B8C9B"/>
    <w:rsid w:val="5852B413"/>
    <w:rsid w:val="58542A3E"/>
    <w:rsid w:val="585523DA"/>
    <w:rsid w:val="5855BF43"/>
    <w:rsid w:val="585E5DD2"/>
    <w:rsid w:val="58626517"/>
    <w:rsid w:val="58658241"/>
    <w:rsid w:val="5870AF42"/>
    <w:rsid w:val="5874A7AE"/>
    <w:rsid w:val="58762A62"/>
    <w:rsid w:val="5876338E"/>
    <w:rsid w:val="58771EA2"/>
    <w:rsid w:val="587A087D"/>
    <w:rsid w:val="587CAA01"/>
    <w:rsid w:val="588350F7"/>
    <w:rsid w:val="58859185"/>
    <w:rsid w:val="58875647"/>
    <w:rsid w:val="588C98C7"/>
    <w:rsid w:val="58958ACE"/>
    <w:rsid w:val="5897A8BE"/>
    <w:rsid w:val="589A8A46"/>
    <w:rsid w:val="589CC541"/>
    <w:rsid w:val="58A3DF92"/>
    <w:rsid w:val="58A6396A"/>
    <w:rsid w:val="58AA3CAB"/>
    <w:rsid w:val="58AA3CFD"/>
    <w:rsid w:val="58AA43CE"/>
    <w:rsid w:val="58AB80F3"/>
    <w:rsid w:val="58AE9B15"/>
    <w:rsid w:val="58AECF94"/>
    <w:rsid w:val="58B1B852"/>
    <w:rsid w:val="58B693E3"/>
    <w:rsid w:val="58B77491"/>
    <w:rsid w:val="58B8091A"/>
    <w:rsid w:val="58B866A0"/>
    <w:rsid w:val="58B92388"/>
    <w:rsid w:val="58CE190F"/>
    <w:rsid w:val="58CE66DE"/>
    <w:rsid w:val="58D03AD4"/>
    <w:rsid w:val="58D45500"/>
    <w:rsid w:val="58D81B78"/>
    <w:rsid w:val="58D94CF2"/>
    <w:rsid w:val="58DC0962"/>
    <w:rsid w:val="58DC6656"/>
    <w:rsid w:val="58DE45A8"/>
    <w:rsid w:val="58DF6449"/>
    <w:rsid w:val="58E2F367"/>
    <w:rsid w:val="58E70781"/>
    <w:rsid w:val="58E9E61A"/>
    <w:rsid w:val="58EC0022"/>
    <w:rsid w:val="58EF67B3"/>
    <w:rsid w:val="58F00DD2"/>
    <w:rsid w:val="58F196B2"/>
    <w:rsid w:val="58FEF15A"/>
    <w:rsid w:val="58FF827E"/>
    <w:rsid w:val="59069F98"/>
    <w:rsid w:val="590AA981"/>
    <w:rsid w:val="590BAAAF"/>
    <w:rsid w:val="59163E34"/>
    <w:rsid w:val="5916B4F9"/>
    <w:rsid w:val="591D10BD"/>
    <w:rsid w:val="591DD594"/>
    <w:rsid w:val="591EF236"/>
    <w:rsid w:val="591FD43F"/>
    <w:rsid w:val="5920A057"/>
    <w:rsid w:val="59255BD0"/>
    <w:rsid w:val="593BD35A"/>
    <w:rsid w:val="593D5252"/>
    <w:rsid w:val="594159C2"/>
    <w:rsid w:val="59438885"/>
    <w:rsid w:val="594CCBF2"/>
    <w:rsid w:val="594FF712"/>
    <w:rsid w:val="595232B1"/>
    <w:rsid w:val="5959EEF8"/>
    <w:rsid w:val="595B1949"/>
    <w:rsid w:val="595E2C8D"/>
    <w:rsid w:val="595ED696"/>
    <w:rsid w:val="595F4214"/>
    <w:rsid w:val="5963CD9F"/>
    <w:rsid w:val="596778DC"/>
    <w:rsid w:val="5967C068"/>
    <w:rsid w:val="5969B7BA"/>
    <w:rsid w:val="596B9D5A"/>
    <w:rsid w:val="596FCC7A"/>
    <w:rsid w:val="596FD8EA"/>
    <w:rsid w:val="59725036"/>
    <w:rsid w:val="59766ACB"/>
    <w:rsid w:val="59798F09"/>
    <w:rsid w:val="597FCEED"/>
    <w:rsid w:val="59857568"/>
    <w:rsid w:val="59861E95"/>
    <w:rsid w:val="59875C71"/>
    <w:rsid w:val="59966169"/>
    <w:rsid w:val="59989452"/>
    <w:rsid w:val="599A6802"/>
    <w:rsid w:val="599E6457"/>
    <w:rsid w:val="59A74FA2"/>
    <w:rsid w:val="59AAEA33"/>
    <w:rsid w:val="59AC139C"/>
    <w:rsid w:val="59AFFF95"/>
    <w:rsid w:val="59B4D0EB"/>
    <w:rsid w:val="59B5B34F"/>
    <w:rsid w:val="59B63784"/>
    <w:rsid w:val="59BAADBE"/>
    <w:rsid w:val="59BBD1B2"/>
    <w:rsid w:val="59BBE9B9"/>
    <w:rsid w:val="59BF8CB0"/>
    <w:rsid w:val="59C0755E"/>
    <w:rsid w:val="59D79941"/>
    <w:rsid w:val="59D94B43"/>
    <w:rsid w:val="59DA7041"/>
    <w:rsid w:val="59DB2A1F"/>
    <w:rsid w:val="59DDADA6"/>
    <w:rsid w:val="59DE1347"/>
    <w:rsid w:val="59DEC6BB"/>
    <w:rsid w:val="59E3B0D3"/>
    <w:rsid w:val="59E49B67"/>
    <w:rsid w:val="59E56EB2"/>
    <w:rsid w:val="59E76183"/>
    <w:rsid w:val="59EB4665"/>
    <w:rsid w:val="59EDB639"/>
    <w:rsid w:val="59F691FE"/>
    <w:rsid w:val="59F85C5C"/>
    <w:rsid w:val="59FFECB4"/>
    <w:rsid w:val="5A01C16B"/>
    <w:rsid w:val="5A0ACB0E"/>
    <w:rsid w:val="5A0C101E"/>
    <w:rsid w:val="5A0E2781"/>
    <w:rsid w:val="5A0E54E0"/>
    <w:rsid w:val="5A10F2CB"/>
    <w:rsid w:val="5A111C80"/>
    <w:rsid w:val="5A135486"/>
    <w:rsid w:val="5A137409"/>
    <w:rsid w:val="5A179E4C"/>
    <w:rsid w:val="5A180381"/>
    <w:rsid w:val="5A186F32"/>
    <w:rsid w:val="5A1C01DB"/>
    <w:rsid w:val="5A25B5EF"/>
    <w:rsid w:val="5A27CB51"/>
    <w:rsid w:val="5A2C0A81"/>
    <w:rsid w:val="5A2C7A66"/>
    <w:rsid w:val="5A2E4C47"/>
    <w:rsid w:val="5A303428"/>
    <w:rsid w:val="5A34E5FB"/>
    <w:rsid w:val="5A37C2B3"/>
    <w:rsid w:val="5A390905"/>
    <w:rsid w:val="5A3CE1BC"/>
    <w:rsid w:val="5A3ED760"/>
    <w:rsid w:val="5A3F3918"/>
    <w:rsid w:val="5A3FD37F"/>
    <w:rsid w:val="5A4349D1"/>
    <w:rsid w:val="5A473A60"/>
    <w:rsid w:val="5A4794F8"/>
    <w:rsid w:val="5A49216D"/>
    <w:rsid w:val="5A522B9A"/>
    <w:rsid w:val="5A52AA6F"/>
    <w:rsid w:val="5A55520C"/>
    <w:rsid w:val="5A558557"/>
    <w:rsid w:val="5A59C2E5"/>
    <w:rsid w:val="5A61D5EA"/>
    <w:rsid w:val="5A62D302"/>
    <w:rsid w:val="5A685FA5"/>
    <w:rsid w:val="5A6A6A36"/>
    <w:rsid w:val="5A6D1491"/>
    <w:rsid w:val="5A6E225E"/>
    <w:rsid w:val="5A7004D1"/>
    <w:rsid w:val="5A72D4A0"/>
    <w:rsid w:val="5A73154E"/>
    <w:rsid w:val="5A76FBC2"/>
    <w:rsid w:val="5A7732EC"/>
    <w:rsid w:val="5A78B678"/>
    <w:rsid w:val="5A7B9AFC"/>
    <w:rsid w:val="5A7C6CA0"/>
    <w:rsid w:val="5A7F1191"/>
    <w:rsid w:val="5A8DC56B"/>
    <w:rsid w:val="5A944B73"/>
    <w:rsid w:val="5A9732E6"/>
    <w:rsid w:val="5A9D4839"/>
    <w:rsid w:val="5AA34B8C"/>
    <w:rsid w:val="5AAB3008"/>
    <w:rsid w:val="5AAD831D"/>
    <w:rsid w:val="5AAD9BBB"/>
    <w:rsid w:val="5AADC37D"/>
    <w:rsid w:val="5AADCCB9"/>
    <w:rsid w:val="5AB29FCD"/>
    <w:rsid w:val="5AB54F77"/>
    <w:rsid w:val="5AB7F6F7"/>
    <w:rsid w:val="5ABE4DEA"/>
    <w:rsid w:val="5ABF23BD"/>
    <w:rsid w:val="5ABFC818"/>
    <w:rsid w:val="5AC300E1"/>
    <w:rsid w:val="5AC78255"/>
    <w:rsid w:val="5ACA5298"/>
    <w:rsid w:val="5ACAB198"/>
    <w:rsid w:val="5ACC9BB8"/>
    <w:rsid w:val="5ACDA0C6"/>
    <w:rsid w:val="5ACFADBC"/>
    <w:rsid w:val="5AD3FCC0"/>
    <w:rsid w:val="5AD65016"/>
    <w:rsid w:val="5AD70E74"/>
    <w:rsid w:val="5AD760EA"/>
    <w:rsid w:val="5ADAF300"/>
    <w:rsid w:val="5ADB89C7"/>
    <w:rsid w:val="5ADBA62D"/>
    <w:rsid w:val="5AE2D3E6"/>
    <w:rsid w:val="5AE363A4"/>
    <w:rsid w:val="5AE40B9E"/>
    <w:rsid w:val="5AE72474"/>
    <w:rsid w:val="5AE7C2BD"/>
    <w:rsid w:val="5AEAFC80"/>
    <w:rsid w:val="5AECC29F"/>
    <w:rsid w:val="5AF100E4"/>
    <w:rsid w:val="5AF12E8A"/>
    <w:rsid w:val="5AF17965"/>
    <w:rsid w:val="5AFBFCA2"/>
    <w:rsid w:val="5AFD3A74"/>
    <w:rsid w:val="5B029641"/>
    <w:rsid w:val="5B045E38"/>
    <w:rsid w:val="5B051A39"/>
    <w:rsid w:val="5B071206"/>
    <w:rsid w:val="5B08DF9C"/>
    <w:rsid w:val="5B08FF97"/>
    <w:rsid w:val="5B0AFBF5"/>
    <w:rsid w:val="5B0E8270"/>
    <w:rsid w:val="5B18FCFE"/>
    <w:rsid w:val="5B1A3622"/>
    <w:rsid w:val="5B1B1367"/>
    <w:rsid w:val="5B217CD8"/>
    <w:rsid w:val="5B22F5E4"/>
    <w:rsid w:val="5B292DE8"/>
    <w:rsid w:val="5B2BAC16"/>
    <w:rsid w:val="5B365048"/>
    <w:rsid w:val="5B370329"/>
    <w:rsid w:val="5B384513"/>
    <w:rsid w:val="5B3A1421"/>
    <w:rsid w:val="5B3B31CA"/>
    <w:rsid w:val="5B3EB023"/>
    <w:rsid w:val="5B408B4E"/>
    <w:rsid w:val="5B41DB34"/>
    <w:rsid w:val="5B468E52"/>
    <w:rsid w:val="5B50A8ED"/>
    <w:rsid w:val="5B58A363"/>
    <w:rsid w:val="5B5E7B97"/>
    <w:rsid w:val="5B62ED31"/>
    <w:rsid w:val="5B66DE80"/>
    <w:rsid w:val="5B68E6B7"/>
    <w:rsid w:val="5B6D8337"/>
    <w:rsid w:val="5B775A1A"/>
    <w:rsid w:val="5B783FA9"/>
    <w:rsid w:val="5B7B3694"/>
    <w:rsid w:val="5B7D7469"/>
    <w:rsid w:val="5B7E629A"/>
    <w:rsid w:val="5B7EC1E2"/>
    <w:rsid w:val="5B826A92"/>
    <w:rsid w:val="5B82C1A7"/>
    <w:rsid w:val="5B8339B7"/>
    <w:rsid w:val="5B85AE0A"/>
    <w:rsid w:val="5B874F41"/>
    <w:rsid w:val="5B8D973C"/>
    <w:rsid w:val="5B901A6A"/>
    <w:rsid w:val="5B92FC34"/>
    <w:rsid w:val="5B973419"/>
    <w:rsid w:val="5B9F7EAF"/>
    <w:rsid w:val="5BA06F20"/>
    <w:rsid w:val="5BA29E22"/>
    <w:rsid w:val="5BA36679"/>
    <w:rsid w:val="5BA3DCB9"/>
    <w:rsid w:val="5BA488DE"/>
    <w:rsid w:val="5BACF21D"/>
    <w:rsid w:val="5BAE9AA4"/>
    <w:rsid w:val="5BAF446A"/>
    <w:rsid w:val="5BB7A935"/>
    <w:rsid w:val="5BB9A28C"/>
    <w:rsid w:val="5BBA1019"/>
    <w:rsid w:val="5BBDC41E"/>
    <w:rsid w:val="5BC61B7F"/>
    <w:rsid w:val="5BC65164"/>
    <w:rsid w:val="5BD1EFC1"/>
    <w:rsid w:val="5BD7E2AD"/>
    <w:rsid w:val="5BD87C5D"/>
    <w:rsid w:val="5BDF9C2A"/>
    <w:rsid w:val="5BE1AA03"/>
    <w:rsid w:val="5BE3A136"/>
    <w:rsid w:val="5BE44D3B"/>
    <w:rsid w:val="5BE4B34D"/>
    <w:rsid w:val="5BE99600"/>
    <w:rsid w:val="5BEB1F4C"/>
    <w:rsid w:val="5BEBBDFE"/>
    <w:rsid w:val="5BF7473D"/>
    <w:rsid w:val="5BFA7522"/>
    <w:rsid w:val="5BFA7D9E"/>
    <w:rsid w:val="5BFB8EFC"/>
    <w:rsid w:val="5BFBC3A1"/>
    <w:rsid w:val="5BFCE954"/>
    <w:rsid w:val="5C0538B4"/>
    <w:rsid w:val="5C07F8E4"/>
    <w:rsid w:val="5C0D5689"/>
    <w:rsid w:val="5C1001DE"/>
    <w:rsid w:val="5C15AEDD"/>
    <w:rsid w:val="5C1631EC"/>
    <w:rsid w:val="5C1721E7"/>
    <w:rsid w:val="5C24E090"/>
    <w:rsid w:val="5C268E07"/>
    <w:rsid w:val="5C28E3DA"/>
    <w:rsid w:val="5C297D2C"/>
    <w:rsid w:val="5C2E5D45"/>
    <w:rsid w:val="5C2F258C"/>
    <w:rsid w:val="5C3536B0"/>
    <w:rsid w:val="5C361FE6"/>
    <w:rsid w:val="5C366FC1"/>
    <w:rsid w:val="5C3755CE"/>
    <w:rsid w:val="5C38A178"/>
    <w:rsid w:val="5C38ECFF"/>
    <w:rsid w:val="5C39F501"/>
    <w:rsid w:val="5C3F2482"/>
    <w:rsid w:val="5C480928"/>
    <w:rsid w:val="5C532C11"/>
    <w:rsid w:val="5C585405"/>
    <w:rsid w:val="5C5AE7DA"/>
    <w:rsid w:val="5C5BD06D"/>
    <w:rsid w:val="5C5CEBD6"/>
    <w:rsid w:val="5C60EDDA"/>
    <w:rsid w:val="5C620087"/>
    <w:rsid w:val="5C639DF7"/>
    <w:rsid w:val="5C6530C7"/>
    <w:rsid w:val="5C6913AE"/>
    <w:rsid w:val="5C6BEE48"/>
    <w:rsid w:val="5C6C9399"/>
    <w:rsid w:val="5C6CA05F"/>
    <w:rsid w:val="5C6F2EA4"/>
    <w:rsid w:val="5C768650"/>
    <w:rsid w:val="5C77F72B"/>
    <w:rsid w:val="5C78B6B9"/>
    <w:rsid w:val="5C78D740"/>
    <w:rsid w:val="5C7C9613"/>
    <w:rsid w:val="5C80B70A"/>
    <w:rsid w:val="5C82633C"/>
    <w:rsid w:val="5C84F66C"/>
    <w:rsid w:val="5C873A53"/>
    <w:rsid w:val="5C88AB2D"/>
    <w:rsid w:val="5C89D80D"/>
    <w:rsid w:val="5C8DAE19"/>
    <w:rsid w:val="5C95AD98"/>
    <w:rsid w:val="5C95DF5D"/>
    <w:rsid w:val="5C96A0C8"/>
    <w:rsid w:val="5C9ACFAD"/>
    <w:rsid w:val="5C9AED17"/>
    <w:rsid w:val="5C9BBE39"/>
    <w:rsid w:val="5C9D985E"/>
    <w:rsid w:val="5CA4AFFD"/>
    <w:rsid w:val="5CAC6AEF"/>
    <w:rsid w:val="5CB1463A"/>
    <w:rsid w:val="5CB1DECC"/>
    <w:rsid w:val="5CB7BD34"/>
    <w:rsid w:val="5CC00902"/>
    <w:rsid w:val="5CC1123A"/>
    <w:rsid w:val="5CC12019"/>
    <w:rsid w:val="5CC1C8FF"/>
    <w:rsid w:val="5CC22603"/>
    <w:rsid w:val="5CC29D18"/>
    <w:rsid w:val="5CC2A4FC"/>
    <w:rsid w:val="5CC2F1D6"/>
    <w:rsid w:val="5CC70029"/>
    <w:rsid w:val="5CC98BFB"/>
    <w:rsid w:val="5CCC4BEE"/>
    <w:rsid w:val="5CCC7FB2"/>
    <w:rsid w:val="5CCFA9C3"/>
    <w:rsid w:val="5CD32DFF"/>
    <w:rsid w:val="5CD49A73"/>
    <w:rsid w:val="5CDC2827"/>
    <w:rsid w:val="5CE16584"/>
    <w:rsid w:val="5CE62989"/>
    <w:rsid w:val="5CE8AE3E"/>
    <w:rsid w:val="5CEA0581"/>
    <w:rsid w:val="5CED2588"/>
    <w:rsid w:val="5CEF4A6F"/>
    <w:rsid w:val="5CF1A41A"/>
    <w:rsid w:val="5CF22915"/>
    <w:rsid w:val="5CF6E460"/>
    <w:rsid w:val="5CF75EC4"/>
    <w:rsid w:val="5CF78796"/>
    <w:rsid w:val="5CF7B94A"/>
    <w:rsid w:val="5CF900E5"/>
    <w:rsid w:val="5CF93240"/>
    <w:rsid w:val="5CFCE81C"/>
    <w:rsid w:val="5CFE3504"/>
    <w:rsid w:val="5D06B411"/>
    <w:rsid w:val="5D0BD5B9"/>
    <w:rsid w:val="5D0CF1CC"/>
    <w:rsid w:val="5D0E9B13"/>
    <w:rsid w:val="5D0F4544"/>
    <w:rsid w:val="5D16C3CA"/>
    <w:rsid w:val="5D1931C6"/>
    <w:rsid w:val="5D1BB0F0"/>
    <w:rsid w:val="5D1CA597"/>
    <w:rsid w:val="5D1D31DA"/>
    <w:rsid w:val="5D1DC21F"/>
    <w:rsid w:val="5D1DE108"/>
    <w:rsid w:val="5D1E71C8"/>
    <w:rsid w:val="5D205782"/>
    <w:rsid w:val="5D2088C7"/>
    <w:rsid w:val="5D25FF78"/>
    <w:rsid w:val="5D28D962"/>
    <w:rsid w:val="5D2B606B"/>
    <w:rsid w:val="5D2DF7BA"/>
    <w:rsid w:val="5D2E017C"/>
    <w:rsid w:val="5D330ABB"/>
    <w:rsid w:val="5D368451"/>
    <w:rsid w:val="5D36C46A"/>
    <w:rsid w:val="5D3B50D9"/>
    <w:rsid w:val="5D3C674C"/>
    <w:rsid w:val="5D42E5ED"/>
    <w:rsid w:val="5D435427"/>
    <w:rsid w:val="5D469614"/>
    <w:rsid w:val="5D4A5E28"/>
    <w:rsid w:val="5D4EF24A"/>
    <w:rsid w:val="5D50534E"/>
    <w:rsid w:val="5D5330C1"/>
    <w:rsid w:val="5D551BEF"/>
    <w:rsid w:val="5D5C4B00"/>
    <w:rsid w:val="5D6410A0"/>
    <w:rsid w:val="5D6AC972"/>
    <w:rsid w:val="5D6AE7CA"/>
    <w:rsid w:val="5D6CEBFC"/>
    <w:rsid w:val="5D6E0E0E"/>
    <w:rsid w:val="5D6E9447"/>
    <w:rsid w:val="5D72AE94"/>
    <w:rsid w:val="5D776F9E"/>
    <w:rsid w:val="5D77F73C"/>
    <w:rsid w:val="5D78C91E"/>
    <w:rsid w:val="5D7CDF4D"/>
    <w:rsid w:val="5D7D899E"/>
    <w:rsid w:val="5D802F4B"/>
    <w:rsid w:val="5D82B2C7"/>
    <w:rsid w:val="5D82D724"/>
    <w:rsid w:val="5D83590F"/>
    <w:rsid w:val="5D868C35"/>
    <w:rsid w:val="5D881F58"/>
    <w:rsid w:val="5D899FCB"/>
    <w:rsid w:val="5D8D15FE"/>
    <w:rsid w:val="5D8E493A"/>
    <w:rsid w:val="5D8FB207"/>
    <w:rsid w:val="5D901276"/>
    <w:rsid w:val="5D9099BD"/>
    <w:rsid w:val="5D968F09"/>
    <w:rsid w:val="5D9B4CE2"/>
    <w:rsid w:val="5DA2EDFF"/>
    <w:rsid w:val="5DA8A218"/>
    <w:rsid w:val="5DAD1638"/>
    <w:rsid w:val="5DAD6136"/>
    <w:rsid w:val="5DAEB843"/>
    <w:rsid w:val="5DB7BA1B"/>
    <w:rsid w:val="5DB8B92B"/>
    <w:rsid w:val="5DBFCC60"/>
    <w:rsid w:val="5DBFD4D9"/>
    <w:rsid w:val="5DC0D3F0"/>
    <w:rsid w:val="5DC1DFE1"/>
    <w:rsid w:val="5DC79EDE"/>
    <w:rsid w:val="5DC8CE2F"/>
    <w:rsid w:val="5DCFD6F2"/>
    <w:rsid w:val="5DCFFBDF"/>
    <w:rsid w:val="5DD0BE95"/>
    <w:rsid w:val="5DD26155"/>
    <w:rsid w:val="5DD2F3A1"/>
    <w:rsid w:val="5DD9CFCD"/>
    <w:rsid w:val="5DDB4624"/>
    <w:rsid w:val="5DDD2A29"/>
    <w:rsid w:val="5DE1D047"/>
    <w:rsid w:val="5DE645FD"/>
    <w:rsid w:val="5DE7D4B1"/>
    <w:rsid w:val="5DEA5AB7"/>
    <w:rsid w:val="5DECF45A"/>
    <w:rsid w:val="5DECF479"/>
    <w:rsid w:val="5DF7FE2E"/>
    <w:rsid w:val="5DF8E711"/>
    <w:rsid w:val="5E017AB1"/>
    <w:rsid w:val="5E01D77B"/>
    <w:rsid w:val="5E061359"/>
    <w:rsid w:val="5E068320"/>
    <w:rsid w:val="5E084AE1"/>
    <w:rsid w:val="5E08D699"/>
    <w:rsid w:val="5E09AE7E"/>
    <w:rsid w:val="5E0BA53E"/>
    <w:rsid w:val="5E119EA9"/>
    <w:rsid w:val="5E17227E"/>
    <w:rsid w:val="5E1A5F57"/>
    <w:rsid w:val="5E1B854C"/>
    <w:rsid w:val="5E20DB89"/>
    <w:rsid w:val="5E214CC0"/>
    <w:rsid w:val="5E2C4D5D"/>
    <w:rsid w:val="5E2D4A81"/>
    <w:rsid w:val="5E2EF019"/>
    <w:rsid w:val="5E336478"/>
    <w:rsid w:val="5E33C88E"/>
    <w:rsid w:val="5E33E853"/>
    <w:rsid w:val="5E34E93D"/>
    <w:rsid w:val="5E35AAE6"/>
    <w:rsid w:val="5E3A822C"/>
    <w:rsid w:val="5E3C1FBC"/>
    <w:rsid w:val="5E457126"/>
    <w:rsid w:val="5E4965FB"/>
    <w:rsid w:val="5E4C2621"/>
    <w:rsid w:val="5E4D080D"/>
    <w:rsid w:val="5E503A2A"/>
    <w:rsid w:val="5E5DD835"/>
    <w:rsid w:val="5E6280FD"/>
    <w:rsid w:val="5E63F601"/>
    <w:rsid w:val="5E658E46"/>
    <w:rsid w:val="5E681C4F"/>
    <w:rsid w:val="5E6869AA"/>
    <w:rsid w:val="5E697290"/>
    <w:rsid w:val="5E6B230E"/>
    <w:rsid w:val="5E718683"/>
    <w:rsid w:val="5E73DEA3"/>
    <w:rsid w:val="5E73E27A"/>
    <w:rsid w:val="5E76A0B4"/>
    <w:rsid w:val="5E7A70BE"/>
    <w:rsid w:val="5E7E6552"/>
    <w:rsid w:val="5E804449"/>
    <w:rsid w:val="5E815A5A"/>
    <w:rsid w:val="5E87E05B"/>
    <w:rsid w:val="5E8B118B"/>
    <w:rsid w:val="5E924528"/>
    <w:rsid w:val="5E98E708"/>
    <w:rsid w:val="5E993516"/>
    <w:rsid w:val="5E9D9A67"/>
    <w:rsid w:val="5E9FD26E"/>
    <w:rsid w:val="5EAAB99B"/>
    <w:rsid w:val="5EAF2490"/>
    <w:rsid w:val="5EB3879F"/>
    <w:rsid w:val="5EB3A6C8"/>
    <w:rsid w:val="5EB5FEA2"/>
    <w:rsid w:val="5EBA95E7"/>
    <w:rsid w:val="5EBFCCD5"/>
    <w:rsid w:val="5EC35554"/>
    <w:rsid w:val="5EC44388"/>
    <w:rsid w:val="5EC5E804"/>
    <w:rsid w:val="5EC7D0AE"/>
    <w:rsid w:val="5ECC938F"/>
    <w:rsid w:val="5ED1C39E"/>
    <w:rsid w:val="5ED2BC7B"/>
    <w:rsid w:val="5ED43B52"/>
    <w:rsid w:val="5ED5BCAE"/>
    <w:rsid w:val="5ED67AC9"/>
    <w:rsid w:val="5ED69881"/>
    <w:rsid w:val="5ED8A98D"/>
    <w:rsid w:val="5EDF830C"/>
    <w:rsid w:val="5EE220C1"/>
    <w:rsid w:val="5EE7F25C"/>
    <w:rsid w:val="5EED433C"/>
    <w:rsid w:val="5EEDF7EE"/>
    <w:rsid w:val="5EEFF8BD"/>
    <w:rsid w:val="5EFE639F"/>
    <w:rsid w:val="5F02CA52"/>
    <w:rsid w:val="5F05C6F8"/>
    <w:rsid w:val="5F07C646"/>
    <w:rsid w:val="5F0D4646"/>
    <w:rsid w:val="5F15AC3B"/>
    <w:rsid w:val="5F177740"/>
    <w:rsid w:val="5F209BC9"/>
    <w:rsid w:val="5F20A817"/>
    <w:rsid w:val="5F26E33D"/>
    <w:rsid w:val="5F2C7FC0"/>
    <w:rsid w:val="5F2D942E"/>
    <w:rsid w:val="5F2E40A3"/>
    <w:rsid w:val="5F315C78"/>
    <w:rsid w:val="5F33B953"/>
    <w:rsid w:val="5F351251"/>
    <w:rsid w:val="5F3ED23A"/>
    <w:rsid w:val="5F3EE866"/>
    <w:rsid w:val="5F4032A6"/>
    <w:rsid w:val="5F407968"/>
    <w:rsid w:val="5F409086"/>
    <w:rsid w:val="5F4829AE"/>
    <w:rsid w:val="5F4B14B3"/>
    <w:rsid w:val="5F4B5C72"/>
    <w:rsid w:val="5F4D7D9E"/>
    <w:rsid w:val="5F55EA2F"/>
    <w:rsid w:val="5F562E61"/>
    <w:rsid w:val="5F574ED6"/>
    <w:rsid w:val="5F59332F"/>
    <w:rsid w:val="5F5A4C9E"/>
    <w:rsid w:val="5F694F22"/>
    <w:rsid w:val="5F6B559F"/>
    <w:rsid w:val="5F6BCF1F"/>
    <w:rsid w:val="5F6DFBF1"/>
    <w:rsid w:val="5F70B95F"/>
    <w:rsid w:val="5F7160F1"/>
    <w:rsid w:val="5F755FBD"/>
    <w:rsid w:val="5F785E99"/>
    <w:rsid w:val="5F78C567"/>
    <w:rsid w:val="5F7B55F0"/>
    <w:rsid w:val="5F864AB1"/>
    <w:rsid w:val="5F8A7192"/>
    <w:rsid w:val="5F8CBE8B"/>
    <w:rsid w:val="5F8CC7F1"/>
    <w:rsid w:val="5F96D3AE"/>
    <w:rsid w:val="5F973EBA"/>
    <w:rsid w:val="5F9969F8"/>
    <w:rsid w:val="5F9B00ED"/>
    <w:rsid w:val="5F9C94E0"/>
    <w:rsid w:val="5F9F55F6"/>
    <w:rsid w:val="5FA0A569"/>
    <w:rsid w:val="5FA75863"/>
    <w:rsid w:val="5FB3470D"/>
    <w:rsid w:val="5FB3F5B0"/>
    <w:rsid w:val="5FBB9993"/>
    <w:rsid w:val="5FBBE544"/>
    <w:rsid w:val="5FBFE8EC"/>
    <w:rsid w:val="5FC7D8A6"/>
    <w:rsid w:val="5FC830C1"/>
    <w:rsid w:val="5FCCD155"/>
    <w:rsid w:val="5FCDA9BB"/>
    <w:rsid w:val="5FD69329"/>
    <w:rsid w:val="5FD7A502"/>
    <w:rsid w:val="5FDAF07A"/>
    <w:rsid w:val="5FDE64A0"/>
    <w:rsid w:val="5FDF1D53"/>
    <w:rsid w:val="5FDFE8BE"/>
    <w:rsid w:val="5FE9AD7C"/>
    <w:rsid w:val="5FF41C0E"/>
    <w:rsid w:val="5FFF7E65"/>
    <w:rsid w:val="6000623E"/>
    <w:rsid w:val="60015FE1"/>
    <w:rsid w:val="6005044D"/>
    <w:rsid w:val="6009197D"/>
    <w:rsid w:val="600CB2A9"/>
    <w:rsid w:val="600EB54D"/>
    <w:rsid w:val="600FCAAC"/>
    <w:rsid w:val="601171BA"/>
    <w:rsid w:val="601B2629"/>
    <w:rsid w:val="601F09A5"/>
    <w:rsid w:val="6022EB63"/>
    <w:rsid w:val="602960A0"/>
    <w:rsid w:val="6029ABB6"/>
    <w:rsid w:val="602C712A"/>
    <w:rsid w:val="602CE2AF"/>
    <w:rsid w:val="602E1589"/>
    <w:rsid w:val="6031F0E9"/>
    <w:rsid w:val="6039A781"/>
    <w:rsid w:val="603EFDCE"/>
    <w:rsid w:val="6042C789"/>
    <w:rsid w:val="604C3087"/>
    <w:rsid w:val="60526B05"/>
    <w:rsid w:val="6052B338"/>
    <w:rsid w:val="60539ED6"/>
    <w:rsid w:val="6053CA96"/>
    <w:rsid w:val="60541253"/>
    <w:rsid w:val="60549E5D"/>
    <w:rsid w:val="60559F85"/>
    <w:rsid w:val="6055EF8A"/>
    <w:rsid w:val="605747C1"/>
    <w:rsid w:val="6059ED56"/>
    <w:rsid w:val="6068851C"/>
    <w:rsid w:val="6070428B"/>
    <w:rsid w:val="60770B95"/>
    <w:rsid w:val="6078FABA"/>
    <w:rsid w:val="607D3C12"/>
    <w:rsid w:val="607E7737"/>
    <w:rsid w:val="607F4473"/>
    <w:rsid w:val="60803C72"/>
    <w:rsid w:val="60806A9D"/>
    <w:rsid w:val="6082C7B5"/>
    <w:rsid w:val="60836C51"/>
    <w:rsid w:val="60848E01"/>
    <w:rsid w:val="608B6F14"/>
    <w:rsid w:val="608BC16E"/>
    <w:rsid w:val="608BDC2C"/>
    <w:rsid w:val="60909741"/>
    <w:rsid w:val="609267F1"/>
    <w:rsid w:val="60956E46"/>
    <w:rsid w:val="609ADD42"/>
    <w:rsid w:val="60A13375"/>
    <w:rsid w:val="60A1CFE6"/>
    <w:rsid w:val="60A33D78"/>
    <w:rsid w:val="60A494FF"/>
    <w:rsid w:val="60A9B225"/>
    <w:rsid w:val="60AF1C0A"/>
    <w:rsid w:val="60B11FC2"/>
    <w:rsid w:val="60B27BF7"/>
    <w:rsid w:val="60B3363B"/>
    <w:rsid w:val="60B6AC84"/>
    <w:rsid w:val="60BA9576"/>
    <w:rsid w:val="60BB1C51"/>
    <w:rsid w:val="60C462D6"/>
    <w:rsid w:val="60C6193D"/>
    <w:rsid w:val="60C8DEFC"/>
    <w:rsid w:val="60CA4EDD"/>
    <w:rsid w:val="60CA9E54"/>
    <w:rsid w:val="60CB45A4"/>
    <w:rsid w:val="60D761B6"/>
    <w:rsid w:val="60D779F9"/>
    <w:rsid w:val="60D844D8"/>
    <w:rsid w:val="60D86711"/>
    <w:rsid w:val="60DE947A"/>
    <w:rsid w:val="60E90EBD"/>
    <w:rsid w:val="60EB1C6D"/>
    <w:rsid w:val="60EC12A7"/>
    <w:rsid w:val="60EEC684"/>
    <w:rsid w:val="60F3565B"/>
    <w:rsid w:val="60F6970B"/>
    <w:rsid w:val="60F8202E"/>
    <w:rsid w:val="60FB872F"/>
    <w:rsid w:val="6101A21E"/>
    <w:rsid w:val="61034260"/>
    <w:rsid w:val="61037AA8"/>
    <w:rsid w:val="61063A2E"/>
    <w:rsid w:val="61131FC6"/>
    <w:rsid w:val="6115EB84"/>
    <w:rsid w:val="6116704F"/>
    <w:rsid w:val="611F02F4"/>
    <w:rsid w:val="611FD98E"/>
    <w:rsid w:val="6123CBD9"/>
    <w:rsid w:val="6123E6EE"/>
    <w:rsid w:val="612B71B8"/>
    <w:rsid w:val="612C7F97"/>
    <w:rsid w:val="612CAA22"/>
    <w:rsid w:val="612E7428"/>
    <w:rsid w:val="6137F8AE"/>
    <w:rsid w:val="6138F6FD"/>
    <w:rsid w:val="613F3DB6"/>
    <w:rsid w:val="61413F96"/>
    <w:rsid w:val="61424B1F"/>
    <w:rsid w:val="6144B87B"/>
    <w:rsid w:val="61471465"/>
    <w:rsid w:val="61499A80"/>
    <w:rsid w:val="614A9757"/>
    <w:rsid w:val="614F86B4"/>
    <w:rsid w:val="61576E81"/>
    <w:rsid w:val="615801DC"/>
    <w:rsid w:val="61592509"/>
    <w:rsid w:val="615C56F4"/>
    <w:rsid w:val="615F83B9"/>
    <w:rsid w:val="61606C1A"/>
    <w:rsid w:val="6160BB14"/>
    <w:rsid w:val="6164F8E0"/>
    <w:rsid w:val="61671A96"/>
    <w:rsid w:val="6169A303"/>
    <w:rsid w:val="616A7930"/>
    <w:rsid w:val="61703F58"/>
    <w:rsid w:val="617099C1"/>
    <w:rsid w:val="6171E590"/>
    <w:rsid w:val="61721F9F"/>
    <w:rsid w:val="6176C73E"/>
    <w:rsid w:val="617DBD1D"/>
    <w:rsid w:val="617F4E70"/>
    <w:rsid w:val="61803E2E"/>
    <w:rsid w:val="61811B0F"/>
    <w:rsid w:val="6181D950"/>
    <w:rsid w:val="6183F151"/>
    <w:rsid w:val="61843B6E"/>
    <w:rsid w:val="6186F5AC"/>
    <w:rsid w:val="6187B4F2"/>
    <w:rsid w:val="618DAFB6"/>
    <w:rsid w:val="61914061"/>
    <w:rsid w:val="619836EC"/>
    <w:rsid w:val="619AF9B6"/>
    <w:rsid w:val="619BD8D5"/>
    <w:rsid w:val="619EC178"/>
    <w:rsid w:val="61A261D5"/>
    <w:rsid w:val="61A42025"/>
    <w:rsid w:val="61A4514D"/>
    <w:rsid w:val="61A960F6"/>
    <w:rsid w:val="61AC0183"/>
    <w:rsid w:val="61ADFE30"/>
    <w:rsid w:val="61AF3A45"/>
    <w:rsid w:val="61B51267"/>
    <w:rsid w:val="61B9E6CB"/>
    <w:rsid w:val="61BCD80A"/>
    <w:rsid w:val="61C02F61"/>
    <w:rsid w:val="61C2BF3F"/>
    <w:rsid w:val="61C588DB"/>
    <w:rsid w:val="61C62A6E"/>
    <w:rsid w:val="61CB678C"/>
    <w:rsid w:val="61CD45EF"/>
    <w:rsid w:val="61D47247"/>
    <w:rsid w:val="61D4EAD5"/>
    <w:rsid w:val="61D81654"/>
    <w:rsid w:val="61D8442D"/>
    <w:rsid w:val="61DA2677"/>
    <w:rsid w:val="61E035F2"/>
    <w:rsid w:val="61E133C6"/>
    <w:rsid w:val="61EC7B9D"/>
    <w:rsid w:val="61ED51A5"/>
    <w:rsid w:val="61ED9414"/>
    <w:rsid w:val="61EECD10"/>
    <w:rsid w:val="61F93133"/>
    <w:rsid w:val="62027ED4"/>
    <w:rsid w:val="620A0122"/>
    <w:rsid w:val="620C7174"/>
    <w:rsid w:val="620E843B"/>
    <w:rsid w:val="6212584F"/>
    <w:rsid w:val="62159387"/>
    <w:rsid w:val="6219BA89"/>
    <w:rsid w:val="6219F1C8"/>
    <w:rsid w:val="6221284F"/>
    <w:rsid w:val="62236417"/>
    <w:rsid w:val="622A88F5"/>
    <w:rsid w:val="6230BE7C"/>
    <w:rsid w:val="62339ED9"/>
    <w:rsid w:val="6233F85B"/>
    <w:rsid w:val="62361F56"/>
    <w:rsid w:val="6238F2CD"/>
    <w:rsid w:val="623F8BBF"/>
    <w:rsid w:val="62443495"/>
    <w:rsid w:val="624AACBF"/>
    <w:rsid w:val="624E171C"/>
    <w:rsid w:val="624F64FA"/>
    <w:rsid w:val="624FEA34"/>
    <w:rsid w:val="62547D45"/>
    <w:rsid w:val="6257646D"/>
    <w:rsid w:val="625E1CC6"/>
    <w:rsid w:val="626592DD"/>
    <w:rsid w:val="6266D384"/>
    <w:rsid w:val="626709A5"/>
    <w:rsid w:val="626848D8"/>
    <w:rsid w:val="6269EC6F"/>
    <w:rsid w:val="6270182D"/>
    <w:rsid w:val="62703A9B"/>
    <w:rsid w:val="62722C7B"/>
    <w:rsid w:val="62730E4E"/>
    <w:rsid w:val="627C7FB2"/>
    <w:rsid w:val="627CEFC6"/>
    <w:rsid w:val="627FC3EA"/>
    <w:rsid w:val="6286AC5A"/>
    <w:rsid w:val="6288E003"/>
    <w:rsid w:val="628A80D3"/>
    <w:rsid w:val="628BCCE1"/>
    <w:rsid w:val="628D7E51"/>
    <w:rsid w:val="628E1587"/>
    <w:rsid w:val="6290CB30"/>
    <w:rsid w:val="62915FC9"/>
    <w:rsid w:val="629DC4C9"/>
    <w:rsid w:val="629DC5DA"/>
    <w:rsid w:val="629DDC6C"/>
    <w:rsid w:val="62A45D0E"/>
    <w:rsid w:val="62A4769A"/>
    <w:rsid w:val="62A9AD9C"/>
    <w:rsid w:val="62ADBB61"/>
    <w:rsid w:val="62BB4F75"/>
    <w:rsid w:val="62BD54F9"/>
    <w:rsid w:val="62BFBE2E"/>
    <w:rsid w:val="62C8D222"/>
    <w:rsid w:val="62CA0A9E"/>
    <w:rsid w:val="62CEE0BC"/>
    <w:rsid w:val="62D279EE"/>
    <w:rsid w:val="62D380C7"/>
    <w:rsid w:val="62D89919"/>
    <w:rsid w:val="62DBE288"/>
    <w:rsid w:val="62DC0510"/>
    <w:rsid w:val="62DF9E0A"/>
    <w:rsid w:val="62DFD410"/>
    <w:rsid w:val="62E810AA"/>
    <w:rsid w:val="62EEE0B4"/>
    <w:rsid w:val="62F1D181"/>
    <w:rsid w:val="62F2C5AE"/>
    <w:rsid w:val="62F2EDE1"/>
    <w:rsid w:val="62F4B831"/>
    <w:rsid w:val="62F5CE98"/>
    <w:rsid w:val="62F8E1C2"/>
    <w:rsid w:val="62FAAFDF"/>
    <w:rsid w:val="62FB5C96"/>
    <w:rsid w:val="62FFAD42"/>
    <w:rsid w:val="63016ADF"/>
    <w:rsid w:val="6304DB60"/>
    <w:rsid w:val="6309F84C"/>
    <w:rsid w:val="630AB37F"/>
    <w:rsid w:val="630BB00D"/>
    <w:rsid w:val="630CB2F0"/>
    <w:rsid w:val="630D80D2"/>
    <w:rsid w:val="630E02CD"/>
    <w:rsid w:val="630FD7AF"/>
    <w:rsid w:val="6316DEE9"/>
    <w:rsid w:val="63174724"/>
    <w:rsid w:val="63183E4E"/>
    <w:rsid w:val="63225AD9"/>
    <w:rsid w:val="63251E7D"/>
    <w:rsid w:val="63295C0E"/>
    <w:rsid w:val="632D61E3"/>
    <w:rsid w:val="632EB913"/>
    <w:rsid w:val="63375723"/>
    <w:rsid w:val="633877DA"/>
    <w:rsid w:val="63388B9C"/>
    <w:rsid w:val="63394D50"/>
    <w:rsid w:val="6348B258"/>
    <w:rsid w:val="634C47B8"/>
    <w:rsid w:val="634D7FB8"/>
    <w:rsid w:val="634E66FC"/>
    <w:rsid w:val="6351DE35"/>
    <w:rsid w:val="6353F473"/>
    <w:rsid w:val="6354F3E3"/>
    <w:rsid w:val="6357DCC8"/>
    <w:rsid w:val="6358886F"/>
    <w:rsid w:val="636CBB37"/>
    <w:rsid w:val="637043FB"/>
    <w:rsid w:val="6371061F"/>
    <w:rsid w:val="6377367D"/>
    <w:rsid w:val="6377572B"/>
    <w:rsid w:val="6377E4AB"/>
    <w:rsid w:val="637AD704"/>
    <w:rsid w:val="637B01B1"/>
    <w:rsid w:val="6380C86C"/>
    <w:rsid w:val="638128CF"/>
    <w:rsid w:val="6381B2AF"/>
    <w:rsid w:val="63826828"/>
    <w:rsid w:val="63862DAD"/>
    <w:rsid w:val="6389ED62"/>
    <w:rsid w:val="6390D3CF"/>
    <w:rsid w:val="6393D7A2"/>
    <w:rsid w:val="6393DD76"/>
    <w:rsid w:val="639413E3"/>
    <w:rsid w:val="63960518"/>
    <w:rsid w:val="6396A0C9"/>
    <w:rsid w:val="6398303E"/>
    <w:rsid w:val="639885CC"/>
    <w:rsid w:val="6399C7FC"/>
    <w:rsid w:val="639CFD20"/>
    <w:rsid w:val="63A2BF8E"/>
    <w:rsid w:val="63AD35E2"/>
    <w:rsid w:val="63B3E0C6"/>
    <w:rsid w:val="63B7E28A"/>
    <w:rsid w:val="63C267B6"/>
    <w:rsid w:val="63C3C296"/>
    <w:rsid w:val="63C59DAD"/>
    <w:rsid w:val="63C81B0D"/>
    <w:rsid w:val="63CCC455"/>
    <w:rsid w:val="63D08279"/>
    <w:rsid w:val="63D08E11"/>
    <w:rsid w:val="63D36193"/>
    <w:rsid w:val="63DB42E7"/>
    <w:rsid w:val="63DCE701"/>
    <w:rsid w:val="63DDE4C2"/>
    <w:rsid w:val="63E4CBD2"/>
    <w:rsid w:val="63E6387C"/>
    <w:rsid w:val="63E9B3AC"/>
    <w:rsid w:val="63EC088B"/>
    <w:rsid w:val="63EFA506"/>
    <w:rsid w:val="63EFACA6"/>
    <w:rsid w:val="63F1F6BC"/>
    <w:rsid w:val="63F24E8D"/>
    <w:rsid w:val="63F42E15"/>
    <w:rsid w:val="63F5EF5B"/>
    <w:rsid w:val="63F83C98"/>
    <w:rsid w:val="63FDBEBA"/>
    <w:rsid w:val="6401CDE4"/>
    <w:rsid w:val="640660D5"/>
    <w:rsid w:val="64075B85"/>
    <w:rsid w:val="6407DB8F"/>
    <w:rsid w:val="640AC9E3"/>
    <w:rsid w:val="640C375A"/>
    <w:rsid w:val="640C9139"/>
    <w:rsid w:val="641084B1"/>
    <w:rsid w:val="64151A9C"/>
    <w:rsid w:val="641615B9"/>
    <w:rsid w:val="64198833"/>
    <w:rsid w:val="641DA5CD"/>
    <w:rsid w:val="641DC8C7"/>
    <w:rsid w:val="64210F14"/>
    <w:rsid w:val="64265134"/>
    <w:rsid w:val="642A0E11"/>
    <w:rsid w:val="642A691D"/>
    <w:rsid w:val="642FF78C"/>
    <w:rsid w:val="6431F048"/>
    <w:rsid w:val="643223FC"/>
    <w:rsid w:val="6433B69E"/>
    <w:rsid w:val="643420B3"/>
    <w:rsid w:val="64367CCA"/>
    <w:rsid w:val="643BAA9C"/>
    <w:rsid w:val="64433072"/>
    <w:rsid w:val="644839A8"/>
    <w:rsid w:val="644CDDA6"/>
    <w:rsid w:val="644D10F8"/>
    <w:rsid w:val="645646BC"/>
    <w:rsid w:val="6456749A"/>
    <w:rsid w:val="6457BDB1"/>
    <w:rsid w:val="645949DA"/>
    <w:rsid w:val="645A570C"/>
    <w:rsid w:val="645D1E59"/>
    <w:rsid w:val="64627470"/>
    <w:rsid w:val="6464342A"/>
    <w:rsid w:val="6464B10D"/>
    <w:rsid w:val="64662038"/>
    <w:rsid w:val="646B4582"/>
    <w:rsid w:val="646C298F"/>
    <w:rsid w:val="646C4955"/>
    <w:rsid w:val="64736CF4"/>
    <w:rsid w:val="6474CC66"/>
    <w:rsid w:val="6475E576"/>
    <w:rsid w:val="647947BC"/>
    <w:rsid w:val="647990D6"/>
    <w:rsid w:val="647E2681"/>
    <w:rsid w:val="64823BD5"/>
    <w:rsid w:val="64841619"/>
    <w:rsid w:val="64857544"/>
    <w:rsid w:val="648CC0E6"/>
    <w:rsid w:val="648E157F"/>
    <w:rsid w:val="648E33BD"/>
    <w:rsid w:val="648E5B55"/>
    <w:rsid w:val="648EB5EC"/>
    <w:rsid w:val="648FA29E"/>
    <w:rsid w:val="649081EA"/>
    <w:rsid w:val="6490BECC"/>
    <w:rsid w:val="649969E1"/>
    <w:rsid w:val="649B575D"/>
    <w:rsid w:val="64A236EA"/>
    <w:rsid w:val="64A31FD8"/>
    <w:rsid w:val="64A3EB06"/>
    <w:rsid w:val="64A72DE9"/>
    <w:rsid w:val="64B1E0EE"/>
    <w:rsid w:val="64BB1DDA"/>
    <w:rsid w:val="64BC581F"/>
    <w:rsid w:val="64BC92E7"/>
    <w:rsid w:val="64C06336"/>
    <w:rsid w:val="64C2306B"/>
    <w:rsid w:val="64C23BC8"/>
    <w:rsid w:val="64C32378"/>
    <w:rsid w:val="64C41449"/>
    <w:rsid w:val="64C8A8C6"/>
    <w:rsid w:val="64C99D1C"/>
    <w:rsid w:val="64CBEA36"/>
    <w:rsid w:val="64D4BEED"/>
    <w:rsid w:val="64D69578"/>
    <w:rsid w:val="64DABCD0"/>
    <w:rsid w:val="64DAD4F9"/>
    <w:rsid w:val="64E18BBF"/>
    <w:rsid w:val="64E23A31"/>
    <w:rsid w:val="64E54390"/>
    <w:rsid w:val="64E724EF"/>
    <w:rsid w:val="64EC21A2"/>
    <w:rsid w:val="64F0DD85"/>
    <w:rsid w:val="64F12D96"/>
    <w:rsid w:val="64F90315"/>
    <w:rsid w:val="64FA947F"/>
    <w:rsid w:val="64FC3119"/>
    <w:rsid w:val="64FCE3F3"/>
    <w:rsid w:val="6500D761"/>
    <w:rsid w:val="65012EA8"/>
    <w:rsid w:val="65025FC4"/>
    <w:rsid w:val="6507F226"/>
    <w:rsid w:val="65092A3A"/>
    <w:rsid w:val="650DB44C"/>
    <w:rsid w:val="650DDDD5"/>
    <w:rsid w:val="650E669C"/>
    <w:rsid w:val="650E6C4B"/>
    <w:rsid w:val="6512808C"/>
    <w:rsid w:val="6517AA94"/>
    <w:rsid w:val="651D0D24"/>
    <w:rsid w:val="651D4138"/>
    <w:rsid w:val="651D44B4"/>
    <w:rsid w:val="6521E18D"/>
    <w:rsid w:val="65262201"/>
    <w:rsid w:val="6527AB25"/>
    <w:rsid w:val="652B305D"/>
    <w:rsid w:val="652D3898"/>
    <w:rsid w:val="652D7E11"/>
    <w:rsid w:val="65311046"/>
    <w:rsid w:val="653230D7"/>
    <w:rsid w:val="65324FD1"/>
    <w:rsid w:val="6533C20B"/>
    <w:rsid w:val="65353B24"/>
    <w:rsid w:val="6537C98A"/>
    <w:rsid w:val="653B8985"/>
    <w:rsid w:val="653EA179"/>
    <w:rsid w:val="653FFCE5"/>
    <w:rsid w:val="6541B9CE"/>
    <w:rsid w:val="654440BA"/>
    <w:rsid w:val="654AF2D0"/>
    <w:rsid w:val="65584962"/>
    <w:rsid w:val="65588CA7"/>
    <w:rsid w:val="65592C4C"/>
    <w:rsid w:val="655AF545"/>
    <w:rsid w:val="655B68BC"/>
    <w:rsid w:val="655F40C3"/>
    <w:rsid w:val="655F635E"/>
    <w:rsid w:val="65609C12"/>
    <w:rsid w:val="656320E2"/>
    <w:rsid w:val="65665E40"/>
    <w:rsid w:val="65670B5B"/>
    <w:rsid w:val="656829B0"/>
    <w:rsid w:val="656970FF"/>
    <w:rsid w:val="656D42CB"/>
    <w:rsid w:val="6578A1C2"/>
    <w:rsid w:val="657C95D3"/>
    <w:rsid w:val="658236C6"/>
    <w:rsid w:val="658274FD"/>
    <w:rsid w:val="65878FF3"/>
    <w:rsid w:val="658DA5EB"/>
    <w:rsid w:val="659429B3"/>
    <w:rsid w:val="6596B2AE"/>
    <w:rsid w:val="6597E767"/>
    <w:rsid w:val="65982DFC"/>
    <w:rsid w:val="659938BE"/>
    <w:rsid w:val="659D680C"/>
    <w:rsid w:val="659F46A1"/>
    <w:rsid w:val="659FDB4F"/>
    <w:rsid w:val="65A1B332"/>
    <w:rsid w:val="65A20737"/>
    <w:rsid w:val="65A3E65E"/>
    <w:rsid w:val="65A40E5E"/>
    <w:rsid w:val="65A77310"/>
    <w:rsid w:val="65A91EF5"/>
    <w:rsid w:val="65AB46C4"/>
    <w:rsid w:val="65ACF9F8"/>
    <w:rsid w:val="65B3083E"/>
    <w:rsid w:val="65B44645"/>
    <w:rsid w:val="65B8B74D"/>
    <w:rsid w:val="65BAADAA"/>
    <w:rsid w:val="65BC4DCB"/>
    <w:rsid w:val="65C33E56"/>
    <w:rsid w:val="65C429AA"/>
    <w:rsid w:val="65C6FA7C"/>
    <w:rsid w:val="65C74C8E"/>
    <w:rsid w:val="65CFF114"/>
    <w:rsid w:val="65D0D848"/>
    <w:rsid w:val="65D0F229"/>
    <w:rsid w:val="65D18551"/>
    <w:rsid w:val="65D1C75C"/>
    <w:rsid w:val="65D48021"/>
    <w:rsid w:val="65D6BA87"/>
    <w:rsid w:val="65DC10E2"/>
    <w:rsid w:val="65DD5F3D"/>
    <w:rsid w:val="65E2A50E"/>
    <w:rsid w:val="65E2F022"/>
    <w:rsid w:val="65E35670"/>
    <w:rsid w:val="65E4244B"/>
    <w:rsid w:val="65EE24A3"/>
    <w:rsid w:val="65EEE046"/>
    <w:rsid w:val="65F1483C"/>
    <w:rsid w:val="65F2CB8A"/>
    <w:rsid w:val="65F94F4F"/>
    <w:rsid w:val="65FB3824"/>
    <w:rsid w:val="65FB47C0"/>
    <w:rsid w:val="65FB859D"/>
    <w:rsid w:val="65FDB39E"/>
    <w:rsid w:val="65FE67A5"/>
    <w:rsid w:val="65FF887A"/>
    <w:rsid w:val="6607C34A"/>
    <w:rsid w:val="660AE8C5"/>
    <w:rsid w:val="66108977"/>
    <w:rsid w:val="661174BA"/>
    <w:rsid w:val="66125CB1"/>
    <w:rsid w:val="66157147"/>
    <w:rsid w:val="661A7C6E"/>
    <w:rsid w:val="66204B51"/>
    <w:rsid w:val="66244ADA"/>
    <w:rsid w:val="662623A9"/>
    <w:rsid w:val="662E3FA5"/>
    <w:rsid w:val="66313C80"/>
    <w:rsid w:val="6631FAA7"/>
    <w:rsid w:val="66385E9D"/>
    <w:rsid w:val="663BA1AF"/>
    <w:rsid w:val="6640233D"/>
    <w:rsid w:val="66402A73"/>
    <w:rsid w:val="6640EF88"/>
    <w:rsid w:val="6642481E"/>
    <w:rsid w:val="66434731"/>
    <w:rsid w:val="664ABD07"/>
    <w:rsid w:val="664B5912"/>
    <w:rsid w:val="664DB55A"/>
    <w:rsid w:val="6650B2B8"/>
    <w:rsid w:val="6652FD3E"/>
    <w:rsid w:val="66566EC8"/>
    <w:rsid w:val="6656716C"/>
    <w:rsid w:val="6656E4F7"/>
    <w:rsid w:val="6657144D"/>
    <w:rsid w:val="66622BAE"/>
    <w:rsid w:val="6662B97C"/>
    <w:rsid w:val="666B39DE"/>
    <w:rsid w:val="666FACFB"/>
    <w:rsid w:val="667585C0"/>
    <w:rsid w:val="667877A2"/>
    <w:rsid w:val="667CA8BA"/>
    <w:rsid w:val="66810424"/>
    <w:rsid w:val="668113BE"/>
    <w:rsid w:val="6682211F"/>
    <w:rsid w:val="6686FECF"/>
    <w:rsid w:val="6687FEF4"/>
    <w:rsid w:val="66892647"/>
    <w:rsid w:val="6689F388"/>
    <w:rsid w:val="668A7677"/>
    <w:rsid w:val="668C974B"/>
    <w:rsid w:val="668CC564"/>
    <w:rsid w:val="668EB4E8"/>
    <w:rsid w:val="668FCA5A"/>
    <w:rsid w:val="6691FFF9"/>
    <w:rsid w:val="6692A031"/>
    <w:rsid w:val="669556E8"/>
    <w:rsid w:val="669A1B3C"/>
    <w:rsid w:val="669ABF8D"/>
    <w:rsid w:val="669D1399"/>
    <w:rsid w:val="669D553D"/>
    <w:rsid w:val="669EC143"/>
    <w:rsid w:val="669F432C"/>
    <w:rsid w:val="66A08FAA"/>
    <w:rsid w:val="66A4CD5C"/>
    <w:rsid w:val="66AE6F5F"/>
    <w:rsid w:val="66B42FE4"/>
    <w:rsid w:val="66B6D3B7"/>
    <w:rsid w:val="66B729F7"/>
    <w:rsid w:val="66B94E20"/>
    <w:rsid w:val="66B95371"/>
    <w:rsid w:val="66BB41D5"/>
    <w:rsid w:val="66BD8926"/>
    <w:rsid w:val="66C28B39"/>
    <w:rsid w:val="66C6EA8C"/>
    <w:rsid w:val="66C96A8E"/>
    <w:rsid w:val="66CB82F1"/>
    <w:rsid w:val="66CDE59C"/>
    <w:rsid w:val="66D46697"/>
    <w:rsid w:val="66D8D136"/>
    <w:rsid w:val="66D8DA8A"/>
    <w:rsid w:val="66DB7E52"/>
    <w:rsid w:val="66DE21E8"/>
    <w:rsid w:val="66E0F0FC"/>
    <w:rsid w:val="66E251EC"/>
    <w:rsid w:val="66E44DFA"/>
    <w:rsid w:val="66E54BD1"/>
    <w:rsid w:val="66E6E276"/>
    <w:rsid w:val="66E77DAF"/>
    <w:rsid w:val="66E87F8C"/>
    <w:rsid w:val="66EBACBC"/>
    <w:rsid w:val="66F05E01"/>
    <w:rsid w:val="66F0CB57"/>
    <w:rsid w:val="66F3D9C9"/>
    <w:rsid w:val="66F9E5D1"/>
    <w:rsid w:val="67047031"/>
    <w:rsid w:val="6705B836"/>
    <w:rsid w:val="6707D241"/>
    <w:rsid w:val="67085507"/>
    <w:rsid w:val="670AD8FD"/>
    <w:rsid w:val="670BFBEF"/>
    <w:rsid w:val="6713ACB7"/>
    <w:rsid w:val="67154BF8"/>
    <w:rsid w:val="671B3D61"/>
    <w:rsid w:val="671C7DF2"/>
    <w:rsid w:val="671E8305"/>
    <w:rsid w:val="6720D6A6"/>
    <w:rsid w:val="67253EB0"/>
    <w:rsid w:val="6727079D"/>
    <w:rsid w:val="672B0620"/>
    <w:rsid w:val="6736528E"/>
    <w:rsid w:val="673D2B87"/>
    <w:rsid w:val="673E8283"/>
    <w:rsid w:val="673FB71E"/>
    <w:rsid w:val="67401B75"/>
    <w:rsid w:val="67448EF4"/>
    <w:rsid w:val="6746E971"/>
    <w:rsid w:val="6747AA7B"/>
    <w:rsid w:val="6747B24E"/>
    <w:rsid w:val="6753297D"/>
    <w:rsid w:val="67595ECB"/>
    <w:rsid w:val="675AA64E"/>
    <w:rsid w:val="675F8061"/>
    <w:rsid w:val="67619BC0"/>
    <w:rsid w:val="6763B329"/>
    <w:rsid w:val="676AC7ED"/>
    <w:rsid w:val="676B255F"/>
    <w:rsid w:val="676D1A11"/>
    <w:rsid w:val="676D262E"/>
    <w:rsid w:val="676FB90E"/>
    <w:rsid w:val="6770899E"/>
    <w:rsid w:val="6777E46A"/>
    <w:rsid w:val="67794571"/>
    <w:rsid w:val="67809B42"/>
    <w:rsid w:val="67827CE1"/>
    <w:rsid w:val="6782D1A3"/>
    <w:rsid w:val="6785004F"/>
    <w:rsid w:val="678806D5"/>
    <w:rsid w:val="678A2694"/>
    <w:rsid w:val="678C52FA"/>
    <w:rsid w:val="678D5D89"/>
    <w:rsid w:val="678EF0F3"/>
    <w:rsid w:val="6794622E"/>
    <w:rsid w:val="679B26F4"/>
    <w:rsid w:val="679C4189"/>
    <w:rsid w:val="679E804A"/>
    <w:rsid w:val="67A5DC75"/>
    <w:rsid w:val="67A911E3"/>
    <w:rsid w:val="67A9C8A5"/>
    <w:rsid w:val="67A9F17E"/>
    <w:rsid w:val="67ABEC7E"/>
    <w:rsid w:val="67B1F783"/>
    <w:rsid w:val="67B24C68"/>
    <w:rsid w:val="67B6F67F"/>
    <w:rsid w:val="67BE00CC"/>
    <w:rsid w:val="67C3A571"/>
    <w:rsid w:val="67C4CF00"/>
    <w:rsid w:val="67C58078"/>
    <w:rsid w:val="67C84316"/>
    <w:rsid w:val="67CE6DD9"/>
    <w:rsid w:val="67D1172E"/>
    <w:rsid w:val="67D16DD1"/>
    <w:rsid w:val="67DC764A"/>
    <w:rsid w:val="67DE1B90"/>
    <w:rsid w:val="67E372FE"/>
    <w:rsid w:val="67E7C553"/>
    <w:rsid w:val="67E90359"/>
    <w:rsid w:val="67EC1D45"/>
    <w:rsid w:val="67EFBF26"/>
    <w:rsid w:val="67F4DD72"/>
    <w:rsid w:val="67F65581"/>
    <w:rsid w:val="67F90AA4"/>
    <w:rsid w:val="67FDDE7F"/>
    <w:rsid w:val="68028F69"/>
    <w:rsid w:val="68069C34"/>
    <w:rsid w:val="6807CEB4"/>
    <w:rsid w:val="680A22AD"/>
    <w:rsid w:val="680C8CE8"/>
    <w:rsid w:val="680EB2BC"/>
    <w:rsid w:val="6810138F"/>
    <w:rsid w:val="68119374"/>
    <w:rsid w:val="68183FDF"/>
    <w:rsid w:val="68184C2F"/>
    <w:rsid w:val="682308E9"/>
    <w:rsid w:val="6826C260"/>
    <w:rsid w:val="68273C64"/>
    <w:rsid w:val="6829A433"/>
    <w:rsid w:val="682EAB72"/>
    <w:rsid w:val="682FFDD5"/>
    <w:rsid w:val="68349D9D"/>
    <w:rsid w:val="6837A085"/>
    <w:rsid w:val="6838D5AF"/>
    <w:rsid w:val="683C8C2D"/>
    <w:rsid w:val="683D8068"/>
    <w:rsid w:val="6841B328"/>
    <w:rsid w:val="6842BCCC"/>
    <w:rsid w:val="6843650D"/>
    <w:rsid w:val="6847449E"/>
    <w:rsid w:val="6847A5E4"/>
    <w:rsid w:val="6849AF2D"/>
    <w:rsid w:val="684B6B5D"/>
    <w:rsid w:val="684C3E39"/>
    <w:rsid w:val="684EE72C"/>
    <w:rsid w:val="685E0FF2"/>
    <w:rsid w:val="685EEF91"/>
    <w:rsid w:val="68641E68"/>
    <w:rsid w:val="68684C6F"/>
    <w:rsid w:val="68698BC5"/>
    <w:rsid w:val="686AB534"/>
    <w:rsid w:val="686C42F6"/>
    <w:rsid w:val="6877CB59"/>
    <w:rsid w:val="687F5B4F"/>
    <w:rsid w:val="687F762F"/>
    <w:rsid w:val="68893D94"/>
    <w:rsid w:val="688DEB5B"/>
    <w:rsid w:val="6890A0C1"/>
    <w:rsid w:val="6892390E"/>
    <w:rsid w:val="689296D0"/>
    <w:rsid w:val="6893C3C9"/>
    <w:rsid w:val="689472B8"/>
    <w:rsid w:val="689908B2"/>
    <w:rsid w:val="689B9347"/>
    <w:rsid w:val="68A49D13"/>
    <w:rsid w:val="68A648ED"/>
    <w:rsid w:val="68A7E373"/>
    <w:rsid w:val="68AF24DA"/>
    <w:rsid w:val="68AFB059"/>
    <w:rsid w:val="68B00215"/>
    <w:rsid w:val="68B467FD"/>
    <w:rsid w:val="68B9EBB3"/>
    <w:rsid w:val="68BA3E37"/>
    <w:rsid w:val="68C15BB8"/>
    <w:rsid w:val="68C223FE"/>
    <w:rsid w:val="68C693E8"/>
    <w:rsid w:val="68C79CC5"/>
    <w:rsid w:val="68C8E84F"/>
    <w:rsid w:val="68C917CF"/>
    <w:rsid w:val="68CD038D"/>
    <w:rsid w:val="68CEE385"/>
    <w:rsid w:val="68D342F4"/>
    <w:rsid w:val="68D39C16"/>
    <w:rsid w:val="68D43B69"/>
    <w:rsid w:val="68D6F565"/>
    <w:rsid w:val="68E6F830"/>
    <w:rsid w:val="68E91A93"/>
    <w:rsid w:val="68E97F7E"/>
    <w:rsid w:val="68EB0549"/>
    <w:rsid w:val="68F18F31"/>
    <w:rsid w:val="68F838CD"/>
    <w:rsid w:val="68FD901B"/>
    <w:rsid w:val="6901D0F4"/>
    <w:rsid w:val="690315E3"/>
    <w:rsid w:val="6906D238"/>
    <w:rsid w:val="69072360"/>
    <w:rsid w:val="690D1407"/>
    <w:rsid w:val="690E0F3C"/>
    <w:rsid w:val="690E60F3"/>
    <w:rsid w:val="690F98DF"/>
    <w:rsid w:val="691230CE"/>
    <w:rsid w:val="6912C5A3"/>
    <w:rsid w:val="69154CE9"/>
    <w:rsid w:val="69172A05"/>
    <w:rsid w:val="6918D0CD"/>
    <w:rsid w:val="691BB1B9"/>
    <w:rsid w:val="691BF8FA"/>
    <w:rsid w:val="691EBD88"/>
    <w:rsid w:val="691F9B99"/>
    <w:rsid w:val="69233B30"/>
    <w:rsid w:val="6923E60D"/>
    <w:rsid w:val="692EC041"/>
    <w:rsid w:val="6938AA2C"/>
    <w:rsid w:val="693DE8FF"/>
    <w:rsid w:val="69416626"/>
    <w:rsid w:val="694E6AC1"/>
    <w:rsid w:val="694EC7DE"/>
    <w:rsid w:val="695046E6"/>
    <w:rsid w:val="695433F6"/>
    <w:rsid w:val="69545B0B"/>
    <w:rsid w:val="695757C0"/>
    <w:rsid w:val="6958AEB1"/>
    <w:rsid w:val="69591646"/>
    <w:rsid w:val="695A0CAD"/>
    <w:rsid w:val="695AEBE1"/>
    <w:rsid w:val="695EAED1"/>
    <w:rsid w:val="696084E9"/>
    <w:rsid w:val="696150D9"/>
    <w:rsid w:val="69644F40"/>
    <w:rsid w:val="6965620A"/>
    <w:rsid w:val="696B8CB2"/>
    <w:rsid w:val="696B9F85"/>
    <w:rsid w:val="696DE7B3"/>
    <w:rsid w:val="697931DA"/>
    <w:rsid w:val="697DE25A"/>
    <w:rsid w:val="697EE022"/>
    <w:rsid w:val="6980CA47"/>
    <w:rsid w:val="69817C6A"/>
    <w:rsid w:val="69874970"/>
    <w:rsid w:val="69885476"/>
    <w:rsid w:val="698C8A5B"/>
    <w:rsid w:val="6991A4CD"/>
    <w:rsid w:val="69952FFC"/>
    <w:rsid w:val="69953301"/>
    <w:rsid w:val="69967247"/>
    <w:rsid w:val="6999FDB2"/>
    <w:rsid w:val="69A6D3DA"/>
    <w:rsid w:val="69A968A2"/>
    <w:rsid w:val="69AAC76C"/>
    <w:rsid w:val="69AC5577"/>
    <w:rsid w:val="69B0A303"/>
    <w:rsid w:val="69B2B280"/>
    <w:rsid w:val="69B2C0AA"/>
    <w:rsid w:val="69B78F90"/>
    <w:rsid w:val="69B810DA"/>
    <w:rsid w:val="69B845FE"/>
    <w:rsid w:val="69BC21B3"/>
    <w:rsid w:val="69C4566D"/>
    <w:rsid w:val="69C6D913"/>
    <w:rsid w:val="69CED001"/>
    <w:rsid w:val="69DC3D5F"/>
    <w:rsid w:val="69DC5768"/>
    <w:rsid w:val="69DCE246"/>
    <w:rsid w:val="69DDEA77"/>
    <w:rsid w:val="69DE5B3A"/>
    <w:rsid w:val="69E02C54"/>
    <w:rsid w:val="69E21E0E"/>
    <w:rsid w:val="69E2FF7F"/>
    <w:rsid w:val="69E50C75"/>
    <w:rsid w:val="69E7FE11"/>
    <w:rsid w:val="69F2419D"/>
    <w:rsid w:val="69F4CF23"/>
    <w:rsid w:val="69F5A09A"/>
    <w:rsid w:val="69FC81CB"/>
    <w:rsid w:val="69FF0BCF"/>
    <w:rsid w:val="6A0091A4"/>
    <w:rsid w:val="6A03FB51"/>
    <w:rsid w:val="6A042AF8"/>
    <w:rsid w:val="6A074358"/>
    <w:rsid w:val="6A0948D5"/>
    <w:rsid w:val="6A0B3A25"/>
    <w:rsid w:val="6A0C9FE8"/>
    <w:rsid w:val="6A0DDBA3"/>
    <w:rsid w:val="6A10669D"/>
    <w:rsid w:val="6A135158"/>
    <w:rsid w:val="6A1488C4"/>
    <w:rsid w:val="6A1650D5"/>
    <w:rsid w:val="6A17CB39"/>
    <w:rsid w:val="6A239E88"/>
    <w:rsid w:val="6A23E178"/>
    <w:rsid w:val="6A2813C2"/>
    <w:rsid w:val="6A2D3A19"/>
    <w:rsid w:val="6A30DCCC"/>
    <w:rsid w:val="6A31904B"/>
    <w:rsid w:val="6A36BCF2"/>
    <w:rsid w:val="6A389CC3"/>
    <w:rsid w:val="6A3D7A23"/>
    <w:rsid w:val="6A425B01"/>
    <w:rsid w:val="6A4274EB"/>
    <w:rsid w:val="6A4461FC"/>
    <w:rsid w:val="6A5C8B93"/>
    <w:rsid w:val="6A5D6FB9"/>
    <w:rsid w:val="6A603F9F"/>
    <w:rsid w:val="6A626998"/>
    <w:rsid w:val="6A66CBBD"/>
    <w:rsid w:val="6A677DCB"/>
    <w:rsid w:val="6A68BD53"/>
    <w:rsid w:val="6A6AA814"/>
    <w:rsid w:val="6A6CDE15"/>
    <w:rsid w:val="6A6E46FE"/>
    <w:rsid w:val="6A6E90F5"/>
    <w:rsid w:val="6A7E13F0"/>
    <w:rsid w:val="6A811025"/>
    <w:rsid w:val="6A829832"/>
    <w:rsid w:val="6A82C891"/>
    <w:rsid w:val="6A83B31B"/>
    <w:rsid w:val="6A84DCD7"/>
    <w:rsid w:val="6A87F79F"/>
    <w:rsid w:val="6A8B71E9"/>
    <w:rsid w:val="6A8B93FB"/>
    <w:rsid w:val="6A90DE2B"/>
    <w:rsid w:val="6A94F8C3"/>
    <w:rsid w:val="6A95393F"/>
    <w:rsid w:val="6A95439D"/>
    <w:rsid w:val="6A977D9E"/>
    <w:rsid w:val="6A9B4D49"/>
    <w:rsid w:val="6A9BC174"/>
    <w:rsid w:val="6A9D0D46"/>
    <w:rsid w:val="6A9D8B2D"/>
    <w:rsid w:val="6A9DD55C"/>
    <w:rsid w:val="6AA15C4C"/>
    <w:rsid w:val="6AA4E873"/>
    <w:rsid w:val="6AA71462"/>
    <w:rsid w:val="6AA84E5E"/>
    <w:rsid w:val="6AA9C8D9"/>
    <w:rsid w:val="6AB11B31"/>
    <w:rsid w:val="6AB2C50D"/>
    <w:rsid w:val="6AB3CB3E"/>
    <w:rsid w:val="6AB928CD"/>
    <w:rsid w:val="6ABD3AED"/>
    <w:rsid w:val="6ABDF24D"/>
    <w:rsid w:val="6ABE2030"/>
    <w:rsid w:val="6ABEA936"/>
    <w:rsid w:val="6AC031A2"/>
    <w:rsid w:val="6AC07FD2"/>
    <w:rsid w:val="6AC7A50A"/>
    <w:rsid w:val="6ACC1318"/>
    <w:rsid w:val="6ACC2188"/>
    <w:rsid w:val="6ACD05B8"/>
    <w:rsid w:val="6ACE4EF2"/>
    <w:rsid w:val="6AD321E7"/>
    <w:rsid w:val="6ADB0388"/>
    <w:rsid w:val="6ADBA6BF"/>
    <w:rsid w:val="6ADF4CF8"/>
    <w:rsid w:val="6AE3EC7A"/>
    <w:rsid w:val="6AE878DD"/>
    <w:rsid w:val="6AECA6C8"/>
    <w:rsid w:val="6AEE2139"/>
    <w:rsid w:val="6AF06DE6"/>
    <w:rsid w:val="6AF24080"/>
    <w:rsid w:val="6AF753E8"/>
    <w:rsid w:val="6AFBD463"/>
    <w:rsid w:val="6AFCBB81"/>
    <w:rsid w:val="6AFD6981"/>
    <w:rsid w:val="6B00BAA2"/>
    <w:rsid w:val="6B05A18D"/>
    <w:rsid w:val="6B06ABF4"/>
    <w:rsid w:val="6B090F21"/>
    <w:rsid w:val="6B123D9C"/>
    <w:rsid w:val="6B1B60F3"/>
    <w:rsid w:val="6B1C004D"/>
    <w:rsid w:val="6B218A60"/>
    <w:rsid w:val="6B23B50F"/>
    <w:rsid w:val="6B25E4A4"/>
    <w:rsid w:val="6B29322F"/>
    <w:rsid w:val="6B2AF018"/>
    <w:rsid w:val="6B344720"/>
    <w:rsid w:val="6B352E21"/>
    <w:rsid w:val="6B365F71"/>
    <w:rsid w:val="6B3BCA29"/>
    <w:rsid w:val="6B3CC9B0"/>
    <w:rsid w:val="6B40F7C7"/>
    <w:rsid w:val="6B41E517"/>
    <w:rsid w:val="6B42A43B"/>
    <w:rsid w:val="6B4940E6"/>
    <w:rsid w:val="6B49DFBC"/>
    <w:rsid w:val="6B4E910B"/>
    <w:rsid w:val="6B507EC8"/>
    <w:rsid w:val="6B50D8FC"/>
    <w:rsid w:val="6B511E7E"/>
    <w:rsid w:val="6B51EA11"/>
    <w:rsid w:val="6B5396A1"/>
    <w:rsid w:val="6B543D11"/>
    <w:rsid w:val="6B54755E"/>
    <w:rsid w:val="6B563945"/>
    <w:rsid w:val="6B5C62E8"/>
    <w:rsid w:val="6B5CDA07"/>
    <w:rsid w:val="6B5DE6B3"/>
    <w:rsid w:val="6B60A484"/>
    <w:rsid w:val="6B60C7FC"/>
    <w:rsid w:val="6B616EBC"/>
    <w:rsid w:val="6B65CB12"/>
    <w:rsid w:val="6B66401E"/>
    <w:rsid w:val="6B6A6AB4"/>
    <w:rsid w:val="6B6CE972"/>
    <w:rsid w:val="6B6E99A9"/>
    <w:rsid w:val="6B73CF08"/>
    <w:rsid w:val="6B76BB4F"/>
    <w:rsid w:val="6B78CA4F"/>
    <w:rsid w:val="6B7D7663"/>
    <w:rsid w:val="6B7E1C17"/>
    <w:rsid w:val="6B832749"/>
    <w:rsid w:val="6B86220F"/>
    <w:rsid w:val="6B9C73A1"/>
    <w:rsid w:val="6B9D3164"/>
    <w:rsid w:val="6BA198D8"/>
    <w:rsid w:val="6BA45978"/>
    <w:rsid w:val="6BA55EA2"/>
    <w:rsid w:val="6BA79819"/>
    <w:rsid w:val="6BA89067"/>
    <w:rsid w:val="6BAA0CAF"/>
    <w:rsid w:val="6BABD191"/>
    <w:rsid w:val="6BAF1E3E"/>
    <w:rsid w:val="6BB13163"/>
    <w:rsid w:val="6BB1BD5A"/>
    <w:rsid w:val="6BB1F2C8"/>
    <w:rsid w:val="6BB3E58B"/>
    <w:rsid w:val="6BB9BD5D"/>
    <w:rsid w:val="6BBCE1BC"/>
    <w:rsid w:val="6BBE278B"/>
    <w:rsid w:val="6BC0AABC"/>
    <w:rsid w:val="6BC0D5BD"/>
    <w:rsid w:val="6BC57A59"/>
    <w:rsid w:val="6BC59901"/>
    <w:rsid w:val="6BC920CF"/>
    <w:rsid w:val="6BCBB4B2"/>
    <w:rsid w:val="6BCD7F74"/>
    <w:rsid w:val="6BCE0AFB"/>
    <w:rsid w:val="6BCEE9EE"/>
    <w:rsid w:val="6BD38C6A"/>
    <w:rsid w:val="6BD5318F"/>
    <w:rsid w:val="6BD80EAA"/>
    <w:rsid w:val="6BDB9DC3"/>
    <w:rsid w:val="6BDD4A46"/>
    <w:rsid w:val="6BDE196A"/>
    <w:rsid w:val="6BDE3F45"/>
    <w:rsid w:val="6BDE69AD"/>
    <w:rsid w:val="6BDEA3D6"/>
    <w:rsid w:val="6BDFDB75"/>
    <w:rsid w:val="6BE9D3AC"/>
    <w:rsid w:val="6BEBB92E"/>
    <w:rsid w:val="6BED0BDC"/>
    <w:rsid w:val="6BED50E3"/>
    <w:rsid w:val="6BEEF297"/>
    <w:rsid w:val="6BFAA94A"/>
    <w:rsid w:val="6BFD6D7E"/>
    <w:rsid w:val="6C0402EA"/>
    <w:rsid w:val="6C09D273"/>
    <w:rsid w:val="6C0DE4C6"/>
    <w:rsid w:val="6C0EE0E3"/>
    <w:rsid w:val="6C1AA6F8"/>
    <w:rsid w:val="6C1B8C0A"/>
    <w:rsid w:val="6C1C1512"/>
    <w:rsid w:val="6C1D8724"/>
    <w:rsid w:val="6C223F6B"/>
    <w:rsid w:val="6C2836F8"/>
    <w:rsid w:val="6C2E7751"/>
    <w:rsid w:val="6C2F1173"/>
    <w:rsid w:val="6C30E451"/>
    <w:rsid w:val="6C3175AB"/>
    <w:rsid w:val="6C38669F"/>
    <w:rsid w:val="6C3C959E"/>
    <w:rsid w:val="6C492B74"/>
    <w:rsid w:val="6C497F08"/>
    <w:rsid w:val="6C4F02D7"/>
    <w:rsid w:val="6C4F0DA4"/>
    <w:rsid w:val="6C509E15"/>
    <w:rsid w:val="6C51828C"/>
    <w:rsid w:val="6C532F2B"/>
    <w:rsid w:val="6C5B63B1"/>
    <w:rsid w:val="6C5F9BE8"/>
    <w:rsid w:val="6C600DC0"/>
    <w:rsid w:val="6C61B731"/>
    <w:rsid w:val="6C6266A3"/>
    <w:rsid w:val="6C631A69"/>
    <w:rsid w:val="6C699C71"/>
    <w:rsid w:val="6C69A659"/>
    <w:rsid w:val="6C6A4F57"/>
    <w:rsid w:val="6C6D5FDB"/>
    <w:rsid w:val="6C6EB3DA"/>
    <w:rsid w:val="6C7327AE"/>
    <w:rsid w:val="6C74DC2E"/>
    <w:rsid w:val="6C75ACCD"/>
    <w:rsid w:val="6C808787"/>
    <w:rsid w:val="6C86E5E6"/>
    <w:rsid w:val="6C8B5369"/>
    <w:rsid w:val="6C8C04E7"/>
    <w:rsid w:val="6C8C5C2A"/>
    <w:rsid w:val="6C9201CC"/>
    <w:rsid w:val="6C920B09"/>
    <w:rsid w:val="6C93FC5F"/>
    <w:rsid w:val="6C972A2A"/>
    <w:rsid w:val="6C9D7B27"/>
    <w:rsid w:val="6C9DBFFE"/>
    <w:rsid w:val="6C9EBF7E"/>
    <w:rsid w:val="6CA1330F"/>
    <w:rsid w:val="6CA40D25"/>
    <w:rsid w:val="6CA442BD"/>
    <w:rsid w:val="6CA4F640"/>
    <w:rsid w:val="6CA54A91"/>
    <w:rsid w:val="6CA7FE2B"/>
    <w:rsid w:val="6CA83C86"/>
    <w:rsid w:val="6CB2DBBC"/>
    <w:rsid w:val="6CB3D94A"/>
    <w:rsid w:val="6CB8B104"/>
    <w:rsid w:val="6CBB67E2"/>
    <w:rsid w:val="6CC5C90E"/>
    <w:rsid w:val="6CCB2073"/>
    <w:rsid w:val="6CD3C7AC"/>
    <w:rsid w:val="6CD60CCF"/>
    <w:rsid w:val="6CD9FD40"/>
    <w:rsid w:val="6CDBFD9C"/>
    <w:rsid w:val="6CDFE67A"/>
    <w:rsid w:val="6CE1587F"/>
    <w:rsid w:val="6CE1BB09"/>
    <w:rsid w:val="6CE6E465"/>
    <w:rsid w:val="6CE799BC"/>
    <w:rsid w:val="6CF10EC9"/>
    <w:rsid w:val="6D00B590"/>
    <w:rsid w:val="6D0CD6C4"/>
    <w:rsid w:val="6D0E806C"/>
    <w:rsid w:val="6D0F9F69"/>
    <w:rsid w:val="6D122FE0"/>
    <w:rsid w:val="6D1260E5"/>
    <w:rsid w:val="6D152555"/>
    <w:rsid w:val="6D1949A2"/>
    <w:rsid w:val="6D1CBA01"/>
    <w:rsid w:val="6D200498"/>
    <w:rsid w:val="6D21DA6E"/>
    <w:rsid w:val="6D2494CC"/>
    <w:rsid w:val="6D2711B0"/>
    <w:rsid w:val="6D273800"/>
    <w:rsid w:val="6D2B6174"/>
    <w:rsid w:val="6D2BD8FE"/>
    <w:rsid w:val="6D2E0055"/>
    <w:rsid w:val="6D2F0659"/>
    <w:rsid w:val="6D2F7D64"/>
    <w:rsid w:val="6D2F9938"/>
    <w:rsid w:val="6D388FF6"/>
    <w:rsid w:val="6D3CAEA0"/>
    <w:rsid w:val="6D3D18B1"/>
    <w:rsid w:val="6D4CA514"/>
    <w:rsid w:val="6D4EB269"/>
    <w:rsid w:val="6D595E6B"/>
    <w:rsid w:val="6D5BB518"/>
    <w:rsid w:val="6D61014B"/>
    <w:rsid w:val="6D635F4C"/>
    <w:rsid w:val="6D6822D4"/>
    <w:rsid w:val="6D69EC02"/>
    <w:rsid w:val="6D6F21DC"/>
    <w:rsid w:val="6D6F26A0"/>
    <w:rsid w:val="6D71B0B6"/>
    <w:rsid w:val="6D72D6C3"/>
    <w:rsid w:val="6D76EA10"/>
    <w:rsid w:val="6D7B4C9B"/>
    <w:rsid w:val="6D7C81A7"/>
    <w:rsid w:val="6D8D28B7"/>
    <w:rsid w:val="6D8E6F90"/>
    <w:rsid w:val="6D8F41B4"/>
    <w:rsid w:val="6D9073D2"/>
    <w:rsid w:val="6D914AB4"/>
    <w:rsid w:val="6D920970"/>
    <w:rsid w:val="6D92C30A"/>
    <w:rsid w:val="6D965A72"/>
    <w:rsid w:val="6D982A56"/>
    <w:rsid w:val="6D98AE36"/>
    <w:rsid w:val="6DA5ABFD"/>
    <w:rsid w:val="6DA636EC"/>
    <w:rsid w:val="6DA7D457"/>
    <w:rsid w:val="6DAA2198"/>
    <w:rsid w:val="6DAC77A5"/>
    <w:rsid w:val="6DACD10E"/>
    <w:rsid w:val="6DB07A88"/>
    <w:rsid w:val="6DB24AC9"/>
    <w:rsid w:val="6DB2E9DB"/>
    <w:rsid w:val="6DB86406"/>
    <w:rsid w:val="6DC0A6C8"/>
    <w:rsid w:val="6DC0F01E"/>
    <w:rsid w:val="6DC85DA3"/>
    <w:rsid w:val="6DD22A46"/>
    <w:rsid w:val="6DD3CF9F"/>
    <w:rsid w:val="6DD79B03"/>
    <w:rsid w:val="6DDB40DF"/>
    <w:rsid w:val="6DE453E6"/>
    <w:rsid w:val="6DE46F8C"/>
    <w:rsid w:val="6DE90C77"/>
    <w:rsid w:val="6DE98722"/>
    <w:rsid w:val="6DEAF3A5"/>
    <w:rsid w:val="6DF25B7B"/>
    <w:rsid w:val="6DF6B9FD"/>
    <w:rsid w:val="6DF832C6"/>
    <w:rsid w:val="6DF98E1A"/>
    <w:rsid w:val="6DFB8AD7"/>
    <w:rsid w:val="6DFB8CB4"/>
    <w:rsid w:val="6DFEE207"/>
    <w:rsid w:val="6DFF9FDF"/>
    <w:rsid w:val="6DFFCC19"/>
    <w:rsid w:val="6E032BB6"/>
    <w:rsid w:val="6E03874A"/>
    <w:rsid w:val="6E03D189"/>
    <w:rsid w:val="6E04516E"/>
    <w:rsid w:val="6E04E181"/>
    <w:rsid w:val="6E0920FF"/>
    <w:rsid w:val="6E09E62C"/>
    <w:rsid w:val="6E18048E"/>
    <w:rsid w:val="6E18EFB8"/>
    <w:rsid w:val="6E1EFCB9"/>
    <w:rsid w:val="6E1EFD9F"/>
    <w:rsid w:val="6E239184"/>
    <w:rsid w:val="6E2DB243"/>
    <w:rsid w:val="6E2DBE61"/>
    <w:rsid w:val="6E2FFB3B"/>
    <w:rsid w:val="6E32EA53"/>
    <w:rsid w:val="6E39E7A0"/>
    <w:rsid w:val="6E3A4571"/>
    <w:rsid w:val="6E48BB6A"/>
    <w:rsid w:val="6E49D534"/>
    <w:rsid w:val="6E4ABD65"/>
    <w:rsid w:val="6E4B6912"/>
    <w:rsid w:val="6E4D8F53"/>
    <w:rsid w:val="6E4F9781"/>
    <w:rsid w:val="6E52D4E9"/>
    <w:rsid w:val="6E5452A4"/>
    <w:rsid w:val="6E55B02E"/>
    <w:rsid w:val="6E5A5440"/>
    <w:rsid w:val="6E5B2D84"/>
    <w:rsid w:val="6E5B6B01"/>
    <w:rsid w:val="6E5DE4D4"/>
    <w:rsid w:val="6E6277A0"/>
    <w:rsid w:val="6E657C4A"/>
    <w:rsid w:val="6E65E9F5"/>
    <w:rsid w:val="6E66CB79"/>
    <w:rsid w:val="6E67E58B"/>
    <w:rsid w:val="6E6DB965"/>
    <w:rsid w:val="6E6FF41A"/>
    <w:rsid w:val="6E78AD3F"/>
    <w:rsid w:val="6E7C8BFF"/>
    <w:rsid w:val="6E7CD670"/>
    <w:rsid w:val="6E80B535"/>
    <w:rsid w:val="6E8411F3"/>
    <w:rsid w:val="6E8615F3"/>
    <w:rsid w:val="6E8A1B45"/>
    <w:rsid w:val="6E9924F5"/>
    <w:rsid w:val="6E9B3373"/>
    <w:rsid w:val="6E9DE4D4"/>
    <w:rsid w:val="6EA0BB36"/>
    <w:rsid w:val="6EA1CDCD"/>
    <w:rsid w:val="6EA4BCDA"/>
    <w:rsid w:val="6EAA7AC8"/>
    <w:rsid w:val="6EAB96F4"/>
    <w:rsid w:val="6EAFA582"/>
    <w:rsid w:val="6EB1D32C"/>
    <w:rsid w:val="6EB49355"/>
    <w:rsid w:val="6EB4B28E"/>
    <w:rsid w:val="6EBEF9F7"/>
    <w:rsid w:val="6EC0652D"/>
    <w:rsid w:val="6EC33F4D"/>
    <w:rsid w:val="6EC4340C"/>
    <w:rsid w:val="6ECE8B98"/>
    <w:rsid w:val="6ECF0FF2"/>
    <w:rsid w:val="6ED025BC"/>
    <w:rsid w:val="6ED05F6F"/>
    <w:rsid w:val="6ED11099"/>
    <w:rsid w:val="6EDA5C7A"/>
    <w:rsid w:val="6EDD37BA"/>
    <w:rsid w:val="6EDE485D"/>
    <w:rsid w:val="6EE0C697"/>
    <w:rsid w:val="6EE8A5E6"/>
    <w:rsid w:val="6EEE9045"/>
    <w:rsid w:val="6EEF698E"/>
    <w:rsid w:val="6EF22EEB"/>
    <w:rsid w:val="6EF6D92F"/>
    <w:rsid w:val="6EF7280A"/>
    <w:rsid w:val="6EF8883C"/>
    <w:rsid w:val="6EF89F97"/>
    <w:rsid w:val="6EF9A309"/>
    <w:rsid w:val="6EFA1F34"/>
    <w:rsid w:val="6EFAFE97"/>
    <w:rsid w:val="6EFDAFB1"/>
    <w:rsid w:val="6EFF08ED"/>
    <w:rsid w:val="6F0363AA"/>
    <w:rsid w:val="6F0455A5"/>
    <w:rsid w:val="6F056FD2"/>
    <w:rsid w:val="6F092FAF"/>
    <w:rsid w:val="6F09F661"/>
    <w:rsid w:val="6F110720"/>
    <w:rsid w:val="6F1295BB"/>
    <w:rsid w:val="6F16B0F6"/>
    <w:rsid w:val="6F1CBA8E"/>
    <w:rsid w:val="6F20E058"/>
    <w:rsid w:val="6F224503"/>
    <w:rsid w:val="6F2435AA"/>
    <w:rsid w:val="6F259BC7"/>
    <w:rsid w:val="6F2B17A2"/>
    <w:rsid w:val="6F32067E"/>
    <w:rsid w:val="6F369987"/>
    <w:rsid w:val="6F374A67"/>
    <w:rsid w:val="6F37B125"/>
    <w:rsid w:val="6F391619"/>
    <w:rsid w:val="6F39880F"/>
    <w:rsid w:val="6F3A6663"/>
    <w:rsid w:val="6F3F411E"/>
    <w:rsid w:val="6F4335CE"/>
    <w:rsid w:val="6F43E6B7"/>
    <w:rsid w:val="6F4651A5"/>
    <w:rsid w:val="6F4DBD3B"/>
    <w:rsid w:val="6F52AD33"/>
    <w:rsid w:val="6F52BB63"/>
    <w:rsid w:val="6F557C3E"/>
    <w:rsid w:val="6F5CD7B5"/>
    <w:rsid w:val="6F6010A6"/>
    <w:rsid w:val="6F60C4C8"/>
    <w:rsid w:val="6F61B378"/>
    <w:rsid w:val="6F62DDC2"/>
    <w:rsid w:val="6F6B607D"/>
    <w:rsid w:val="6F6CB747"/>
    <w:rsid w:val="6F6CB82E"/>
    <w:rsid w:val="6F6D67E5"/>
    <w:rsid w:val="6F757A19"/>
    <w:rsid w:val="6F770E7C"/>
    <w:rsid w:val="6F7B03E0"/>
    <w:rsid w:val="6F7B070B"/>
    <w:rsid w:val="6F7D622E"/>
    <w:rsid w:val="6F7E4996"/>
    <w:rsid w:val="6F7F2A17"/>
    <w:rsid w:val="6F7FD028"/>
    <w:rsid w:val="6F84852A"/>
    <w:rsid w:val="6F862316"/>
    <w:rsid w:val="6F8C5F4F"/>
    <w:rsid w:val="6F916A34"/>
    <w:rsid w:val="6F942DEB"/>
    <w:rsid w:val="6F95CF4F"/>
    <w:rsid w:val="6F9776FC"/>
    <w:rsid w:val="6F97E8AF"/>
    <w:rsid w:val="6F9846DE"/>
    <w:rsid w:val="6F9D5F49"/>
    <w:rsid w:val="6FA497F7"/>
    <w:rsid w:val="6FA6A545"/>
    <w:rsid w:val="6FA86610"/>
    <w:rsid w:val="6FAAC900"/>
    <w:rsid w:val="6FABE3C0"/>
    <w:rsid w:val="6FAD2BF1"/>
    <w:rsid w:val="6FAE39B3"/>
    <w:rsid w:val="6FB7A212"/>
    <w:rsid w:val="6FBAEABE"/>
    <w:rsid w:val="6FBFB5E3"/>
    <w:rsid w:val="6FC4F125"/>
    <w:rsid w:val="6FC7D152"/>
    <w:rsid w:val="6FC95445"/>
    <w:rsid w:val="6FC97BEC"/>
    <w:rsid w:val="6FD3B3C7"/>
    <w:rsid w:val="6FD47560"/>
    <w:rsid w:val="6FD6E0D5"/>
    <w:rsid w:val="6FDC8677"/>
    <w:rsid w:val="6FDCA371"/>
    <w:rsid w:val="6FDE1982"/>
    <w:rsid w:val="6FDEE627"/>
    <w:rsid w:val="6FE28AEB"/>
    <w:rsid w:val="6FED9FD7"/>
    <w:rsid w:val="6FF2599F"/>
    <w:rsid w:val="6FF3EB3C"/>
    <w:rsid w:val="6FF7B99A"/>
    <w:rsid w:val="6FF7DA79"/>
    <w:rsid w:val="6FFDCDF7"/>
    <w:rsid w:val="7001315E"/>
    <w:rsid w:val="700616C1"/>
    <w:rsid w:val="7007E133"/>
    <w:rsid w:val="7007E51B"/>
    <w:rsid w:val="700CF5B2"/>
    <w:rsid w:val="701178A4"/>
    <w:rsid w:val="70123F7D"/>
    <w:rsid w:val="7012F9B0"/>
    <w:rsid w:val="7015855C"/>
    <w:rsid w:val="7018B6B2"/>
    <w:rsid w:val="7019C1C9"/>
    <w:rsid w:val="701ADF02"/>
    <w:rsid w:val="7025DCC7"/>
    <w:rsid w:val="702AEB69"/>
    <w:rsid w:val="702BCBAC"/>
    <w:rsid w:val="702C2FDF"/>
    <w:rsid w:val="70306BEA"/>
    <w:rsid w:val="70378954"/>
    <w:rsid w:val="70380165"/>
    <w:rsid w:val="7039EC74"/>
    <w:rsid w:val="703A039D"/>
    <w:rsid w:val="703AB2F6"/>
    <w:rsid w:val="703CBE22"/>
    <w:rsid w:val="703EEBEC"/>
    <w:rsid w:val="7040BE9C"/>
    <w:rsid w:val="7041C8B5"/>
    <w:rsid w:val="7048DAD8"/>
    <w:rsid w:val="7049875A"/>
    <w:rsid w:val="704B37F7"/>
    <w:rsid w:val="704B8084"/>
    <w:rsid w:val="70519696"/>
    <w:rsid w:val="705B4354"/>
    <w:rsid w:val="705FEF56"/>
    <w:rsid w:val="7063AA2B"/>
    <w:rsid w:val="7065151A"/>
    <w:rsid w:val="7066A967"/>
    <w:rsid w:val="7068A756"/>
    <w:rsid w:val="7069C4ED"/>
    <w:rsid w:val="706A1D57"/>
    <w:rsid w:val="706D2E13"/>
    <w:rsid w:val="706E9EF9"/>
    <w:rsid w:val="706FE4E9"/>
    <w:rsid w:val="7071C4BA"/>
    <w:rsid w:val="7071D69D"/>
    <w:rsid w:val="7071FA31"/>
    <w:rsid w:val="707384EC"/>
    <w:rsid w:val="707806D7"/>
    <w:rsid w:val="7079292B"/>
    <w:rsid w:val="707B2EBB"/>
    <w:rsid w:val="707F6100"/>
    <w:rsid w:val="707FEB3F"/>
    <w:rsid w:val="70834E17"/>
    <w:rsid w:val="7086B3A1"/>
    <w:rsid w:val="7090CB3D"/>
    <w:rsid w:val="709214B6"/>
    <w:rsid w:val="70931106"/>
    <w:rsid w:val="70942811"/>
    <w:rsid w:val="70997EC2"/>
    <w:rsid w:val="709A0064"/>
    <w:rsid w:val="70A09AB3"/>
    <w:rsid w:val="70A0FEF6"/>
    <w:rsid w:val="70A36185"/>
    <w:rsid w:val="70A39F31"/>
    <w:rsid w:val="70A49C08"/>
    <w:rsid w:val="70AD5412"/>
    <w:rsid w:val="70AE5031"/>
    <w:rsid w:val="70AF05BC"/>
    <w:rsid w:val="70B79022"/>
    <w:rsid w:val="70BA0507"/>
    <w:rsid w:val="70BEA89B"/>
    <w:rsid w:val="70C7B177"/>
    <w:rsid w:val="70C7CD88"/>
    <w:rsid w:val="70C8D1B1"/>
    <w:rsid w:val="70CBAA8D"/>
    <w:rsid w:val="70CC736E"/>
    <w:rsid w:val="70CF1E88"/>
    <w:rsid w:val="70CF88D4"/>
    <w:rsid w:val="70D264C6"/>
    <w:rsid w:val="70D44D54"/>
    <w:rsid w:val="70E1157E"/>
    <w:rsid w:val="70E52E25"/>
    <w:rsid w:val="70EA7CD8"/>
    <w:rsid w:val="70EAE450"/>
    <w:rsid w:val="70F16EA1"/>
    <w:rsid w:val="70F3F3D2"/>
    <w:rsid w:val="70F4A550"/>
    <w:rsid w:val="70F9CF1C"/>
    <w:rsid w:val="70FB24B0"/>
    <w:rsid w:val="71030472"/>
    <w:rsid w:val="71068E75"/>
    <w:rsid w:val="71095704"/>
    <w:rsid w:val="710F9C44"/>
    <w:rsid w:val="710FA77D"/>
    <w:rsid w:val="71104262"/>
    <w:rsid w:val="7117F71F"/>
    <w:rsid w:val="7119E1F1"/>
    <w:rsid w:val="71216F68"/>
    <w:rsid w:val="71219982"/>
    <w:rsid w:val="7122102A"/>
    <w:rsid w:val="7123E4E4"/>
    <w:rsid w:val="71277A8E"/>
    <w:rsid w:val="71303A8D"/>
    <w:rsid w:val="71305EBE"/>
    <w:rsid w:val="71315EE3"/>
    <w:rsid w:val="713323EE"/>
    <w:rsid w:val="713776F0"/>
    <w:rsid w:val="713840DD"/>
    <w:rsid w:val="7139D85C"/>
    <w:rsid w:val="713A029D"/>
    <w:rsid w:val="713A85E1"/>
    <w:rsid w:val="713B2642"/>
    <w:rsid w:val="713E8A45"/>
    <w:rsid w:val="7149B044"/>
    <w:rsid w:val="7149BFF4"/>
    <w:rsid w:val="714A0150"/>
    <w:rsid w:val="7153835D"/>
    <w:rsid w:val="7157826B"/>
    <w:rsid w:val="715AC4F0"/>
    <w:rsid w:val="715C8745"/>
    <w:rsid w:val="7163BBF5"/>
    <w:rsid w:val="71678C47"/>
    <w:rsid w:val="716B8ADE"/>
    <w:rsid w:val="716D8E85"/>
    <w:rsid w:val="7171678E"/>
    <w:rsid w:val="717352B5"/>
    <w:rsid w:val="7173B156"/>
    <w:rsid w:val="7173D6BF"/>
    <w:rsid w:val="7174160C"/>
    <w:rsid w:val="71753AC8"/>
    <w:rsid w:val="717CF075"/>
    <w:rsid w:val="717CF406"/>
    <w:rsid w:val="717D7737"/>
    <w:rsid w:val="71842C41"/>
    <w:rsid w:val="718D1D81"/>
    <w:rsid w:val="7191DEAD"/>
    <w:rsid w:val="71939B68"/>
    <w:rsid w:val="71945C51"/>
    <w:rsid w:val="7194CCE6"/>
    <w:rsid w:val="71952AB3"/>
    <w:rsid w:val="719A4F2C"/>
    <w:rsid w:val="71A5D2F6"/>
    <w:rsid w:val="71A9F5A8"/>
    <w:rsid w:val="71AB18A8"/>
    <w:rsid w:val="71AFC8EE"/>
    <w:rsid w:val="71B14DC5"/>
    <w:rsid w:val="71B4183D"/>
    <w:rsid w:val="71B5CE01"/>
    <w:rsid w:val="71B6BB95"/>
    <w:rsid w:val="71B833B0"/>
    <w:rsid w:val="71BCB6DE"/>
    <w:rsid w:val="71C29B40"/>
    <w:rsid w:val="71C39205"/>
    <w:rsid w:val="71C471BA"/>
    <w:rsid w:val="71C62518"/>
    <w:rsid w:val="71C6B426"/>
    <w:rsid w:val="71C75A51"/>
    <w:rsid w:val="71C9AA0D"/>
    <w:rsid w:val="71C9E439"/>
    <w:rsid w:val="71CDEC8F"/>
    <w:rsid w:val="71CEA7FB"/>
    <w:rsid w:val="71CEEBFB"/>
    <w:rsid w:val="71CF5C33"/>
    <w:rsid w:val="71D2A87E"/>
    <w:rsid w:val="71D3321C"/>
    <w:rsid w:val="71D5D3DE"/>
    <w:rsid w:val="71D78023"/>
    <w:rsid w:val="71D7AD18"/>
    <w:rsid w:val="71DEEC20"/>
    <w:rsid w:val="71DF73A6"/>
    <w:rsid w:val="71E07FCA"/>
    <w:rsid w:val="71E2E3A4"/>
    <w:rsid w:val="71EBAA81"/>
    <w:rsid w:val="71ED6C3C"/>
    <w:rsid w:val="71EEAB08"/>
    <w:rsid w:val="71FB14A6"/>
    <w:rsid w:val="71FD0C37"/>
    <w:rsid w:val="71FEDC85"/>
    <w:rsid w:val="71FF1EEA"/>
    <w:rsid w:val="72009375"/>
    <w:rsid w:val="72027957"/>
    <w:rsid w:val="720A403E"/>
    <w:rsid w:val="720E05BF"/>
    <w:rsid w:val="720F9470"/>
    <w:rsid w:val="7212269A"/>
    <w:rsid w:val="7212D339"/>
    <w:rsid w:val="721BDDB2"/>
    <w:rsid w:val="721E5904"/>
    <w:rsid w:val="721FA00C"/>
    <w:rsid w:val="721FDF1C"/>
    <w:rsid w:val="722023D7"/>
    <w:rsid w:val="7221FE38"/>
    <w:rsid w:val="72276182"/>
    <w:rsid w:val="7229CF44"/>
    <w:rsid w:val="722BA5BA"/>
    <w:rsid w:val="722E2370"/>
    <w:rsid w:val="72339AF5"/>
    <w:rsid w:val="72392684"/>
    <w:rsid w:val="723F4985"/>
    <w:rsid w:val="7244163D"/>
    <w:rsid w:val="72478B6D"/>
    <w:rsid w:val="724D09FC"/>
    <w:rsid w:val="724DF452"/>
    <w:rsid w:val="725A982B"/>
    <w:rsid w:val="725F0ABB"/>
    <w:rsid w:val="72619044"/>
    <w:rsid w:val="7261B6F1"/>
    <w:rsid w:val="7263F56E"/>
    <w:rsid w:val="7264AA0C"/>
    <w:rsid w:val="72659FC7"/>
    <w:rsid w:val="7267D4D3"/>
    <w:rsid w:val="7269419F"/>
    <w:rsid w:val="72697295"/>
    <w:rsid w:val="7269CC54"/>
    <w:rsid w:val="72706D8C"/>
    <w:rsid w:val="7272BA4C"/>
    <w:rsid w:val="7278D2F3"/>
    <w:rsid w:val="727A8F6A"/>
    <w:rsid w:val="727B71E8"/>
    <w:rsid w:val="727E33F1"/>
    <w:rsid w:val="727F2F0E"/>
    <w:rsid w:val="7285006D"/>
    <w:rsid w:val="728F2A0A"/>
    <w:rsid w:val="72905903"/>
    <w:rsid w:val="7291060C"/>
    <w:rsid w:val="729114A8"/>
    <w:rsid w:val="7293BAC0"/>
    <w:rsid w:val="729553E8"/>
    <w:rsid w:val="7298B042"/>
    <w:rsid w:val="729E3324"/>
    <w:rsid w:val="72A24DC0"/>
    <w:rsid w:val="72A6DAEB"/>
    <w:rsid w:val="72A71C8D"/>
    <w:rsid w:val="72A90E51"/>
    <w:rsid w:val="72AAA742"/>
    <w:rsid w:val="72ACF779"/>
    <w:rsid w:val="72AE4572"/>
    <w:rsid w:val="72B25A20"/>
    <w:rsid w:val="72B7DD8B"/>
    <w:rsid w:val="72B92884"/>
    <w:rsid w:val="72B96A57"/>
    <w:rsid w:val="72BBC533"/>
    <w:rsid w:val="72BC2647"/>
    <w:rsid w:val="72C0D224"/>
    <w:rsid w:val="72C69D0C"/>
    <w:rsid w:val="72CAB94C"/>
    <w:rsid w:val="72D01C06"/>
    <w:rsid w:val="72D1DAC9"/>
    <w:rsid w:val="72D39318"/>
    <w:rsid w:val="72D486E7"/>
    <w:rsid w:val="72DB29EB"/>
    <w:rsid w:val="72DF5E2D"/>
    <w:rsid w:val="72E001B1"/>
    <w:rsid w:val="72E5B31C"/>
    <w:rsid w:val="72EA4830"/>
    <w:rsid w:val="72EB64AB"/>
    <w:rsid w:val="72F38AC2"/>
    <w:rsid w:val="72F7EE86"/>
    <w:rsid w:val="72F923F4"/>
    <w:rsid w:val="72FB2147"/>
    <w:rsid w:val="72FE9498"/>
    <w:rsid w:val="72FF2B88"/>
    <w:rsid w:val="73000AF5"/>
    <w:rsid w:val="7302AFA9"/>
    <w:rsid w:val="73055201"/>
    <w:rsid w:val="7308B06E"/>
    <w:rsid w:val="7308B0D2"/>
    <w:rsid w:val="730B7790"/>
    <w:rsid w:val="730C73F2"/>
    <w:rsid w:val="731050B8"/>
    <w:rsid w:val="731D5DD8"/>
    <w:rsid w:val="731E7A71"/>
    <w:rsid w:val="731FBD4B"/>
    <w:rsid w:val="73208FAE"/>
    <w:rsid w:val="7321D32F"/>
    <w:rsid w:val="73222256"/>
    <w:rsid w:val="7325C07F"/>
    <w:rsid w:val="732B0D31"/>
    <w:rsid w:val="732EE7E6"/>
    <w:rsid w:val="73331BEF"/>
    <w:rsid w:val="733330F0"/>
    <w:rsid w:val="73333CF0"/>
    <w:rsid w:val="7336D4EB"/>
    <w:rsid w:val="7337B0F2"/>
    <w:rsid w:val="7338E89D"/>
    <w:rsid w:val="733C9563"/>
    <w:rsid w:val="733CE451"/>
    <w:rsid w:val="733E537E"/>
    <w:rsid w:val="733F1AB2"/>
    <w:rsid w:val="7342EBB3"/>
    <w:rsid w:val="73441410"/>
    <w:rsid w:val="7347616D"/>
    <w:rsid w:val="734915E6"/>
    <w:rsid w:val="73495BE5"/>
    <w:rsid w:val="7353B2E2"/>
    <w:rsid w:val="73540C62"/>
    <w:rsid w:val="73596938"/>
    <w:rsid w:val="735DC302"/>
    <w:rsid w:val="735DC6D9"/>
    <w:rsid w:val="73614092"/>
    <w:rsid w:val="736DA9A6"/>
    <w:rsid w:val="73739BFF"/>
    <w:rsid w:val="737A7387"/>
    <w:rsid w:val="7385E767"/>
    <w:rsid w:val="7391424A"/>
    <w:rsid w:val="73951547"/>
    <w:rsid w:val="7396E40A"/>
    <w:rsid w:val="739B5462"/>
    <w:rsid w:val="739CABAF"/>
    <w:rsid w:val="73A06E55"/>
    <w:rsid w:val="73A18268"/>
    <w:rsid w:val="73A3E8B0"/>
    <w:rsid w:val="73A69322"/>
    <w:rsid w:val="73A6E5BA"/>
    <w:rsid w:val="73AD9065"/>
    <w:rsid w:val="73B296AA"/>
    <w:rsid w:val="73B56060"/>
    <w:rsid w:val="73B6523C"/>
    <w:rsid w:val="73B831E8"/>
    <w:rsid w:val="73BC96BF"/>
    <w:rsid w:val="73C2E711"/>
    <w:rsid w:val="73C5CB9A"/>
    <w:rsid w:val="73CCDC0D"/>
    <w:rsid w:val="73CD7E01"/>
    <w:rsid w:val="73D0C634"/>
    <w:rsid w:val="73D15644"/>
    <w:rsid w:val="73D859DA"/>
    <w:rsid w:val="73DDC405"/>
    <w:rsid w:val="73EB1704"/>
    <w:rsid w:val="73F16A84"/>
    <w:rsid w:val="73F28F86"/>
    <w:rsid w:val="73FBF055"/>
    <w:rsid w:val="73FF17BE"/>
    <w:rsid w:val="7403095D"/>
    <w:rsid w:val="74065374"/>
    <w:rsid w:val="74099DE4"/>
    <w:rsid w:val="7409ADD1"/>
    <w:rsid w:val="740E0444"/>
    <w:rsid w:val="741303FF"/>
    <w:rsid w:val="74146566"/>
    <w:rsid w:val="7417FFBC"/>
    <w:rsid w:val="74198C75"/>
    <w:rsid w:val="741C236C"/>
    <w:rsid w:val="74261636"/>
    <w:rsid w:val="74266D17"/>
    <w:rsid w:val="7428D949"/>
    <w:rsid w:val="742E9F46"/>
    <w:rsid w:val="74342155"/>
    <w:rsid w:val="743442A0"/>
    <w:rsid w:val="743CD034"/>
    <w:rsid w:val="743D3BEE"/>
    <w:rsid w:val="7442AD48"/>
    <w:rsid w:val="7442C2BB"/>
    <w:rsid w:val="7443B10B"/>
    <w:rsid w:val="74460553"/>
    <w:rsid w:val="7448B35E"/>
    <w:rsid w:val="744FF22F"/>
    <w:rsid w:val="74540C4F"/>
    <w:rsid w:val="745674AB"/>
    <w:rsid w:val="7459ED3C"/>
    <w:rsid w:val="745CBC21"/>
    <w:rsid w:val="74650F24"/>
    <w:rsid w:val="74652F36"/>
    <w:rsid w:val="7465609D"/>
    <w:rsid w:val="74705EA2"/>
    <w:rsid w:val="74722F20"/>
    <w:rsid w:val="7473480E"/>
    <w:rsid w:val="74735778"/>
    <w:rsid w:val="74763F6B"/>
    <w:rsid w:val="74777B18"/>
    <w:rsid w:val="747A5DBB"/>
    <w:rsid w:val="747EA8F9"/>
    <w:rsid w:val="7481D401"/>
    <w:rsid w:val="74862292"/>
    <w:rsid w:val="748AA915"/>
    <w:rsid w:val="74965E17"/>
    <w:rsid w:val="7496F1A8"/>
    <w:rsid w:val="749718FD"/>
    <w:rsid w:val="749A93D1"/>
    <w:rsid w:val="749E50B9"/>
    <w:rsid w:val="74A001EF"/>
    <w:rsid w:val="74A248D3"/>
    <w:rsid w:val="74A890E6"/>
    <w:rsid w:val="74A938F1"/>
    <w:rsid w:val="74AAC545"/>
    <w:rsid w:val="74AAE964"/>
    <w:rsid w:val="74AC3937"/>
    <w:rsid w:val="74AC7FBE"/>
    <w:rsid w:val="74AF811F"/>
    <w:rsid w:val="74B1CDCF"/>
    <w:rsid w:val="74B72ABC"/>
    <w:rsid w:val="74B7DEDD"/>
    <w:rsid w:val="74BBD6E8"/>
    <w:rsid w:val="74BDA54E"/>
    <w:rsid w:val="74C10256"/>
    <w:rsid w:val="74C3F048"/>
    <w:rsid w:val="74C6CD3D"/>
    <w:rsid w:val="74C7050B"/>
    <w:rsid w:val="74CC39E4"/>
    <w:rsid w:val="74D29BA1"/>
    <w:rsid w:val="74D815B8"/>
    <w:rsid w:val="74D9EDE9"/>
    <w:rsid w:val="74D9FC01"/>
    <w:rsid w:val="74DA6974"/>
    <w:rsid w:val="74DD6C25"/>
    <w:rsid w:val="74DF2E75"/>
    <w:rsid w:val="74E7FA60"/>
    <w:rsid w:val="74E98E67"/>
    <w:rsid w:val="74ED2679"/>
    <w:rsid w:val="74EFB7AA"/>
    <w:rsid w:val="74F06A26"/>
    <w:rsid w:val="74F1B3CE"/>
    <w:rsid w:val="74F6B5A1"/>
    <w:rsid w:val="74F70A1A"/>
    <w:rsid w:val="74F97C4F"/>
    <w:rsid w:val="74FBEED1"/>
    <w:rsid w:val="74FC469E"/>
    <w:rsid w:val="750014B5"/>
    <w:rsid w:val="75001E41"/>
    <w:rsid w:val="7505F0CE"/>
    <w:rsid w:val="750DDE4A"/>
    <w:rsid w:val="750ED7E1"/>
    <w:rsid w:val="750F3323"/>
    <w:rsid w:val="7516D988"/>
    <w:rsid w:val="751C8BAF"/>
    <w:rsid w:val="7522EE61"/>
    <w:rsid w:val="752328E0"/>
    <w:rsid w:val="7524BBF5"/>
    <w:rsid w:val="75256B19"/>
    <w:rsid w:val="752755F8"/>
    <w:rsid w:val="752F6E26"/>
    <w:rsid w:val="75328F79"/>
    <w:rsid w:val="7535F7D2"/>
    <w:rsid w:val="75367536"/>
    <w:rsid w:val="7536E6B5"/>
    <w:rsid w:val="75398ADD"/>
    <w:rsid w:val="753A40E7"/>
    <w:rsid w:val="753B22EE"/>
    <w:rsid w:val="7549E48B"/>
    <w:rsid w:val="754B31DD"/>
    <w:rsid w:val="754D0EA5"/>
    <w:rsid w:val="754E83EB"/>
    <w:rsid w:val="754E8D58"/>
    <w:rsid w:val="75588B5D"/>
    <w:rsid w:val="755FA6FB"/>
    <w:rsid w:val="7561876D"/>
    <w:rsid w:val="7563A4A8"/>
    <w:rsid w:val="756814BB"/>
    <w:rsid w:val="75683E16"/>
    <w:rsid w:val="756CCED0"/>
    <w:rsid w:val="757163DB"/>
    <w:rsid w:val="75739BDF"/>
    <w:rsid w:val="757C395F"/>
    <w:rsid w:val="757E1BAD"/>
    <w:rsid w:val="757E424E"/>
    <w:rsid w:val="75842869"/>
    <w:rsid w:val="7586724C"/>
    <w:rsid w:val="7587D68C"/>
    <w:rsid w:val="758C9FE8"/>
    <w:rsid w:val="758D9023"/>
    <w:rsid w:val="758DE7B0"/>
    <w:rsid w:val="758ECBA3"/>
    <w:rsid w:val="7591F1B7"/>
    <w:rsid w:val="759249F1"/>
    <w:rsid w:val="7596DFD4"/>
    <w:rsid w:val="759B37EA"/>
    <w:rsid w:val="759D4F00"/>
    <w:rsid w:val="759DDBCC"/>
    <w:rsid w:val="759FC70E"/>
    <w:rsid w:val="75A48DE5"/>
    <w:rsid w:val="75A75081"/>
    <w:rsid w:val="75A7B689"/>
    <w:rsid w:val="75AE1EE1"/>
    <w:rsid w:val="75B52E48"/>
    <w:rsid w:val="75B59B4B"/>
    <w:rsid w:val="75B5CE49"/>
    <w:rsid w:val="75B798CE"/>
    <w:rsid w:val="75B7F3CD"/>
    <w:rsid w:val="75B94667"/>
    <w:rsid w:val="75BB8224"/>
    <w:rsid w:val="75BBC269"/>
    <w:rsid w:val="75C034F4"/>
    <w:rsid w:val="75C21246"/>
    <w:rsid w:val="75C438AD"/>
    <w:rsid w:val="75C46DAA"/>
    <w:rsid w:val="75C549AE"/>
    <w:rsid w:val="75CCB919"/>
    <w:rsid w:val="75CE309D"/>
    <w:rsid w:val="75DBA4A1"/>
    <w:rsid w:val="75DDA073"/>
    <w:rsid w:val="75E28B0E"/>
    <w:rsid w:val="75E366BA"/>
    <w:rsid w:val="75E70FEE"/>
    <w:rsid w:val="75E7DA8F"/>
    <w:rsid w:val="75E859C6"/>
    <w:rsid w:val="75F4FA94"/>
    <w:rsid w:val="75FB09A2"/>
    <w:rsid w:val="75FF0E8A"/>
    <w:rsid w:val="7605A9FF"/>
    <w:rsid w:val="760AB408"/>
    <w:rsid w:val="760F253B"/>
    <w:rsid w:val="76147AA5"/>
    <w:rsid w:val="761654A0"/>
    <w:rsid w:val="76172BCD"/>
    <w:rsid w:val="7618F455"/>
    <w:rsid w:val="7619D5CC"/>
    <w:rsid w:val="761D0EFE"/>
    <w:rsid w:val="76237E4B"/>
    <w:rsid w:val="762621B2"/>
    <w:rsid w:val="76270B48"/>
    <w:rsid w:val="7628B78F"/>
    <w:rsid w:val="7629DE23"/>
    <w:rsid w:val="7629E35B"/>
    <w:rsid w:val="762AC0B9"/>
    <w:rsid w:val="762B3338"/>
    <w:rsid w:val="762B48C8"/>
    <w:rsid w:val="763146D4"/>
    <w:rsid w:val="76322B0C"/>
    <w:rsid w:val="763764CE"/>
    <w:rsid w:val="7637E17D"/>
    <w:rsid w:val="763AFBC7"/>
    <w:rsid w:val="763BECBD"/>
    <w:rsid w:val="7641B530"/>
    <w:rsid w:val="76432F9D"/>
    <w:rsid w:val="76442171"/>
    <w:rsid w:val="7646EFBF"/>
    <w:rsid w:val="76483FFA"/>
    <w:rsid w:val="76487144"/>
    <w:rsid w:val="76491AB7"/>
    <w:rsid w:val="764B553C"/>
    <w:rsid w:val="764B8AD2"/>
    <w:rsid w:val="7657964A"/>
    <w:rsid w:val="76581E41"/>
    <w:rsid w:val="765CB36E"/>
    <w:rsid w:val="766118B4"/>
    <w:rsid w:val="76618710"/>
    <w:rsid w:val="7667EADA"/>
    <w:rsid w:val="766FF29F"/>
    <w:rsid w:val="767107A1"/>
    <w:rsid w:val="767525EE"/>
    <w:rsid w:val="7676366B"/>
    <w:rsid w:val="7678ABEE"/>
    <w:rsid w:val="767BD906"/>
    <w:rsid w:val="767E4398"/>
    <w:rsid w:val="767E8DAB"/>
    <w:rsid w:val="76841CEC"/>
    <w:rsid w:val="768661EA"/>
    <w:rsid w:val="7692CDA9"/>
    <w:rsid w:val="7693A67D"/>
    <w:rsid w:val="769914BC"/>
    <w:rsid w:val="769CC767"/>
    <w:rsid w:val="76A0AF28"/>
    <w:rsid w:val="76A1ED7B"/>
    <w:rsid w:val="76A62607"/>
    <w:rsid w:val="76A89BF6"/>
    <w:rsid w:val="76AC8EF5"/>
    <w:rsid w:val="76ACF2FA"/>
    <w:rsid w:val="76AE7885"/>
    <w:rsid w:val="76AE9D87"/>
    <w:rsid w:val="76AF0C03"/>
    <w:rsid w:val="76B12AB9"/>
    <w:rsid w:val="76B3DB70"/>
    <w:rsid w:val="76B72B06"/>
    <w:rsid w:val="76B95563"/>
    <w:rsid w:val="76BBC94E"/>
    <w:rsid w:val="76BD0A7E"/>
    <w:rsid w:val="76BDA611"/>
    <w:rsid w:val="76BFCB85"/>
    <w:rsid w:val="76C442E3"/>
    <w:rsid w:val="76C50CD2"/>
    <w:rsid w:val="76CB4E6C"/>
    <w:rsid w:val="76CF7FCD"/>
    <w:rsid w:val="76D08DA5"/>
    <w:rsid w:val="76D0DDFA"/>
    <w:rsid w:val="76D53BD3"/>
    <w:rsid w:val="76D81111"/>
    <w:rsid w:val="76D89956"/>
    <w:rsid w:val="76D9AF44"/>
    <w:rsid w:val="76DD10B1"/>
    <w:rsid w:val="76E0CC51"/>
    <w:rsid w:val="76E14B1F"/>
    <w:rsid w:val="76E1914D"/>
    <w:rsid w:val="76E196A6"/>
    <w:rsid w:val="76F61F7D"/>
    <w:rsid w:val="76F62866"/>
    <w:rsid w:val="76F66F55"/>
    <w:rsid w:val="76F88E80"/>
    <w:rsid w:val="76FC7DCB"/>
    <w:rsid w:val="76FCE931"/>
    <w:rsid w:val="76FEA9C2"/>
    <w:rsid w:val="7700F8D9"/>
    <w:rsid w:val="77054B37"/>
    <w:rsid w:val="770AB8B1"/>
    <w:rsid w:val="770D82A4"/>
    <w:rsid w:val="770DFE30"/>
    <w:rsid w:val="7711631C"/>
    <w:rsid w:val="77156E13"/>
    <w:rsid w:val="7717CE94"/>
    <w:rsid w:val="7717EFB1"/>
    <w:rsid w:val="771E666B"/>
    <w:rsid w:val="773990E3"/>
    <w:rsid w:val="773A0472"/>
    <w:rsid w:val="773A68E3"/>
    <w:rsid w:val="773BDF27"/>
    <w:rsid w:val="773D1C22"/>
    <w:rsid w:val="773F9692"/>
    <w:rsid w:val="77409189"/>
    <w:rsid w:val="7741F447"/>
    <w:rsid w:val="774705C0"/>
    <w:rsid w:val="774A6E1A"/>
    <w:rsid w:val="77580227"/>
    <w:rsid w:val="7758BACA"/>
    <w:rsid w:val="775BC0A2"/>
    <w:rsid w:val="775BDC24"/>
    <w:rsid w:val="775C362B"/>
    <w:rsid w:val="77631B1D"/>
    <w:rsid w:val="7764404F"/>
    <w:rsid w:val="776782BA"/>
    <w:rsid w:val="7768C8E2"/>
    <w:rsid w:val="776DC51C"/>
    <w:rsid w:val="776F9365"/>
    <w:rsid w:val="777065DE"/>
    <w:rsid w:val="77708490"/>
    <w:rsid w:val="777193D0"/>
    <w:rsid w:val="77793A91"/>
    <w:rsid w:val="777956FE"/>
    <w:rsid w:val="777A637D"/>
    <w:rsid w:val="777C1168"/>
    <w:rsid w:val="777DA615"/>
    <w:rsid w:val="777DE2BD"/>
    <w:rsid w:val="777F6687"/>
    <w:rsid w:val="7783202F"/>
    <w:rsid w:val="77842491"/>
    <w:rsid w:val="7789C7C2"/>
    <w:rsid w:val="778A7AF7"/>
    <w:rsid w:val="778B60CF"/>
    <w:rsid w:val="77917944"/>
    <w:rsid w:val="7797D185"/>
    <w:rsid w:val="77991C5F"/>
    <w:rsid w:val="77A3FE25"/>
    <w:rsid w:val="77A4641F"/>
    <w:rsid w:val="77A4FE72"/>
    <w:rsid w:val="77AA7667"/>
    <w:rsid w:val="77AD8871"/>
    <w:rsid w:val="77B18DA2"/>
    <w:rsid w:val="77B33BE0"/>
    <w:rsid w:val="77B6DC3A"/>
    <w:rsid w:val="77BA1211"/>
    <w:rsid w:val="77BBCAF1"/>
    <w:rsid w:val="77BC68A5"/>
    <w:rsid w:val="77BCC0C7"/>
    <w:rsid w:val="77C10F8C"/>
    <w:rsid w:val="77C12B5D"/>
    <w:rsid w:val="77C431AD"/>
    <w:rsid w:val="77CD4BBD"/>
    <w:rsid w:val="77CD9838"/>
    <w:rsid w:val="77CEFC6F"/>
    <w:rsid w:val="77D2B23C"/>
    <w:rsid w:val="77D49691"/>
    <w:rsid w:val="77D8450B"/>
    <w:rsid w:val="77D923FE"/>
    <w:rsid w:val="77DF92BE"/>
    <w:rsid w:val="77E0EA26"/>
    <w:rsid w:val="77E112F9"/>
    <w:rsid w:val="77E1AB2A"/>
    <w:rsid w:val="77E44300"/>
    <w:rsid w:val="77E49C6E"/>
    <w:rsid w:val="77E55A49"/>
    <w:rsid w:val="77E86CC8"/>
    <w:rsid w:val="77E8E96F"/>
    <w:rsid w:val="77EB29E7"/>
    <w:rsid w:val="77F573C5"/>
    <w:rsid w:val="77F60AB2"/>
    <w:rsid w:val="77FB68A1"/>
    <w:rsid w:val="77FE5CE1"/>
    <w:rsid w:val="780280A5"/>
    <w:rsid w:val="78055D51"/>
    <w:rsid w:val="78065091"/>
    <w:rsid w:val="7808C67D"/>
    <w:rsid w:val="780F1044"/>
    <w:rsid w:val="781308E6"/>
    <w:rsid w:val="7814BAEC"/>
    <w:rsid w:val="7814DE7E"/>
    <w:rsid w:val="7816CF34"/>
    <w:rsid w:val="781786CE"/>
    <w:rsid w:val="781B2B92"/>
    <w:rsid w:val="781B9470"/>
    <w:rsid w:val="781BB602"/>
    <w:rsid w:val="781C0BC7"/>
    <w:rsid w:val="7827ADB5"/>
    <w:rsid w:val="78294BE4"/>
    <w:rsid w:val="7830AF2B"/>
    <w:rsid w:val="78319462"/>
    <w:rsid w:val="783466F1"/>
    <w:rsid w:val="78356FCB"/>
    <w:rsid w:val="7836F52F"/>
    <w:rsid w:val="78395B78"/>
    <w:rsid w:val="783B7997"/>
    <w:rsid w:val="78422FF0"/>
    <w:rsid w:val="784650DE"/>
    <w:rsid w:val="784A1763"/>
    <w:rsid w:val="784EB056"/>
    <w:rsid w:val="784FFB3B"/>
    <w:rsid w:val="78511B8B"/>
    <w:rsid w:val="7854D123"/>
    <w:rsid w:val="7856DF96"/>
    <w:rsid w:val="7856F74C"/>
    <w:rsid w:val="78615BB7"/>
    <w:rsid w:val="78633D0B"/>
    <w:rsid w:val="786A9447"/>
    <w:rsid w:val="786C7D31"/>
    <w:rsid w:val="786FF743"/>
    <w:rsid w:val="786FFE38"/>
    <w:rsid w:val="7871E1A9"/>
    <w:rsid w:val="78779AF2"/>
    <w:rsid w:val="787A0E4E"/>
    <w:rsid w:val="787BA64E"/>
    <w:rsid w:val="787D00AB"/>
    <w:rsid w:val="787F32F1"/>
    <w:rsid w:val="7881C65B"/>
    <w:rsid w:val="788322AA"/>
    <w:rsid w:val="78835169"/>
    <w:rsid w:val="78862E06"/>
    <w:rsid w:val="78881255"/>
    <w:rsid w:val="788FE8FB"/>
    <w:rsid w:val="789F8A89"/>
    <w:rsid w:val="78A65E4F"/>
    <w:rsid w:val="78A989FC"/>
    <w:rsid w:val="78ACB4BB"/>
    <w:rsid w:val="78AD39D9"/>
    <w:rsid w:val="78B1D3B1"/>
    <w:rsid w:val="78B5A205"/>
    <w:rsid w:val="78B6B168"/>
    <w:rsid w:val="78B766AD"/>
    <w:rsid w:val="78B7A3F3"/>
    <w:rsid w:val="78B8B1C5"/>
    <w:rsid w:val="78BB3D50"/>
    <w:rsid w:val="78C10EA9"/>
    <w:rsid w:val="78C22387"/>
    <w:rsid w:val="78D8BE6D"/>
    <w:rsid w:val="78D8FACB"/>
    <w:rsid w:val="78DC101D"/>
    <w:rsid w:val="78DDD932"/>
    <w:rsid w:val="78EBD180"/>
    <w:rsid w:val="78EF5642"/>
    <w:rsid w:val="78F56E5C"/>
    <w:rsid w:val="78F7AA3E"/>
    <w:rsid w:val="78FBD01F"/>
    <w:rsid w:val="78FCD6A3"/>
    <w:rsid w:val="79064AEB"/>
    <w:rsid w:val="7907B6D2"/>
    <w:rsid w:val="79083AE6"/>
    <w:rsid w:val="7911618B"/>
    <w:rsid w:val="7924F289"/>
    <w:rsid w:val="792567C2"/>
    <w:rsid w:val="7925A3DC"/>
    <w:rsid w:val="79287B14"/>
    <w:rsid w:val="792EDB87"/>
    <w:rsid w:val="792F2399"/>
    <w:rsid w:val="7932B92C"/>
    <w:rsid w:val="793581F1"/>
    <w:rsid w:val="7937944D"/>
    <w:rsid w:val="793C4B5B"/>
    <w:rsid w:val="793D44E0"/>
    <w:rsid w:val="7940EFCF"/>
    <w:rsid w:val="7941E40B"/>
    <w:rsid w:val="79453FC9"/>
    <w:rsid w:val="79471CBA"/>
    <w:rsid w:val="794F67B5"/>
    <w:rsid w:val="7950A60D"/>
    <w:rsid w:val="7959306F"/>
    <w:rsid w:val="7959C43C"/>
    <w:rsid w:val="795E84C9"/>
    <w:rsid w:val="795EB986"/>
    <w:rsid w:val="79616394"/>
    <w:rsid w:val="7964A831"/>
    <w:rsid w:val="7966E214"/>
    <w:rsid w:val="7969A549"/>
    <w:rsid w:val="796BD697"/>
    <w:rsid w:val="796E82B2"/>
    <w:rsid w:val="796EEF25"/>
    <w:rsid w:val="7975FF9D"/>
    <w:rsid w:val="7979B0D2"/>
    <w:rsid w:val="797B4D38"/>
    <w:rsid w:val="797CCEE8"/>
    <w:rsid w:val="798425E9"/>
    <w:rsid w:val="79844619"/>
    <w:rsid w:val="79857BC9"/>
    <w:rsid w:val="798B2D7E"/>
    <w:rsid w:val="798D8CDF"/>
    <w:rsid w:val="798DA26C"/>
    <w:rsid w:val="799741C0"/>
    <w:rsid w:val="7997F568"/>
    <w:rsid w:val="799A43BD"/>
    <w:rsid w:val="799A7DC8"/>
    <w:rsid w:val="799F297D"/>
    <w:rsid w:val="799F476F"/>
    <w:rsid w:val="79A4BFFF"/>
    <w:rsid w:val="79A6DF31"/>
    <w:rsid w:val="79A6F830"/>
    <w:rsid w:val="79B54CAE"/>
    <w:rsid w:val="79C1EB02"/>
    <w:rsid w:val="79C414AC"/>
    <w:rsid w:val="79C443A1"/>
    <w:rsid w:val="79C524F1"/>
    <w:rsid w:val="79CB7EF6"/>
    <w:rsid w:val="79CF52DC"/>
    <w:rsid w:val="79D0FEC6"/>
    <w:rsid w:val="79D115DE"/>
    <w:rsid w:val="79D2F18F"/>
    <w:rsid w:val="79DA9D04"/>
    <w:rsid w:val="79DDD292"/>
    <w:rsid w:val="79DE6F90"/>
    <w:rsid w:val="79E0CEE6"/>
    <w:rsid w:val="79E418F5"/>
    <w:rsid w:val="79E44096"/>
    <w:rsid w:val="79E5854C"/>
    <w:rsid w:val="79E60A9C"/>
    <w:rsid w:val="79EC0405"/>
    <w:rsid w:val="79ED12BD"/>
    <w:rsid w:val="79EE863A"/>
    <w:rsid w:val="79F10E9F"/>
    <w:rsid w:val="79F1ED44"/>
    <w:rsid w:val="79F550E8"/>
    <w:rsid w:val="79F64398"/>
    <w:rsid w:val="7A00500D"/>
    <w:rsid w:val="7A010C36"/>
    <w:rsid w:val="7A0AF884"/>
    <w:rsid w:val="7A0CE2EC"/>
    <w:rsid w:val="7A108269"/>
    <w:rsid w:val="7A11E7D2"/>
    <w:rsid w:val="7A12BA4F"/>
    <w:rsid w:val="7A176F48"/>
    <w:rsid w:val="7A1D35E1"/>
    <w:rsid w:val="7A1D3AFD"/>
    <w:rsid w:val="7A20A94B"/>
    <w:rsid w:val="7A2A5A59"/>
    <w:rsid w:val="7A2BB7AB"/>
    <w:rsid w:val="7A3150B9"/>
    <w:rsid w:val="7A3311FE"/>
    <w:rsid w:val="7A34320F"/>
    <w:rsid w:val="7A36D251"/>
    <w:rsid w:val="7A375E58"/>
    <w:rsid w:val="7A3EACF7"/>
    <w:rsid w:val="7A3FEA19"/>
    <w:rsid w:val="7A429FAF"/>
    <w:rsid w:val="7A42FC4F"/>
    <w:rsid w:val="7A45F566"/>
    <w:rsid w:val="7A468CB0"/>
    <w:rsid w:val="7A4AD2F9"/>
    <w:rsid w:val="7A51B1F7"/>
    <w:rsid w:val="7A57DE73"/>
    <w:rsid w:val="7A599CD2"/>
    <w:rsid w:val="7A5A07F4"/>
    <w:rsid w:val="7A5E41C8"/>
    <w:rsid w:val="7A5E4A5C"/>
    <w:rsid w:val="7A5F8DF5"/>
    <w:rsid w:val="7A63062C"/>
    <w:rsid w:val="7A635223"/>
    <w:rsid w:val="7A639483"/>
    <w:rsid w:val="7A6438EC"/>
    <w:rsid w:val="7A667F89"/>
    <w:rsid w:val="7A67A4BE"/>
    <w:rsid w:val="7A6BFE70"/>
    <w:rsid w:val="7A72CD88"/>
    <w:rsid w:val="7A748E0C"/>
    <w:rsid w:val="7A751B99"/>
    <w:rsid w:val="7A7630B1"/>
    <w:rsid w:val="7A7739F5"/>
    <w:rsid w:val="7A77A690"/>
    <w:rsid w:val="7A7BA1A9"/>
    <w:rsid w:val="7A7CD05E"/>
    <w:rsid w:val="7A82242B"/>
    <w:rsid w:val="7A831F92"/>
    <w:rsid w:val="7A85E036"/>
    <w:rsid w:val="7A881EEE"/>
    <w:rsid w:val="7A8F144E"/>
    <w:rsid w:val="7A913D66"/>
    <w:rsid w:val="7A98AAEB"/>
    <w:rsid w:val="7A9F808C"/>
    <w:rsid w:val="7AA05216"/>
    <w:rsid w:val="7AA14C70"/>
    <w:rsid w:val="7AAEF9B4"/>
    <w:rsid w:val="7AB6026C"/>
    <w:rsid w:val="7ABA50D6"/>
    <w:rsid w:val="7ABD1614"/>
    <w:rsid w:val="7AC45B42"/>
    <w:rsid w:val="7AC87E4A"/>
    <w:rsid w:val="7ACAE35D"/>
    <w:rsid w:val="7ACFFC67"/>
    <w:rsid w:val="7AD408A9"/>
    <w:rsid w:val="7AD6D988"/>
    <w:rsid w:val="7AD90147"/>
    <w:rsid w:val="7AD9E51E"/>
    <w:rsid w:val="7ADC43AB"/>
    <w:rsid w:val="7ADF740B"/>
    <w:rsid w:val="7AE06B1F"/>
    <w:rsid w:val="7AE6098F"/>
    <w:rsid w:val="7AE8BE42"/>
    <w:rsid w:val="7AEB1F45"/>
    <w:rsid w:val="7AEF5162"/>
    <w:rsid w:val="7AF31B82"/>
    <w:rsid w:val="7AFAC15C"/>
    <w:rsid w:val="7B02DC81"/>
    <w:rsid w:val="7B040CC3"/>
    <w:rsid w:val="7B069430"/>
    <w:rsid w:val="7B069BF3"/>
    <w:rsid w:val="7B0CEFDD"/>
    <w:rsid w:val="7B0D4DD3"/>
    <w:rsid w:val="7B0DCB57"/>
    <w:rsid w:val="7B1104BA"/>
    <w:rsid w:val="7B117D24"/>
    <w:rsid w:val="7B146BBC"/>
    <w:rsid w:val="7B16CD59"/>
    <w:rsid w:val="7B171D99"/>
    <w:rsid w:val="7B18F28C"/>
    <w:rsid w:val="7B194FCC"/>
    <w:rsid w:val="7B1CAAEF"/>
    <w:rsid w:val="7B207BC2"/>
    <w:rsid w:val="7B2254CC"/>
    <w:rsid w:val="7B26EE57"/>
    <w:rsid w:val="7B2847C0"/>
    <w:rsid w:val="7B2DBAC1"/>
    <w:rsid w:val="7B30B725"/>
    <w:rsid w:val="7B344E59"/>
    <w:rsid w:val="7B3BECCD"/>
    <w:rsid w:val="7B43FF7B"/>
    <w:rsid w:val="7B485F1F"/>
    <w:rsid w:val="7B489839"/>
    <w:rsid w:val="7B48FCAA"/>
    <w:rsid w:val="7B4BDA04"/>
    <w:rsid w:val="7B53956E"/>
    <w:rsid w:val="7B547DEA"/>
    <w:rsid w:val="7B5627F7"/>
    <w:rsid w:val="7B63CC02"/>
    <w:rsid w:val="7B683628"/>
    <w:rsid w:val="7B6845B9"/>
    <w:rsid w:val="7B71A3AD"/>
    <w:rsid w:val="7B7979CB"/>
    <w:rsid w:val="7B83C023"/>
    <w:rsid w:val="7B857A16"/>
    <w:rsid w:val="7B857BD9"/>
    <w:rsid w:val="7B87ACBD"/>
    <w:rsid w:val="7B8F7DB0"/>
    <w:rsid w:val="7B918C3E"/>
    <w:rsid w:val="7B92EF8F"/>
    <w:rsid w:val="7B931FFF"/>
    <w:rsid w:val="7B94809E"/>
    <w:rsid w:val="7B9D08D7"/>
    <w:rsid w:val="7B9D3B1F"/>
    <w:rsid w:val="7BA21393"/>
    <w:rsid w:val="7BA7E0EF"/>
    <w:rsid w:val="7BABB930"/>
    <w:rsid w:val="7BAC5911"/>
    <w:rsid w:val="7BACAEBA"/>
    <w:rsid w:val="7BADACD7"/>
    <w:rsid w:val="7BB1FC11"/>
    <w:rsid w:val="7BB68006"/>
    <w:rsid w:val="7BB880EC"/>
    <w:rsid w:val="7BBA54AF"/>
    <w:rsid w:val="7BC244CF"/>
    <w:rsid w:val="7BC61164"/>
    <w:rsid w:val="7BC81DD1"/>
    <w:rsid w:val="7BCDD37A"/>
    <w:rsid w:val="7BCE1B31"/>
    <w:rsid w:val="7BCE2DBA"/>
    <w:rsid w:val="7BD70945"/>
    <w:rsid w:val="7BD82513"/>
    <w:rsid w:val="7BDB47C1"/>
    <w:rsid w:val="7BDC0845"/>
    <w:rsid w:val="7BDF9461"/>
    <w:rsid w:val="7BE0F289"/>
    <w:rsid w:val="7BE19FA9"/>
    <w:rsid w:val="7BE3621B"/>
    <w:rsid w:val="7BE63992"/>
    <w:rsid w:val="7BE76961"/>
    <w:rsid w:val="7BE90DFB"/>
    <w:rsid w:val="7BEAE843"/>
    <w:rsid w:val="7BEC30F5"/>
    <w:rsid w:val="7BEC8489"/>
    <w:rsid w:val="7BF04950"/>
    <w:rsid w:val="7BF3B5EC"/>
    <w:rsid w:val="7BF63A62"/>
    <w:rsid w:val="7BF6ABFA"/>
    <w:rsid w:val="7BFAC38D"/>
    <w:rsid w:val="7BFE0EAF"/>
    <w:rsid w:val="7BFE446A"/>
    <w:rsid w:val="7C02E964"/>
    <w:rsid w:val="7C05C65E"/>
    <w:rsid w:val="7C06A03D"/>
    <w:rsid w:val="7C072AEA"/>
    <w:rsid w:val="7C0D75CF"/>
    <w:rsid w:val="7C0DB471"/>
    <w:rsid w:val="7C1307B5"/>
    <w:rsid w:val="7C1499A5"/>
    <w:rsid w:val="7C15C4FA"/>
    <w:rsid w:val="7C167CA9"/>
    <w:rsid w:val="7C1BC375"/>
    <w:rsid w:val="7C20D2DF"/>
    <w:rsid w:val="7C296CA8"/>
    <w:rsid w:val="7C2B9EB9"/>
    <w:rsid w:val="7C2BD054"/>
    <w:rsid w:val="7C2F4E71"/>
    <w:rsid w:val="7C3568BB"/>
    <w:rsid w:val="7C385EBC"/>
    <w:rsid w:val="7C3BAE23"/>
    <w:rsid w:val="7C3BC928"/>
    <w:rsid w:val="7C3DB0D9"/>
    <w:rsid w:val="7C3F6C9A"/>
    <w:rsid w:val="7C43938A"/>
    <w:rsid w:val="7C46F7CE"/>
    <w:rsid w:val="7C4C255B"/>
    <w:rsid w:val="7C4FC203"/>
    <w:rsid w:val="7C52EE1E"/>
    <w:rsid w:val="7C57311F"/>
    <w:rsid w:val="7C5966AB"/>
    <w:rsid w:val="7C5AF8F0"/>
    <w:rsid w:val="7C5CED6A"/>
    <w:rsid w:val="7C5DC58B"/>
    <w:rsid w:val="7C5F9B05"/>
    <w:rsid w:val="7C64FEC2"/>
    <w:rsid w:val="7C662687"/>
    <w:rsid w:val="7C696E0B"/>
    <w:rsid w:val="7C6CC9C1"/>
    <w:rsid w:val="7C6E8B59"/>
    <w:rsid w:val="7C7614EB"/>
    <w:rsid w:val="7C76F823"/>
    <w:rsid w:val="7C777CCB"/>
    <w:rsid w:val="7C784385"/>
    <w:rsid w:val="7C7886AC"/>
    <w:rsid w:val="7C7A24C4"/>
    <w:rsid w:val="7C800975"/>
    <w:rsid w:val="7C802C11"/>
    <w:rsid w:val="7C82B9F3"/>
    <w:rsid w:val="7C837F73"/>
    <w:rsid w:val="7C87B4D9"/>
    <w:rsid w:val="7C8935F3"/>
    <w:rsid w:val="7C8A37DF"/>
    <w:rsid w:val="7C8B6ECE"/>
    <w:rsid w:val="7C8B6F59"/>
    <w:rsid w:val="7C8EFE2E"/>
    <w:rsid w:val="7C922069"/>
    <w:rsid w:val="7C9465C9"/>
    <w:rsid w:val="7C95F7FC"/>
    <w:rsid w:val="7C95FB53"/>
    <w:rsid w:val="7C96B7C6"/>
    <w:rsid w:val="7C98BCB8"/>
    <w:rsid w:val="7C99AAE8"/>
    <w:rsid w:val="7C9D3D9B"/>
    <w:rsid w:val="7C9E7E36"/>
    <w:rsid w:val="7C9F5634"/>
    <w:rsid w:val="7CA8EFDF"/>
    <w:rsid w:val="7CABBD3E"/>
    <w:rsid w:val="7CB03BBF"/>
    <w:rsid w:val="7CB2298E"/>
    <w:rsid w:val="7CB3B46F"/>
    <w:rsid w:val="7CB82D60"/>
    <w:rsid w:val="7CB9A174"/>
    <w:rsid w:val="7CBC020A"/>
    <w:rsid w:val="7CBCA53B"/>
    <w:rsid w:val="7CBF2F77"/>
    <w:rsid w:val="7CCC8C6A"/>
    <w:rsid w:val="7CD06035"/>
    <w:rsid w:val="7CD5B26B"/>
    <w:rsid w:val="7CDAA31D"/>
    <w:rsid w:val="7CDE2C76"/>
    <w:rsid w:val="7CE31014"/>
    <w:rsid w:val="7CE5464C"/>
    <w:rsid w:val="7CE64727"/>
    <w:rsid w:val="7CE7A0CD"/>
    <w:rsid w:val="7CEB027D"/>
    <w:rsid w:val="7CEF906D"/>
    <w:rsid w:val="7CF4348B"/>
    <w:rsid w:val="7CF8EB09"/>
    <w:rsid w:val="7CFC9BDB"/>
    <w:rsid w:val="7D03C098"/>
    <w:rsid w:val="7D09A80E"/>
    <w:rsid w:val="7D09E9AE"/>
    <w:rsid w:val="7D0D5611"/>
    <w:rsid w:val="7D0F8120"/>
    <w:rsid w:val="7D0F9C1E"/>
    <w:rsid w:val="7D108B1C"/>
    <w:rsid w:val="7D124336"/>
    <w:rsid w:val="7D15ABFC"/>
    <w:rsid w:val="7D1AEE59"/>
    <w:rsid w:val="7D1C9EC9"/>
    <w:rsid w:val="7D1D3E54"/>
    <w:rsid w:val="7D232EC4"/>
    <w:rsid w:val="7D23E3AB"/>
    <w:rsid w:val="7D23F073"/>
    <w:rsid w:val="7D240823"/>
    <w:rsid w:val="7D247357"/>
    <w:rsid w:val="7D261653"/>
    <w:rsid w:val="7D26BAB5"/>
    <w:rsid w:val="7D2EBFF0"/>
    <w:rsid w:val="7D440686"/>
    <w:rsid w:val="7D4C188E"/>
    <w:rsid w:val="7D4D88CC"/>
    <w:rsid w:val="7D51319A"/>
    <w:rsid w:val="7D53D160"/>
    <w:rsid w:val="7D5849E0"/>
    <w:rsid w:val="7D590813"/>
    <w:rsid w:val="7D595F4B"/>
    <w:rsid w:val="7D59DD0A"/>
    <w:rsid w:val="7D5B34F3"/>
    <w:rsid w:val="7D5BEDA2"/>
    <w:rsid w:val="7D5CECC0"/>
    <w:rsid w:val="7D5DDA38"/>
    <w:rsid w:val="7D63AB22"/>
    <w:rsid w:val="7D66950E"/>
    <w:rsid w:val="7D67B002"/>
    <w:rsid w:val="7D6E1E60"/>
    <w:rsid w:val="7D716C34"/>
    <w:rsid w:val="7D73B94B"/>
    <w:rsid w:val="7D7B7961"/>
    <w:rsid w:val="7D7E5B59"/>
    <w:rsid w:val="7D7F80C8"/>
    <w:rsid w:val="7D859B3C"/>
    <w:rsid w:val="7D877071"/>
    <w:rsid w:val="7D91FE37"/>
    <w:rsid w:val="7D92E3BF"/>
    <w:rsid w:val="7D959E4A"/>
    <w:rsid w:val="7D962944"/>
    <w:rsid w:val="7D9B276E"/>
    <w:rsid w:val="7D9C106C"/>
    <w:rsid w:val="7D9E540F"/>
    <w:rsid w:val="7DA1AD73"/>
    <w:rsid w:val="7DA62FE3"/>
    <w:rsid w:val="7DAA22B1"/>
    <w:rsid w:val="7DAC0DC2"/>
    <w:rsid w:val="7DAE7CE2"/>
    <w:rsid w:val="7DAF2B60"/>
    <w:rsid w:val="7DAF457E"/>
    <w:rsid w:val="7DAFE42A"/>
    <w:rsid w:val="7DB0C8B3"/>
    <w:rsid w:val="7DB3E92D"/>
    <w:rsid w:val="7DB561ED"/>
    <w:rsid w:val="7DB78611"/>
    <w:rsid w:val="7DB7CBF7"/>
    <w:rsid w:val="7DB95711"/>
    <w:rsid w:val="7DBC5E34"/>
    <w:rsid w:val="7DBEEDB5"/>
    <w:rsid w:val="7DBFDC69"/>
    <w:rsid w:val="7DC4013A"/>
    <w:rsid w:val="7DC9FC73"/>
    <w:rsid w:val="7DCA9F98"/>
    <w:rsid w:val="7DD9271A"/>
    <w:rsid w:val="7DDA1F0C"/>
    <w:rsid w:val="7DDF0718"/>
    <w:rsid w:val="7DE106F7"/>
    <w:rsid w:val="7DE59862"/>
    <w:rsid w:val="7DE5E1D1"/>
    <w:rsid w:val="7DE7ACC3"/>
    <w:rsid w:val="7DE8FBA9"/>
    <w:rsid w:val="7DEA88C6"/>
    <w:rsid w:val="7DEB186A"/>
    <w:rsid w:val="7DF2A98F"/>
    <w:rsid w:val="7DF58B9A"/>
    <w:rsid w:val="7DF88644"/>
    <w:rsid w:val="7DF946A3"/>
    <w:rsid w:val="7DF94DBF"/>
    <w:rsid w:val="7DFBCCEB"/>
    <w:rsid w:val="7DFEFB9F"/>
    <w:rsid w:val="7DFFEE8A"/>
    <w:rsid w:val="7E04E419"/>
    <w:rsid w:val="7E07344C"/>
    <w:rsid w:val="7E0E9C23"/>
    <w:rsid w:val="7E195355"/>
    <w:rsid w:val="7E1AA027"/>
    <w:rsid w:val="7E1B0B65"/>
    <w:rsid w:val="7E2593A9"/>
    <w:rsid w:val="7E331E73"/>
    <w:rsid w:val="7E35241E"/>
    <w:rsid w:val="7E35873E"/>
    <w:rsid w:val="7E361FB7"/>
    <w:rsid w:val="7E36899D"/>
    <w:rsid w:val="7E38EA5D"/>
    <w:rsid w:val="7E3A65DA"/>
    <w:rsid w:val="7E3B79D6"/>
    <w:rsid w:val="7E3DC024"/>
    <w:rsid w:val="7E42B4DE"/>
    <w:rsid w:val="7E538481"/>
    <w:rsid w:val="7E569A86"/>
    <w:rsid w:val="7E56A7CD"/>
    <w:rsid w:val="7E584BC1"/>
    <w:rsid w:val="7E5E1E4D"/>
    <w:rsid w:val="7E60402B"/>
    <w:rsid w:val="7E605E16"/>
    <w:rsid w:val="7E60CC31"/>
    <w:rsid w:val="7E644A0F"/>
    <w:rsid w:val="7E6617ED"/>
    <w:rsid w:val="7E68317E"/>
    <w:rsid w:val="7E685E6A"/>
    <w:rsid w:val="7E68B0CF"/>
    <w:rsid w:val="7E6D13F5"/>
    <w:rsid w:val="7E6DF3A9"/>
    <w:rsid w:val="7E6FC9F3"/>
    <w:rsid w:val="7E756F19"/>
    <w:rsid w:val="7E7624AA"/>
    <w:rsid w:val="7E799877"/>
    <w:rsid w:val="7E86A959"/>
    <w:rsid w:val="7E88CADB"/>
    <w:rsid w:val="7E88D3CD"/>
    <w:rsid w:val="7E8CB27C"/>
    <w:rsid w:val="7E8CFBF6"/>
    <w:rsid w:val="7E9001E2"/>
    <w:rsid w:val="7E90D4F0"/>
    <w:rsid w:val="7E945C60"/>
    <w:rsid w:val="7E96602D"/>
    <w:rsid w:val="7E97CFDB"/>
    <w:rsid w:val="7E99F6A3"/>
    <w:rsid w:val="7EA0A011"/>
    <w:rsid w:val="7EA7054B"/>
    <w:rsid w:val="7EAC461A"/>
    <w:rsid w:val="7EB0AD5F"/>
    <w:rsid w:val="7EB4F3B9"/>
    <w:rsid w:val="7EBC52DF"/>
    <w:rsid w:val="7EBC5A0E"/>
    <w:rsid w:val="7EC22255"/>
    <w:rsid w:val="7EC3C981"/>
    <w:rsid w:val="7ECB2CE1"/>
    <w:rsid w:val="7ED1592F"/>
    <w:rsid w:val="7ED21B6C"/>
    <w:rsid w:val="7ED334A7"/>
    <w:rsid w:val="7ED393BD"/>
    <w:rsid w:val="7ED7BE54"/>
    <w:rsid w:val="7EDFAE84"/>
    <w:rsid w:val="7EE0E664"/>
    <w:rsid w:val="7EE1E7DC"/>
    <w:rsid w:val="7EE8E33D"/>
    <w:rsid w:val="7EEFAB80"/>
    <w:rsid w:val="7EF0940A"/>
    <w:rsid w:val="7EF128E6"/>
    <w:rsid w:val="7EF5A63B"/>
    <w:rsid w:val="7EF96D77"/>
    <w:rsid w:val="7EF9DA01"/>
    <w:rsid w:val="7EFA6783"/>
    <w:rsid w:val="7EFB3F36"/>
    <w:rsid w:val="7F02E628"/>
    <w:rsid w:val="7F069C0B"/>
    <w:rsid w:val="7F09925E"/>
    <w:rsid w:val="7F0CFDED"/>
    <w:rsid w:val="7F1038A6"/>
    <w:rsid w:val="7F143B0A"/>
    <w:rsid w:val="7F216B9D"/>
    <w:rsid w:val="7F21EC08"/>
    <w:rsid w:val="7F25BE9C"/>
    <w:rsid w:val="7F26DF35"/>
    <w:rsid w:val="7F28C585"/>
    <w:rsid w:val="7F29F3D6"/>
    <w:rsid w:val="7F2A35FB"/>
    <w:rsid w:val="7F2DD83B"/>
    <w:rsid w:val="7F2E1BC9"/>
    <w:rsid w:val="7F2F85E7"/>
    <w:rsid w:val="7F30E3C6"/>
    <w:rsid w:val="7F3370BA"/>
    <w:rsid w:val="7F34DCD8"/>
    <w:rsid w:val="7F3BD50E"/>
    <w:rsid w:val="7F3D96C9"/>
    <w:rsid w:val="7F3E5DD0"/>
    <w:rsid w:val="7F4005FB"/>
    <w:rsid w:val="7F41FBD4"/>
    <w:rsid w:val="7F4292FB"/>
    <w:rsid w:val="7F469516"/>
    <w:rsid w:val="7F4A2819"/>
    <w:rsid w:val="7F4DC7C4"/>
    <w:rsid w:val="7F4E1FB3"/>
    <w:rsid w:val="7F507E93"/>
    <w:rsid w:val="7F50A5F5"/>
    <w:rsid w:val="7F525DE3"/>
    <w:rsid w:val="7F54173B"/>
    <w:rsid w:val="7F5489AF"/>
    <w:rsid w:val="7F57862C"/>
    <w:rsid w:val="7F57C810"/>
    <w:rsid w:val="7F59D119"/>
    <w:rsid w:val="7F61D025"/>
    <w:rsid w:val="7F63C3FA"/>
    <w:rsid w:val="7F690B37"/>
    <w:rsid w:val="7F6B602E"/>
    <w:rsid w:val="7F71B88D"/>
    <w:rsid w:val="7F74013F"/>
    <w:rsid w:val="7F77D7ED"/>
    <w:rsid w:val="7F77DF17"/>
    <w:rsid w:val="7F7BE1F9"/>
    <w:rsid w:val="7F7CA6CE"/>
    <w:rsid w:val="7F80FDC7"/>
    <w:rsid w:val="7F856B00"/>
    <w:rsid w:val="7F930B28"/>
    <w:rsid w:val="7F93AC89"/>
    <w:rsid w:val="7F9708F6"/>
    <w:rsid w:val="7F9D8E83"/>
    <w:rsid w:val="7F9F83B3"/>
    <w:rsid w:val="7FA06DF5"/>
    <w:rsid w:val="7FA2235D"/>
    <w:rsid w:val="7FA840A2"/>
    <w:rsid w:val="7FAA1043"/>
    <w:rsid w:val="7FAE8D06"/>
    <w:rsid w:val="7FBB582E"/>
    <w:rsid w:val="7FBEC471"/>
    <w:rsid w:val="7FBEE957"/>
    <w:rsid w:val="7FC79567"/>
    <w:rsid w:val="7FCDF261"/>
    <w:rsid w:val="7FD06F09"/>
    <w:rsid w:val="7FD6D327"/>
    <w:rsid w:val="7FD6F384"/>
    <w:rsid w:val="7FDC7C23"/>
    <w:rsid w:val="7FDCC1DB"/>
    <w:rsid w:val="7FDDF481"/>
    <w:rsid w:val="7FEAA146"/>
    <w:rsid w:val="7FF1788B"/>
    <w:rsid w:val="7FF6394A"/>
    <w:rsid w:val="7FF9A6F0"/>
    <w:rsid w:val="7FFCB3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B99F8DF"/>
  <w15:chartTrackingRefBased/>
  <w15:docId w15:val="{319DBCDD-524D-4EAA-A300-CCBEC208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FAF"/>
    <w:pPr>
      <w:spacing w:line="259" w:lineRule="auto"/>
    </w:pPr>
    <w:rPr>
      <w:rFonts w:ascii="Calibri" w:hAnsi="Calibri"/>
    </w:rPr>
  </w:style>
  <w:style w:type="paragraph" w:styleId="Heading1">
    <w:name w:val="heading 1"/>
    <w:basedOn w:val="Normal"/>
    <w:next w:val="Normal"/>
    <w:link w:val="Heading1Char"/>
    <w:uiPriority w:val="9"/>
    <w:qFormat/>
    <w:rsid w:val="002D3B6B"/>
    <w:pPr>
      <w:keepNext/>
      <w:keepLines/>
      <w:spacing w:before="240"/>
      <w:outlineLvl w:val="0"/>
    </w:pPr>
    <w:rPr>
      <w:rFonts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B84A03"/>
    <w:pPr>
      <w:keepNext/>
      <w:keepLines/>
      <w:spacing w:before="40"/>
      <w:outlineLvl w:val="1"/>
    </w:pPr>
    <w:rPr>
      <w:rFonts w:eastAsiaTheme="majorEastAsia" w:cstheme="majorBidi"/>
      <w:color w:val="002060"/>
      <w:sz w:val="24"/>
      <w:szCs w:val="26"/>
    </w:rPr>
  </w:style>
  <w:style w:type="paragraph" w:styleId="Heading3">
    <w:name w:val="heading 3"/>
    <w:basedOn w:val="Normal"/>
    <w:next w:val="Normal"/>
    <w:link w:val="Heading3Char"/>
    <w:uiPriority w:val="9"/>
    <w:unhideWhenUsed/>
    <w:qFormat/>
    <w:rsid w:val="002D3B6B"/>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63441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3441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441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441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441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441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7D76F7"/>
    <w:rPr>
      <w:rFonts w:cs="Times New Roman"/>
      <w:sz w:val="20"/>
      <w:szCs w:val="18"/>
    </w:rPr>
  </w:style>
  <w:style w:type="character" w:customStyle="1" w:styleId="FootnoteTextChar">
    <w:name w:val="Footnote Text Char"/>
    <w:basedOn w:val="DefaultParagraphFont"/>
    <w:link w:val="FootnoteText"/>
    <w:uiPriority w:val="99"/>
    <w:rsid w:val="007D76F7"/>
    <w:rPr>
      <w:rFonts w:ascii="Calibri" w:hAnsi="Calibri" w:cs="Times New Roman"/>
      <w:sz w:val="20"/>
      <w:szCs w:val="18"/>
    </w:rPr>
  </w:style>
  <w:style w:type="paragraph" w:customStyle="1" w:styleId="xmsonormal">
    <w:name w:val="x_msonormal"/>
    <w:basedOn w:val="Normal"/>
    <w:uiPriority w:val="99"/>
    <w:rsid w:val="00F74321"/>
    <w:rPr>
      <w:rFonts w:cs="Times New Roman"/>
      <w:szCs w:val="24"/>
    </w:rPr>
  </w:style>
  <w:style w:type="table" w:styleId="TableGrid">
    <w:name w:val="Table Grid"/>
    <w:basedOn w:val="TableNormal"/>
    <w:rsid w:val="00F74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F2E1F"/>
    <w:pPr>
      <w:widowControl w:val="0"/>
    </w:pPr>
  </w:style>
  <w:style w:type="character" w:customStyle="1" w:styleId="CommentTextChar">
    <w:name w:val="Comment Text Char"/>
    <w:basedOn w:val="DefaultParagraphFont"/>
    <w:link w:val="CommentText"/>
    <w:uiPriority w:val="99"/>
    <w:rsid w:val="007F2E1F"/>
  </w:style>
  <w:style w:type="paragraph" w:styleId="ListParagraph">
    <w:name w:val="List Paragraph"/>
    <w:basedOn w:val="Normal"/>
    <w:uiPriority w:val="34"/>
    <w:qFormat/>
    <w:rsid w:val="007F2E1F"/>
    <w:pPr>
      <w:ind w:left="720"/>
      <w:contextualSpacing/>
    </w:pPr>
  </w:style>
  <w:style w:type="paragraph" w:styleId="BalloonText">
    <w:name w:val="Balloon Text"/>
    <w:basedOn w:val="Normal"/>
    <w:link w:val="BalloonTextChar"/>
    <w:uiPriority w:val="99"/>
    <w:semiHidden/>
    <w:unhideWhenUsed/>
    <w:rsid w:val="00A44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F15"/>
    <w:rPr>
      <w:rFonts w:ascii="Segoe UI" w:hAnsi="Segoe UI" w:cs="Segoe UI"/>
      <w:sz w:val="18"/>
      <w:szCs w:val="18"/>
    </w:rPr>
  </w:style>
  <w:style w:type="paragraph" w:styleId="Header">
    <w:name w:val="header"/>
    <w:basedOn w:val="Normal"/>
    <w:link w:val="HeaderChar"/>
    <w:uiPriority w:val="99"/>
    <w:unhideWhenUsed/>
    <w:rsid w:val="00715147"/>
    <w:pPr>
      <w:tabs>
        <w:tab w:val="center" w:pos="4680"/>
        <w:tab w:val="right" w:pos="9360"/>
      </w:tabs>
    </w:pPr>
  </w:style>
  <w:style w:type="character" w:customStyle="1" w:styleId="HeaderChar">
    <w:name w:val="Header Char"/>
    <w:basedOn w:val="DefaultParagraphFont"/>
    <w:link w:val="Header"/>
    <w:uiPriority w:val="99"/>
    <w:rsid w:val="00715147"/>
    <w:rPr>
      <w:rFonts w:ascii="Times New Roman" w:hAnsi="Times New Roman"/>
      <w:sz w:val="24"/>
    </w:rPr>
  </w:style>
  <w:style w:type="paragraph" w:styleId="Footer">
    <w:name w:val="footer"/>
    <w:basedOn w:val="Normal"/>
    <w:link w:val="FooterChar"/>
    <w:uiPriority w:val="99"/>
    <w:unhideWhenUsed/>
    <w:rsid w:val="00715147"/>
    <w:pPr>
      <w:tabs>
        <w:tab w:val="center" w:pos="4680"/>
        <w:tab w:val="right" w:pos="9360"/>
      </w:tabs>
    </w:pPr>
  </w:style>
  <w:style w:type="character" w:customStyle="1" w:styleId="FooterChar">
    <w:name w:val="Footer Char"/>
    <w:basedOn w:val="DefaultParagraphFont"/>
    <w:link w:val="Footer"/>
    <w:uiPriority w:val="99"/>
    <w:rsid w:val="00715147"/>
    <w:rPr>
      <w:rFonts w:ascii="Times New Roman" w:hAnsi="Times New Roman"/>
      <w:sz w:val="24"/>
    </w:rPr>
  </w:style>
  <w:style w:type="character" w:styleId="CommentReference">
    <w:name w:val="annotation reference"/>
    <w:basedOn w:val="DefaultParagraphFont"/>
    <w:uiPriority w:val="99"/>
    <w:semiHidden/>
    <w:unhideWhenUsed/>
    <w:rsid w:val="00C26FF6"/>
    <w:rPr>
      <w:sz w:val="16"/>
      <w:szCs w:val="16"/>
    </w:rPr>
  </w:style>
  <w:style w:type="paragraph" w:styleId="CommentSubject">
    <w:name w:val="annotation subject"/>
    <w:basedOn w:val="CommentText"/>
    <w:next w:val="CommentText"/>
    <w:link w:val="CommentSubjectChar"/>
    <w:uiPriority w:val="99"/>
    <w:semiHidden/>
    <w:unhideWhenUsed/>
    <w:rsid w:val="00C26FF6"/>
    <w:pPr>
      <w:widowControl/>
    </w:pPr>
    <w:rPr>
      <w:rFonts w:ascii="Times New Roman" w:hAnsi="Times New Roman"/>
      <w:b/>
      <w:bCs/>
    </w:rPr>
  </w:style>
  <w:style w:type="character" w:customStyle="1" w:styleId="CommentSubjectChar">
    <w:name w:val="Comment Subject Char"/>
    <w:basedOn w:val="CommentTextChar"/>
    <w:link w:val="CommentSubject"/>
    <w:uiPriority w:val="99"/>
    <w:semiHidden/>
    <w:rsid w:val="00C26FF6"/>
    <w:rPr>
      <w:rFonts w:ascii="Times New Roman" w:hAnsi="Times New Roman"/>
      <w:b/>
      <w:bCs/>
      <w:sz w:val="20"/>
      <w:szCs w:val="20"/>
    </w:rPr>
  </w:style>
  <w:style w:type="character" w:styleId="FootnoteReference">
    <w:name w:val="footnote reference"/>
    <w:basedOn w:val="DefaultParagraphFont"/>
    <w:uiPriority w:val="99"/>
    <w:unhideWhenUsed/>
    <w:rsid w:val="003F2D68"/>
    <w:rPr>
      <w:vertAlign w:val="superscript"/>
    </w:rPr>
  </w:style>
  <w:style w:type="character" w:styleId="Hyperlink">
    <w:name w:val="Hyperlink"/>
    <w:basedOn w:val="DefaultParagraphFont"/>
    <w:uiPriority w:val="99"/>
    <w:unhideWhenUsed/>
    <w:rsid w:val="007A4C81"/>
    <w:rPr>
      <w:color w:val="0000FF"/>
      <w:u w:val="single"/>
    </w:rPr>
  </w:style>
  <w:style w:type="paragraph" w:styleId="Revision">
    <w:name w:val="Revision"/>
    <w:hidden/>
    <w:uiPriority w:val="99"/>
    <w:semiHidden/>
    <w:rsid w:val="00D5199F"/>
    <w:rPr>
      <w:rFonts w:ascii="Times New Roman" w:hAnsi="Times New Roman"/>
      <w:sz w:val="24"/>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unhideWhenUsed/>
    <w:rsid w:val="0091725C"/>
    <w:rPr>
      <w:color w:val="605E5C"/>
      <w:shd w:val="clear" w:color="auto" w:fill="E1DFDD"/>
    </w:rPr>
  </w:style>
  <w:style w:type="character" w:customStyle="1" w:styleId="normaltextrun">
    <w:name w:val="normaltextrun"/>
    <w:basedOn w:val="DefaultParagraphFont"/>
    <w:rsid w:val="00855304"/>
    <w:rPr>
      <w:rFonts w:asciiTheme="minorHAnsi" w:hAnsiTheme="minorHAnsi"/>
      <w:sz w:val="22"/>
    </w:rPr>
  </w:style>
  <w:style w:type="character" w:customStyle="1" w:styleId="eop">
    <w:name w:val="eop"/>
    <w:basedOn w:val="DefaultParagraphFont"/>
    <w:rsid w:val="00B0016F"/>
  </w:style>
  <w:style w:type="character" w:styleId="Mention">
    <w:name w:val="Mention"/>
    <w:basedOn w:val="DefaultParagraphFont"/>
    <w:uiPriority w:val="99"/>
    <w:unhideWhenUsed/>
    <w:rPr>
      <w:color w:val="2B579A"/>
      <w:shd w:val="clear" w:color="auto" w:fill="E6E6E6"/>
    </w:rPr>
  </w:style>
  <w:style w:type="character" w:customStyle="1" w:styleId="Heading2Char">
    <w:name w:val="Heading 2 Char"/>
    <w:basedOn w:val="DefaultParagraphFont"/>
    <w:link w:val="Heading2"/>
    <w:uiPriority w:val="9"/>
    <w:rsid w:val="00B84A03"/>
    <w:rPr>
      <w:rFonts w:ascii="Calibri" w:eastAsiaTheme="majorEastAsia" w:hAnsi="Calibri" w:cstheme="majorBidi"/>
      <w:color w:val="002060"/>
      <w:sz w:val="24"/>
      <w:szCs w:val="26"/>
    </w:rPr>
  </w:style>
  <w:style w:type="character" w:customStyle="1" w:styleId="Heading3Char">
    <w:name w:val="Heading 3 Char"/>
    <w:basedOn w:val="DefaultParagraphFont"/>
    <w:link w:val="Heading3"/>
    <w:uiPriority w:val="9"/>
    <w:rPr>
      <w:rFonts w:ascii="Calibri" w:eastAsiaTheme="majorEastAsia" w:hAnsi="Calibri" w:cstheme="majorBidi"/>
      <w:b/>
      <w:szCs w:val="24"/>
    </w:rPr>
  </w:style>
  <w:style w:type="paragraph" w:styleId="NoSpacing">
    <w:name w:val="No Spacing"/>
    <w:link w:val="NoSpacingChar"/>
    <w:uiPriority w:val="1"/>
    <w:qFormat/>
    <w:rsid w:val="00634414"/>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rPr>
      <w:rFonts w:ascii="Calibri" w:eastAsiaTheme="majorEastAsia" w:hAnsi="Calibri" w:cstheme="majorBidi"/>
      <w:color w:val="2F5496" w:themeColor="accent1" w:themeShade="BF"/>
      <w:sz w:val="28"/>
      <w:szCs w:val="32"/>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rsid w:val="00BF4B29"/>
    <w:rPr>
      <w:rFonts w:asciiTheme="majorHAnsi" w:eastAsiaTheme="majorEastAsia" w:hAnsiTheme="majorHAnsi" w:cstheme="majorBidi"/>
      <w:color w:val="2F5496" w:themeColor="accent1" w:themeShade="BF"/>
    </w:rPr>
  </w:style>
  <w:style w:type="paragraph" w:customStyle="1" w:styleId="paragraph">
    <w:name w:val="paragraph"/>
    <w:basedOn w:val="Normal"/>
    <w:rsid w:val="00BD3311"/>
    <w:pPr>
      <w:spacing w:beforeAutospacing="1" w:after="100" w:afterAutospacing="1"/>
    </w:pPr>
    <w:rPr>
      <w:rFonts w:eastAsia="Times New Roman" w:cs="Times New Roman"/>
      <w:szCs w:val="24"/>
    </w:rPr>
  </w:style>
  <w:style w:type="paragraph" w:styleId="NormalWeb">
    <w:name w:val="Normal (Web)"/>
    <w:basedOn w:val="Normal"/>
    <w:uiPriority w:val="99"/>
    <w:unhideWhenUsed/>
    <w:rsid w:val="00432F70"/>
    <w:pPr>
      <w:spacing w:after="150"/>
    </w:pPr>
    <w:rPr>
      <w:rFonts w:eastAsia="Times New Roman" w:cs="Times New Roman"/>
      <w:szCs w:val="24"/>
    </w:rPr>
  </w:style>
  <w:style w:type="table" w:styleId="GridTable4-Accent5">
    <w:name w:val="Grid Table 4 Accent 5"/>
    <w:basedOn w:val="TableNormal"/>
    <w:uiPriority w:val="49"/>
    <w:rsid w:val="00691E6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uiPriority w:val="1"/>
    <w:rsid w:val="00AE1B66"/>
    <w:pPr>
      <w:widowControl w:val="0"/>
      <w:autoSpaceDE w:val="0"/>
      <w:autoSpaceDN w:val="0"/>
    </w:pPr>
    <w:rPr>
      <w:rFonts w:eastAsia="Calibri" w:cs="Calibri"/>
      <w:lang w:bidi="en-US"/>
    </w:rPr>
  </w:style>
  <w:style w:type="character" w:customStyle="1" w:styleId="BodyTextChar">
    <w:name w:val="Body Text Char"/>
    <w:basedOn w:val="DefaultParagraphFont"/>
    <w:link w:val="BodyText"/>
    <w:uiPriority w:val="1"/>
    <w:rsid w:val="00795386"/>
    <w:rPr>
      <w:rFonts w:ascii="Calibri" w:eastAsia="Calibri" w:hAnsi="Calibri" w:cs="Calibri"/>
      <w:lang w:bidi="en-US"/>
    </w:rPr>
  </w:style>
  <w:style w:type="character" w:styleId="FollowedHyperlink">
    <w:name w:val="FollowedHyperlink"/>
    <w:basedOn w:val="DefaultParagraphFont"/>
    <w:uiPriority w:val="99"/>
    <w:semiHidden/>
    <w:unhideWhenUsed/>
    <w:rsid w:val="00795386"/>
    <w:rPr>
      <w:color w:val="954F72" w:themeColor="followedHyperlink"/>
      <w:u w:val="single"/>
    </w:rPr>
  </w:style>
  <w:style w:type="character" w:customStyle="1" w:styleId="spellingerror">
    <w:name w:val="spellingerror"/>
    <w:basedOn w:val="DefaultParagraphFont"/>
    <w:rsid w:val="00B8439C"/>
  </w:style>
  <w:style w:type="character" w:customStyle="1" w:styleId="findhit">
    <w:name w:val="findhit"/>
    <w:basedOn w:val="DefaultParagraphFont"/>
    <w:rsid w:val="00B8439C"/>
  </w:style>
  <w:style w:type="paragraph" w:styleId="Caption">
    <w:name w:val="caption"/>
    <w:basedOn w:val="Normal"/>
    <w:next w:val="Normal"/>
    <w:uiPriority w:val="35"/>
    <w:unhideWhenUsed/>
    <w:qFormat/>
    <w:rsid w:val="00634414"/>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8C0BEE"/>
  </w:style>
  <w:style w:type="paragraph" w:styleId="TOCHeading">
    <w:name w:val="TOC Heading"/>
    <w:basedOn w:val="Heading1"/>
    <w:next w:val="Normal"/>
    <w:uiPriority w:val="39"/>
    <w:unhideWhenUsed/>
    <w:qFormat/>
    <w:rsid w:val="00AB4B6B"/>
    <w:pPr>
      <w:outlineLvl w:val="9"/>
    </w:pPr>
  </w:style>
  <w:style w:type="paragraph" w:styleId="TOC1">
    <w:name w:val="toc 1"/>
    <w:basedOn w:val="Normal"/>
    <w:next w:val="Normal"/>
    <w:autoRedefine/>
    <w:uiPriority w:val="39"/>
    <w:unhideWhenUsed/>
    <w:rsid w:val="002E0C8C"/>
    <w:pPr>
      <w:tabs>
        <w:tab w:val="left" w:pos="480"/>
        <w:tab w:val="right" w:leader="dot" w:pos="9350"/>
      </w:tabs>
      <w:spacing w:after="100"/>
    </w:pPr>
  </w:style>
  <w:style w:type="paragraph" w:styleId="TOC2">
    <w:name w:val="toc 2"/>
    <w:basedOn w:val="Normal"/>
    <w:next w:val="Normal"/>
    <w:autoRedefine/>
    <w:uiPriority w:val="39"/>
    <w:unhideWhenUsed/>
    <w:rsid w:val="006038F1"/>
    <w:pPr>
      <w:tabs>
        <w:tab w:val="left" w:pos="880"/>
        <w:tab w:val="right" w:leader="dot" w:pos="9350"/>
      </w:tabs>
      <w:spacing w:after="100"/>
      <w:ind w:left="240"/>
    </w:pPr>
  </w:style>
  <w:style w:type="paragraph" w:styleId="TOC3">
    <w:name w:val="toc 3"/>
    <w:basedOn w:val="Normal"/>
    <w:next w:val="Normal"/>
    <w:autoRedefine/>
    <w:uiPriority w:val="39"/>
    <w:unhideWhenUsed/>
    <w:rsid w:val="004B0711"/>
    <w:pPr>
      <w:spacing w:after="100"/>
      <w:ind w:left="480"/>
    </w:pPr>
  </w:style>
  <w:style w:type="character" w:customStyle="1" w:styleId="Heading6Char">
    <w:name w:val="Heading 6 Char"/>
    <w:basedOn w:val="DefaultParagraphFont"/>
    <w:link w:val="Heading6"/>
    <w:uiPriority w:val="9"/>
    <w:semiHidden/>
    <w:rsid w:val="006941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941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941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417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441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41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441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4170"/>
    <w:rPr>
      <w:rFonts w:eastAsiaTheme="minorEastAsia"/>
      <w:color w:val="5A5A5A" w:themeColor="text1" w:themeTint="A5"/>
      <w:spacing w:val="15"/>
    </w:rPr>
  </w:style>
  <w:style w:type="character" w:styleId="Strong">
    <w:name w:val="Strong"/>
    <w:uiPriority w:val="22"/>
    <w:qFormat/>
    <w:rsid w:val="00694170"/>
    <w:rPr>
      <w:b/>
      <w:bCs/>
    </w:rPr>
  </w:style>
  <w:style w:type="character" w:styleId="Emphasis">
    <w:name w:val="Emphasis"/>
    <w:uiPriority w:val="20"/>
    <w:qFormat/>
    <w:rsid w:val="00634414"/>
    <w:rPr>
      <w:i/>
      <w:iCs/>
    </w:rPr>
  </w:style>
  <w:style w:type="paragraph" w:styleId="Quote">
    <w:name w:val="Quote"/>
    <w:basedOn w:val="Normal"/>
    <w:next w:val="Normal"/>
    <w:link w:val="QuoteChar"/>
    <w:uiPriority w:val="29"/>
    <w:qFormat/>
    <w:rsid w:val="0063441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94170"/>
    <w:rPr>
      <w:i/>
      <w:iCs/>
      <w:color w:val="404040" w:themeColor="text1" w:themeTint="BF"/>
    </w:rPr>
  </w:style>
  <w:style w:type="paragraph" w:styleId="IntenseQuote">
    <w:name w:val="Intense Quote"/>
    <w:basedOn w:val="Normal"/>
    <w:next w:val="Normal"/>
    <w:link w:val="IntenseQuoteChar"/>
    <w:uiPriority w:val="30"/>
    <w:qFormat/>
    <w:rsid w:val="0063441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4170"/>
    <w:rPr>
      <w:i/>
      <w:iCs/>
      <w:color w:val="4472C4" w:themeColor="accent1"/>
    </w:rPr>
  </w:style>
  <w:style w:type="character" w:styleId="SubtleEmphasis">
    <w:name w:val="Subtle Emphasis"/>
    <w:uiPriority w:val="19"/>
    <w:qFormat/>
    <w:rsid w:val="00634414"/>
    <w:rPr>
      <w:i/>
      <w:iCs/>
      <w:color w:val="404040" w:themeColor="text1" w:themeTint="BF"/>
    </w:rPr>
  </w:style>
  <w:style w:type="character" w:styleId="IntenseEmphasis">
    <w:name w:val="Intense Emphasis"/>
    <w:uiPriority w:val="21"/>
    <w:qFormat/>
    <w:rsid w:val="00634414"/>
    <w:rPr>
      <w:i/>
      <w:iCs/>
      <w:color w:val="4472C4" w:themeColor="accent1"/>
    </w:rPr>
  </w:style>
  <w:style w:type="character" w:styleId="SubtleReference">
    <w:name w:val="Subtle Reference"/>
    <w:uiPriority w:val="31"/>
    <w:qFormat/>
    <w:rsid w:val="00634414"/>
    <w:rPr>
      <w:smallCaps/>
      <w:color w:val="5A5A5A" w:themeColor="text1" w:themeTint="A5"/>
    </w:rPr>
  </w:style>
  <w:style w:type="character" w:styleId="IntenseReference">
    <w:name w:val="Intense Reference"/>
    <w:uiPriority w:val="32"/>
    <w:qFormat/>
    <w:rsid w:val="00634414"/>
    <w:rPr>
      <w:b/>
      <w:bCs/>
      <w:smallCaps/>
      <w:color w:val="4472C4" w:themeColor="accent1"/>
      <w:spacing w:val="5"/>
    </w:rPr>
  </w:style>
  <w:style w:type="character" w:styleId="BookTitle">
    <w:name w:val="Book Title"/>
    <w:uiPriority w:val="33"/>
    <w:qFormat/>
    <w:rsid w:val="00634414"/>
    <w:rPr>
      <w:b/>
      <w:bCs/>
      <w:i/>
      <w:iCs/>
      <w:spacing w:val="5"/>
    </w:rPr>
  </w:style>
  <w:style w:type="paragraph" w:styleId="TOC4">
    <w:name w:val="toc 4"/>
    <w:basedOn w:val="Normal"/>
    <w:next w:val="Normal"/>
    <w:autoRedefine/>
    <w:uiPriority w:val="39"/>
    <w:unhideWhenUsed/>
    <w:rsid w:val="000F7477"/>
    <w:pPr>
      <w:spacing w:after="100"/>
      <w:ind w:left="600"/>
    </w:pPr>
  </w:style>
  <w:style w:type="table" w:styleId="GridTable5Dark-Accent1">
    <w:name w:val="Grid Table 5 Dark Accent 1"/>
    <w:basedOn w:val="TableNormal"/>
    <w:uiPriority w:val="50"/>
    <w:rsid w:val="00BF7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A373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1">
    <w:name w:val="Grid Table 4 Accent 1"/>
    <w:basedOn w:val="TableNormal"/>
    <w:uiPriority w:val="49"/>
    <w:rsid w:val="00807E7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F245F7"/>
    <w:pPr>
      <w:widowControl w:val="0"/>
      <w:autoSpaceDE w:val="0"/>
      <w:autoSpaceDN w:val="0"/>
      <w:spacing w:line="240" w:lineRule="auto"/>
    </w:pPr>
    <w:rPr>
      <w:rFonts w:eastAsia="Calibri" w:cs="Calibri"/>
      <w:lang w:bidi="en-US"/>
    </w:rPr>
  </w:style>
  <w:style w:type="table" w:styleId="PlainTable3">
    <w:name w:val="Plain Table 3"/>
    <w:basedOn w:val="TableNormal"/>
    <w:uiPriority w:val="43"/>
    <w:rsid w:val="006A2B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uperscript">
    <w:name w:val="superscript"/>
    <w:basedOn w:val="DefaultParagraphFont"/>
    <w:rsid w:val="00750830"/>
  </w:style>
  <w:style w:type="table" w:customStyle="1" w:styleId="TableGrid0">
    <w:name w:val="TableGrid"/>
    <w:rsid w:val="00DC0B3D"/>
    <w:rPr>
      <w:rFonts w:eastAsiaTheme="minorEastAsia"/>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15735D"/>
  </w:style>
  <w:style w:type="paragraph" w:customStyle="1" w:styleId="Default">
    <w:name w:val="Default"/>
    <w:rsid w:val="009A278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516">
      <w:bodyDiv w:val="1"/>
      <w:marLeft w:val="0"/>
      <w:marRight w:val="0"/>
      <w:marTop w:val="0"/>
      <w:marBottom w:val="0"/>
      <w:divBdr>
        <w:top w:val="none" w:sz="0" w:space="0" w:color="auto"/>
        <w:left w:val="none" w:sz="0" w:space="0" w:color="auto"/>
        <w:bottom w:val="none" w:sz="0" w:space="0" w:color="auto"/>
        <w:right w:val="none" w:sz="0" w:space="0" w:color="auto"/>
      </w:divBdr>
    </w:div>
    <w:div w:id="11759779">
      <w:bodyDiv w:val="1"/>
      <w:marLeft w:val="0"/>
      <w:marRight w:val="0"/>
      <w:marTop w:val="0"/>
      <w:marBottom w:val="0"/>
      <w:divBdr>
        <w:top w:val="none" w:sz="0" w:space="0" w:color="auto"/>
        <w:left w:val="none" w:sz="0" w:space="0" w:color="auto"/>
        <w:bottom w:val="none" w:sz="0" w:space="0" w:color="auto"/>
        <w:right w:val="none" w:sz="0" w:space="0" w:color="auto"/>
      </w:divBdr>
    </w:div>
    <w:div w:id="24525664">
      <w:bodyDiv w:val="1"/>
      <w:marLeft w:val="0"/>
      <w:marRight w:val="0"/>
      <w:marTop w:val="0"/>
      <w:marBottom w:val="0"/>
      <w:divBdr>
        <w:top w:val="none" w:sz="0" w:space="0" w:color="auto"/>
        <w:left w:val="none" w:sz="0" w:space="0" w:color="auto"/>
        <w:bottom w:val="none" w:sz="0" w:space="0" w:color="auto"/>
        <w:right w:val="none" w:sz="0" w:space="0" w:color="auto"/>
      </w:divBdr>
    </w:div>
    <w:div w:id="24673570">
      <w:bodyDiv w:val="1"/>
      <w:marLeft w:val="0"/>
      <w:marRight w:val="0"/>
      <w:marTop w:val="0"/>
      <w:marBottom w:val="0"/>
      <w:divBdr>
        <w:top w:val="none" w:sz="0" w:space="0" w:color="auto"/>
        <w:left w:val="none" w:sz="0" w:space="0" w:color="auto"/>
        <w:bottom w:val="none" w:sz="0" w:space="0" w:color="auto"/>
        <w:right w:val="none" w:sz="0" w:space="0" w:color="auto"/>
      </w:divBdr>
    </w:div>
    <w:div w:id="31656047">
      <w:bodyDiv w:val="1"/>
      <w:marLeft w:val="0"/>
      <w:marRight w:val="0"/>
      <w:marTop w:val="0"/>
      <w:marBottom w:val="0"/>
      <w:divBdr>
        <w:top w:val="none" w:sz="0" w:space="0" w:color="auto"/>
        <w:left w:val="none" w:sz="0" w:space="0" w:color="auto"/>
        <w:bottom w:val="none" w:sz="0" w:space="0" w:color="auto"/>
        <w:right w:val="none" w:sz="0" w:space="0" w:color="auto"/>
      </w:divBdr>
      <w:divsChild>
        <w:div w:id="646325701">
          <w:marLeft w:val="0"/>
          <w:marRight w:val="0"/>
          <w:marTop w:val="0"/>
          <w:marBottom w:val="0"/>
          <w:divBdr>
            <w:top w:val="none" w:sz="0" w:space="0" w:color="auto"/>
            <w:left w:val="none" w:sz="0" w:space="0" w:color="auto"/>
            <w:bottom w:val="none" w:sz="0" w:space="0" w:color="auto"/>
            <w:right w:val="none" w:sz="0" w:space="0" w:color="auto"/>
          </w:divBdr>
        </w:div>
        <w:div w:id="906526525">
          <w:marLeft w:val="0"/>
          <w:marRight w:val="0"/>
          <w:marTop w:val="0"/>
          <w:marBottom w:val="0"/>
          <w:divBdr>
            <w:top w:val="none" w:sz="0" w:space="0" w:color="auto"/>
            <w:left w:val="none" w:sz="0" w:space="0" w:color="auto"/>
            <w:bottom w:val="none" w:sz="0" w:space="0" w:color="auto"/>
            <w:right w:val="none" w:sz="0" w:space="0" w:color="auto"/>
          </w:divBdr>
        </w:div>
        <w:div w:id="1289966949">
          <w:marLeft w:val="0"/>
          <w:marRight w:val="0"/>
          <w:marTop w:val="0"/>
          <w:marBottom w:val="0"/>
          <w:divBdr>
            <w:top w:val="none" w:sz="0" w:space="0" w:color="auto"/>
            <w:left w:val="none" w:sz="0" w:space="0" w:color="auto"/>
            <w:bottom w:val="none" w:sz="0" w:space="0" w:color="auto"/>
            <w:right w:val="none" w:sz="0" w:space="0" w:color="auto"/>
          </w:divBdr>
        </w:div>
        <w:div w:id="1961372168">
          <w:marLeft w:val="0"/>
          <w:marRight w:val="0"/>
          <w:marTop w:val="0"/>
          <w:marBottom w:val="0"/>
          <w:divBdr>
            <w:top w:val="none" w:sz="0" w:space="0" w:color="auto"/>
            <w:left w:val="none" w:sz="0" w:space="0" w:color="auto"/>
            <w:bottom w:val="none" w:sz="0" w:space="0" w:color="auto"/>
            <w:right w:val="none" w:sz="0" w:space="0" w:color="auto"/>
          </w:divBdr>
        </w:div>
        <w:div w:id="1996912620">
          <w:marLeft w:val="0"/>
          <w:marRight w:val="0"/>
          <w:marTop w:val="0"/>
          <w:marBottom w:val="0"/>
          <w:divBdr>
            <w:top w:val="none" w:sz="0" w:space="0" w:color="auto"/>
            <w:left w:val="none" w:sz="0" w:space="0" w:color="auto"/>
            <w:bottom w:val="none" w:sz="0" w:space="0" w:color="auto"/>
            <w:right w:val="none" w:sz="0" w:space="0" w:color="auto"/>
          </w:divBdr>
        </w:div>
      </w:divsChild>
    </w:div>
    <w:div w:id="43725237">
      <w:bodyDiv w:val="1"/>
      <w:marLeft w:val="0"/>
      <w:marRight w:val="0"/>
      <w:marTop w:val="0"/>
      <w:marBottom w:val="0"/>
      <w:divBdr>
        <w:top w:val="none" w:sz="0" w:space="0" w:color="auto"/>
        <w:left w:val="none" w:sz="0" w:space="0" w:color="auto"/>
        <w:bottom w:val="none" w:sz="0" w:space="0" w:color="auto"/>
        <w:right w:val="none" w:sz="0" w:space="0" w:color="auto"/>
      </w:divBdr>
    </w:div>
    <w:div w:id="61951034">
      <w:bodyDiv w:val="1"/>
      <w:marLeft w:val="0"/>
      <w:marRight w:val="0"/>
      <w:marTop w:val="0"/>
      <w:marBottom w:val="0"/>
      <w:divBdr>
        <w:top w:val="none" w:sz="0" w:space="0" w:color="auto"/>
        <w:left w:val="none" w:sz="0" w:space="0" w:color="auto"/>
        <w:bottom w:val="none" w:sz="0" w:space="0" w:color="auto"/>
        <w:right w:val="none" w:sz="0" w:space="0" w:color="auto"/>
      </w:divBdr>
    </w:div>
    <w:div w:id="63113060">
      <w:bodyDiv w:val="1"/>
      <w:marLeft w:val="0"/>
      <w:marRight w:val="0"/>
      <w:marTop w:val="0"/>
      <w:marBottom w:val="0"/>
      <w:divBdr>
        <w:top w:val="none" w:sz="0" w:space="0" w:color="auto"/>
        <w:left w:val="none" w:sz="0" w:space="0" w:color="auto"/>
        <w:bottom w:val="none" w:sz="0" w:space="0" w:color="auto"/>
        <w:right w:val="none" w:sz="0" w:space="0" w:color="auto"/>
      </w:divBdr>
    </w:div>
    <w:div w:id="79835546">
      <w:bodyDiv w:val="1"/>
      <w:marLeft w:val="0"/>
      <w:marRight w:val="0"/>
      <w:marTop w:val="0"/>
      <w:marBottom w:val="0"/>
      <w:divBdr>
        <w:top w:val="none" w:sz="0" w:space="0" w:color="auto"/>
        <w:left w:val="none" w:sz="0" w:space="0" w:color="auto"/>
        <w:bottom w:val="none" w:sz="0" w:space="0" w:color="auto"/>
        <w:right w:val="none" w:sz="0" w:space="0" w:color="auto"/>
      </w:divBdr>
    </w:div>
    <w:div w:id="93982379">
      <w:bodyDiv w:val="1"/>
      <w:marLeft w:val="0"/>
      <w:marRight w:val="0"/>
      <w:marTop w:val="0"/>
      <w:marBottom w:val="0"/>
      <w:divBdr>
        <w:top w:val="none" w:sz="0" w:space="0" w:color="auto"/>
        <w:left w:val="none" w:sz="0" w:space="0" w:color="auto"/>
        <w:bottom w:val="none" w:sz="0" w:space="0" w:color="auto"/>
        <w:right w:val="none" w:sz="0" w:space="0" w:color="auto"/>
      </w:divBdr>
    </w:div>
    <w:div w:id="94908475">
      <w:bodyDiv w:val="1"/>
      <w:marLeft w:val="0"/>
      <w:marRight w:val="0"/>
      <w:marTop w:val="0"/>
      <w:marBottom w:val="0"/>
      <w:divBdr>
        <w:top w:val="none" w:sz="0" w:space="0" w:color="auto"/>
        <w:left w:val="none" w:sz="0" w:space="0" w:color="auto"/>
        <w:bottom w:val="none" w:sz="0" w:space="0" w:color="auto"/>
        <w:right w:val="none" w:sz="0" w:space="0" w:color="auto"/>
      </w:divBdr>
    </w:div>
    <w:div w:id="97919887">
      <w:bodyDiv w:val="1"/>
      <w:marLeft w:val="0"/>
      <w:marRight w:val="0"/>
      <w:marTop w:val="0"/>
      <w:marBottom w:val="0"/>
      <w:divBdr>
        <w:top w:val="none" w:sz="0" w:space="0" w:color="auto"/>
        <w:left w:val="none" w:sz="0" w:space="0" w:color="auto"/>
        <w:bottom w:val="none" w:sz="0" w:space="0" w:color="auto"/>
        <w:right w:val="none" w:sz="0" w:space="0" w:color="auto"/>
      </w:divBdr>
    </w:div>
    <w:div w:id="117380538">
      <w:bodyDiv w:val="1"/>
      <w:marLeft w:val="0"/>
      <w:marRight w:val="0"/>
      <w:marTop w:val="0"/>
      <w:marBottom w:val="0"/>
      <w:divBdr>
        <w:top w:val="none" w:sz="0" w:space="0" w:color="auto"/>
        <w:left w:val="none" w:sz="0" w:space="0" w:color="auto"/>
        <w:bottom w:val="none" w:sz="0" w:space="0" w:color="auto"/>
        <w:right w:val="none" w:sz="0" w:space="0" w:color="auto"/>
      </w:divBdr>
      <w:divsChild>
        <w:div w:id="1285379447">
          <w:marLeft w:val="0"/>
          <w:marRight w:val="0"/>
          <w:marTop w:val="0"/>
          <w:marBottom w:val="0"/>
          <w:divBdr>
            <w:top w:val="none" w:sz="0" w:space="0" w:color="auto"/>
            <w:left w:val="none" w:sz="0" w:space="0" w:color="auto"/>
            <w:bottom w:val="none" w:sz="0" w:space="0" w:color="auto"/>
            <w:right w:val="none" w:sz="0" w:space="0" w:color="auto"/>
          </w:divBdr>
        </w:div>
        <w:div w:id="1918854792">
          <w:marLeft w:val="0"/>
          <w:marRight w:val="0"/>
          <w:marTop w:val="0"/>
          <w:marBottom w:val="0"/>
          <w:divBdr>
            <w:top w:val="none" w:sz="0" w:space="0" w:color="auto"/>
            <w:left w:val="none" w:sz="0" w:space="0" w:color="auto"/>
            <w:bottom w:val="none" w:sz="0" w:space="0" w:color="auto"/>
            <w:right w:val="none" w:sz="0" w:space="0" w:color="auto"/>
          </w:divBdr>
        </w:div>
      </w:divsChild>
    </w:div>
    <w:div w:id="139613016">
      <w:bodyDiv w:val="1"/>
      <w:marLeft w:val="0"/>
      <w:marRight w:val="0"/>
      <w:marTop w:val="0"/>
      <w:marBottom w:val="0"/>
      <w:divBdr>
        <w:top w:val="none" w:sz="0" w:space="0" w:color="auto"/>
        <w:left w:val="none" w:sz="0" w:space="0" w:color="auto"/>
        <w:bottom w:val="none" w:sz="0" w:space="0" w:color="auto"/>
        <w:right w:val="none" w:sz="0" w:space="0" w:color="auto"/>
      </w:divBdr>
    </w:div>
    <w:div w:id="152767140">
      <w:bodyDiv w:val="1"/>
      <w:marLeft w:val="0"/>
      <w:marRight w:val="0"/>
      <w:marTop w:val="0"/>
      <w:marBottom w:val="0"/>
      <w:divBdr>
        <w:top w:val="none" w:sz="0" w:space="0" w:color="auto"/>
        <w:left w:val="none" w:sz="0" w:space="0" w:color="auto"/>
        <w:bottom w:val="none" w:sz="0" w:space="0" w:color="auto"/>
        <w:right w:val="none" w:sz="0" w:space="0" w:color="auto"/>
      </w:divBdr>
    </w:div>
    <w:div w:id="154229649">
      <w:bodyDiv w:val="1"/>
      <w:marLeft w:val="0"/>
      <w:marRight w:val="0"/>
      <w:marTop w:val="0"/>
      <w:marBottom w:val="0"/>
      <w:divBdr>
        <w:top w:val="none" w:sz="0" w:space="0" w:color="auto"/>
        <w:left w:val="none" w:sz="0" w:space="0" w:color="auto"/>
        <w:bottom w:val="none" w:sz="0" w:space="0" w:color="auto"/>
        <w:right w:val="none" w:sz="0" w:space="0" w:color="auto"/>
      </w:divBdr>
      <w:divsChild>
        <w:div w:id="1639914234">
          <w:marLeft w:val="0"/>
          <w:marRight w:val="0"/>
          <w:marTop w:val="0"/>
          <w:marBottom w:val="0"/>
          <w:divBdr>
            <w:top w:val="none" w:sz="0" w:space="0" w:color="auto"/>
            <w:left w:val="none" w:sz="0" w:space="0" w:color="auto"/>
            <w:bottom w:val="none" w:sz="0" w:space="0" w:color="auto"/>
            <w:right w:val="none" w:sz="0" w:space="0" w:color="auto"/>
          </w:divBdr>
        </w:div>
        <w:div w:id="1970941298">
          <w:marLeft w:val="0"/>
          <w:marRight w:val="0"/>
          <w:marTop w:val="0"/>
          <w:marBottom w:val="0"/>
          <w:divBdr>
            <w:top w:val="none" w:sz="0" w:space="0" w:color="auto"/>
            <w:left w:val="none" w:sz="0" w:space="0" w:color="auto"/>
            <w:bottom w:val="none" w:sz="0" w:space="0" w:color="auto"/>
            <w:right w:val="none" w:sz="0" w:space="0" w:color="auto"/>
          </w:divBdr>
        </w:div>
      </w:divsChild>
    </w:div>
    <w:div w:id="174005635">
      <w:bodyDiv w:val="1"/>
      <w:marLeft w:val="0"/>
      <w:marRight w:val="0"/>
      <w:marTop w:val="0"/>
      <w:marBottom w:val="0"/>
      <w:divBdr>
        <w:top w:val="none" w:sz="0" w:space="0" w:color="auto"/>
        <w:left w:val="none" w:sz="0" w:space="0" w:color="auto"/>
        <w:bottom w:val="none" w:sz="0" w:space="0" w:color="auto"/>
        <w:right w:val="none" w:sz="0" w:space="0" w:color="auto"/>
      </w:divBdr>
    </w:div>
    <w:div w:id="174810291">
      <w:bodyDiv w:val="1"/>
      <w:marLeft w:val="0"/>
      <w:marRight w:val="0"/>
      <w:marTop w:val="0"/>
      <w:marBottom w:val="0"/>
      <w:divBdr>
        <w:top w:val="none" w:sz="0" w:space="0" w:color="auto"/>
        <w:left w:val="none" w:sz="0" w:space="0" w:color="auto"/>
        <w:bottom w:val="none" w:sz="0" w:space="0" w:color="auto"/>
        <w:right w:val="none" w:sz="0" w:space="0" w:color="auto"/>
      </w:divBdr>
    </w:div>
    <w:div w:id="174878901">
      <w:bodyDiv w:val="1"/>
      <w:marLeft w:val="0"/>
      <w:marRight w:val="0"/>
      <w:marTop w:val="0"/>
      <w:marBottom w:val="0"/>
      <w:divBdr>
        <w:top w:val="none" w:sz="0" w:space="0" w:color="auto"/>
        <w:left w:val="none" w:sz="0" w:space="0" w:color="auto"/>
        <w:bottom w:val="none" w:sz="0" w:space="0" w:color="auto"/>
        <w:right w:val="none" w:sz="0" w:space="0" w:color="auto"/>
      </w:divBdr>
    </w:div>
    <w:div w:id="183058267">
      <w:bodyDiv w:val="1"/>
      <w:marLeft w:val="0"/>
      <w:marRight w:val="0"/>
      <w:marTop w:val="0"/>
      <w:marBottom w:val="0"/>
      <w:divBdr>
        <w:top w:val="none" w:sz="0" w:space="0" w:color="auto"/>
        <w:left w:val="none" w:sz="0" w:space="0" w:color="auto"/>
        <w:bottom w:val="none" w:sz="0" w:space="0" w:color="auto"/>
        <w:right w:val="none" w:sz="0" w:space="0" w:color="auto"/>
      </w:divBdr>
    </w:div>
    <w:div w:id="194512992">
      <w:bodyDiv w:val="1"/>
      <w:marLeft w:val="0"/>
      <w:marRight w:val="0"/>
      <w:marTop w:val="0"/>
      <w:marBottom w:val="0"/>
      <w:divBdr>
        <w:top w:val="none" w:sz="0" w:space="0" w:color="auto"/>
        <w:left w:val="none" w:sz="0" w:space="0" w:color="auto"/>
        <w:bottom w:val="none" w:sz="0" w:space="0" w:color="auto"/>
        <w:right w:val="none" w:sz="0" w:space="0" w:color="auto"/>
      </w:divBdr>
    </w:div>
    <w:div w:id="214708393">
      <w:bodyDiv w:val="1"/>
      <w:marLeft w:val="0"/>
      <w:marRight w:val="0"/>
      <w:marTop w:val="0"/>
      <w:marBottom w:val="0"/>
      <w:divBdr>
        <w:top w:val="none" w:sz="0" w:space="0" w:color="auto"/>
        <w:left w:val="none" w:sz="0" w:space="0" w:color="auto"/>
        <w:bottom w:val="none" w:sz="0" w:space="0" w:color="auto"/>
        <w:right w:val="none" w:sz="0" w:space="0" w:color="auto"/>
      </w:divBdr>
    </w:div>
    <w:div w:id="216362680">
      <w:bodyDiv w:val="1"/>
      <w:marLeft w:val="0"/>
      <w:marRight w:val="0"/>
      <w:marTop w:val="0"/>
      <w:marBottom w:val="0"/>
      <w:divBdr>
        <w:top w:val="none" w:sz="0" w:space="0" w:color="auto"/>
        <w:left w:val="none" w:sz="0" w:space="0" w:color="auto"/>
        <w:bottom w:val="none" w:sz="0" w:space="0" w:color="auto"/>
        <w:right w:val="none" w:sz="0" w:space="0" w:color="auto"/>
      </w:divBdr>
    </w:div>
    <w:div w:id="227494396">
      <w:bodyDiv w:val="1"/>
      <w:marLeft w:val="0"/>
      <w:marRight w:val="0"/>
      <w:marTop w:val="0"/>
      <w:marBottom w:val="0"/>
      <w:divBdr>
        <w:top w:val="none" w:sz="0" w:space="0" w:color="auto"/>
        <w:left w:val="none" w:sz="0" w:space="0" w:color="auto"/>
        <w:bottom w:val="none" w:sz="0" w:space="0" w:color="auto"/>
        <w:right w:val="none" w:sz="0" w:space="0" w:color="auto"/>
      </w:divBdr>
    </w:div>
    <w:div w:id="233391058">
      <w:bodyDiv w:val="1"/>
      <w:marLeft w:val="0"/>
      <w:marRight w:val="0"/>
      <w:marTop w:val="0"/>
      <w:marBottom w:val="0"/>
      <w:divBdr>
        <w:top w:val="none" w:sz="0" w:space="0" w:color="auto"/>
        <w:left w:val="none" w:sz="0" w:space="0" w:color="auto"/>
        <w:bottom w:val="none" w:sz="0" w:space="0" w:color="auto"/>
        <w:right w:val="none" w:sz="0" w:space="0" w:color="auto"/>
      </w:divBdr>
    </w:div>
    <w:div w:id="258489942">
      <w:bodyDiv w:val="1"/>
      <w:marLeft w:val="0"/>
      <w:marRight w:val="0"/>
      <w:marTop w:val="0"/>
      <w:marBottom w:val="0"/>
      <w:divBdr>
        <w:top w:val="none" w:sz="0" w:space="0" w:color="auto"/>
        <w:left w:val="none" w:sz="0" w:space="0" w:color="auto"/>
        <w:bottom w:val="none" w:sz="0" w:space="0" w:color="auto"/>
        <w:right w:val="none" w:sz="0" w:space="0" w:color="auto"/>
      </w:divBdr>
    </w:div>
    <w:div w:id="288977960">
      <w:bodyDiv w:val="1"/>
      <w:marLeft w:val="0"/>
      <w:marRight w:val="0"/>
      <w:marTop w:val="0"/>
      <w:marBottom w:val="0"/>
      <w:divBdr>
        <w:top w:val="none" w:sz="0" w:space="0" w:color="auto"/>
        <w:left w:val="none" w:sz="0" w:space="0" w:color="auto"/>
        <w:bottom w:val="none" w:sz="0" w:space="0" w:color="auto"/>
        <w:right w:val="none" w:sz="0" w:space="0" w:color="auto"/>
      </w:divBdr>
    </w:div>
    <w:div w:id="299118507">
      <w:bodyDiv w:val="1"/>
      <w:marLeft w:val="0"/>
      <w:marRight w:val="0"/>
      <w:marTop w:val="0"/>
      <w:marBottom w:val="0"/>
      <w:divBdr>
        <w:top w:val="none" w:sz="0" w:space="0" w:color="auto"/>
        <w:left w:val="none" w:sz="0" w:space="0" w:color="auto"/>
        <w:bottom w:val="none" w:sz="0" w:space="0" w:color="auto"/>
        <w:right w:val="none" w:sz="0" w:space="0" w:color="auto"/>
      </w:divBdr>
    </w:div>
    <w:div w:id="311255261">
      <w:bodyDiv w:val="1"/>
      <w:marLeft w:val="0"/>
      <w:marRight w:val="0"/>
      <w:marTop w:val="0"/>
      <w:marBottom w:val="0"/>
      <w:divBdr>
        <w:top w:val="none" w:sz="0" w:space="0" w:color="auto"/>
        <w:left w:val="none" w:sz="0" w:space="0" w:color="auto"/>
        <w:bottom w:val="none" w:sz="0" w:space="0" w:color="auto"/>
        <w:right w:val="none" w:sz="0" w:space="0" w:color="auto"/>
      </w:divBdr>
    </w:div>
    <w:div w:id="365914269">
      <w:bodyDiv w:val="1"/>
      <w:marLeft w:val="0"/>
      <w:marRight w:val="0"/>
      <w:marTop w:val="0"/>
      <w:marBottom w:val="0"/>
      <w:divBdr>
        <w:top w:val="none" w:sz="0" w:space="0" w:color="auto"/>
        <w:left w:val="none" w:sz="0" w:space="0" w:color="auto"/>
        <w:bottom w:val="none" w:sz="0" w:space="0" w:color="auto"/>
        <w:right w:val="none" w:sz="0" w:space="0" w:color="auto"/>
      </w:divBdr>
    </w:div>
    <w:div w:id="375131342">
      <w:bodyDiv w:val="1"/>
      <w:marLeft w:val="0"/>
      <w:marRight w:val="0"/>
      <w:marTop w:val="0"/>
      <w:marBottom w:val="0"/>
      <w:divBdr>
        <w:top w:val="none" w:sz="0" w:space="0" w:color="auto"/>
        <w:left w:val="none" w:sz="0" w:space="0" w:color="auto"/>
        <w:bottom w:val="none" w:sz="0" w:space="0" w:color="auto"/>
        <w:right w:val="none" w:sz="0" w:space="0" w:color="auto"/>
      </w:divBdr>
    </w:div>
    <w:div w:id="389038034">
      <w:bodyDiv w:val="1"/>
      <w:marLeft w:val="0"/>
      <w:marRight w:val="0"/>
      <w:marTop w:val="0"/>
      <w:marBottom w:val="0"/>
      <w:divBdr>
        <w:top w:val="none" w:sz="0" w:space="0" w:color="auto"/>
        <w:left w:val="none" w:sz="0" w:space="0" w:color="auto"/>
        <w:bottom w:val="none" w:sz="0" w:space="0" w:color="auto"/>
        <w:right w:val="none" w:sz="0" w:space="0" w:color="auto"/>
      </w:divBdr>
    </w:div>
    <w:div w:id="397477471">
      <w:bodyDiv w:val="1"/>
      <w:marLeft w:val="0"/>
      <w:marRight w:val="0"/>
      <w:marTop w:val="0"/>
      <w:marBottom w:val="0"/>
      <w:divBdr>
        <w:top w:val="none" w:sz="0" w:space="0" w:color="auto"/>
        <w:left w:val="none" w:sz="0" w:space="0" w:color="auto"/>
        <w:bottom w:val="none" w:sz="0" w:space="0" w:color="auto"/>
        <w:right w:val="none" w:sz="0" w:space="0" w:color="auto"/>
      </w:divBdr>
    </w:div>
    <w:div w:id="400373485">
      <w:bodyDiv w:val="1"/>
      <w:marLeft w:val="0"/>
      <w:marRight w:val="0"/>
      <w:marTop w:val="0"/>
      <w:marBottom w:val="0"/>
      <w:divBdr>
        <w:top w:val="none" w:sz="0" w:space="0" w:color="auto"/>
        <w:left w:val="none" w:sz="0" w:space="0" w:color="auto"/>
        <w:bottom w:val="none" w:sz="0" w:space="0" w:color="auto"/>
        <w:right w:val="none" w:sz="0" w:space="0" w:color="auto"/>
      </w:divBdr>
    </w:div>
    <w:div w:id="404690830">
      <w:bodyDiv w:val="1"/>
      <w:marLeft w:val="0"/>
      <w:marRight w:val="0"/>
      <w:marTop w:val="0"/>
      <w:marBottom w:val="0"/>
      <w:divBdr>
        <w:top w:val="none" w:sz="0" w:space="0" w:color="auto"/>
        <w:left w:val="none" w:sz="0" w:space="0" w:color="auto"/>
        <w:bottom w:val="none" w:sz="0" w:space="0" w:color="auto"/>
        <w:right w:val="none" w:sz="0" w:space="0" w:color="auto"/>
      </w:divBdr>
    </w:div>
    <w:div w:id="418795163">
      <w:bodyDiv w:val="1"/>
      <w:marLeft w:val="0"/>
      <w:marRight w:val="0"/>
      <w:marTop w:val="0"/>
      <w:marBottom w:val="0"/>
      <w:divBdr>
        <w:top w:val="none" w:sz="0" w:space="0" w:color="auto"/>
        <w:left w:val="none" w:sz="0" w:space="0" w:color="auto"/>
        <w:bottom w:val="none" w:sz="0" w:space="0" w:color="auto"/>
        <w:right w:val="none" w:sz="0" w:space="0" w:color="auto"/>
      </w:divBdr>
      <w:divsChild>
        <w:div w:id="1552112076">
          <w:marLeft w:val="0"/>
          <w:marRight w:val="0"/>
          <w:marTop w:val="0"/>
          <w:marBottom w:val="0"/>
          <w:divBdr>
            <w:top w:val="none" w:sz="0" w:space="0" w:color="auto"/>
            <w:left w:val="none" w:sz="0" w:space="0" w:color="auto"/>
            <w:bottom w:val="none" w:sz="0" w:space="0" w:color="auto"/>
            <w:right w:val="none" w:sz="0" w:space="0" w:color="auto"/>
          </w:divBdr>
        </w:div>
        <w:div w:id="1945648321">
          <w:marLeft w:val="0"/>
          <w:marRight w:val="0"/>
          <w:marTop w:val="0"/>
          <w:marBottom w:val="0"/>
          <w:divBdr>
            <w:top w:val="none" w:sz="0" w:space="0" w:color="auto"/>
            <w:left w:val="none" w:sz="0" w:space="0" w:color="auto"/>
            <w:bottom w:val="none" w:sz="0" w:space="0" w:color="auto"/>
            <w:right w:val="none" w:sz="0" w:space="0" w:color="auto"/>
          </w:divBdr>
        </w:div>
      </w:divsChild>
    </w:div>
    <w:div w:id="452217093">
      <w:bodyDiv w:val="1"/>
      <w:marLeft w:val="0"/>
      <w:marRight w:val="0"/>
      <w:marTop w:val="0"/>
      <w:marBottom w:val="0"/>
      <w:divBdr>
        <w:top w:val="none" w:sz="0" w:space="0" w:color="auto"/>
        <w:left w:val="none" w:sz="0" w:space="0" w:color="auto"/>
        <w:bottom w:val="none" w:sz="0" w:space="0" w:color="auto"/>
        <w:right w:val="none" w:sz="0" w:space="0" w:color="auto"/>
      </w:divBdr>
    </w:div>
    <w:div w:id="457769639">
      <w:bodyDiv w:val="1"/>
      <w:marLeft w:val="0"/>
      <w:marRight w:val="0"/>
      <w:marTop w:val="0"/>
      <w:marBottom w:val="0"/>
      <w:divBdr>
        <w:top w:val="none" w:sz="0" w:space="0" w:color="auto"/>
        <w:left w:val="none" w:sz="0" w:space="0" w:color="auto"/>
        <w:bottom w:val="none" w:sz="0" w:space="0" w:color="auto"/>
        <w:right w:val="none" w:sz="0" w:space="0" w:color="auto"/>
      </w:divBdr>
    </w:div>
    <w:div w:id="491485395">
      <w:bodyDiv w:val="1"/>
      <w:marLeft w:val="0"/>
      <w:marRight w:val="0"/>
      <w:marTop w:val="0"/>
      <w:marBottom w:val="0"/>
      <w:divBdr>
        <w:top w:val="none" w:sz="0" w:space="0" w:color="auto"/>
        <w:left w:val="none" w:sz="0" w:space="0" w:color="auto"/>
        <w:bottom w:val="none" w:sz="0" w:space="0" w:color="auto"/>
        <w:right w:val="none" w:sz="0" w:space="0" w:color="auto"/>
      </w:divBdr>
    </w:div>
    <w:div w:id="492331746">
      <w:bodyDiv w:val="1"/>
      <w:marLeft w:val="0"/>
      <w:marRight w:val="0"/>
      <w:marTop w:val="0"/>
      <w:marBottom w:val="0"/>
      <w:divBdr>
        <w:top w:val="none" w:sz="0" w:space="0" w:color="auto"/>
        <w:left w:val="none" w:sz="0" w:space="0" w:color="auto"/>
        <w:bottom w:val="none" w:sz="0" w:space="0" w:color="auto"/>
        <w:right w:val="none" w:sz="0" w:space="0" w:color="auto"/>
      </w:divBdr>
    </w:div>
    <w:div w:id="495850796">
      <w:bodyDiv w:val="1"/>
      <w:marLeft w:val="0"/>
      <w:marRight w:val="0"/>
      <w:marTop w:val="0"/>
      <w:marBottom w:val="0"/>
      <w:divBdr>
        <w:top w:val="none" w:sz="0" w:space="0" w:color="auto"/>
        <w:left w:val="none" w:sz="0" w:space="0" w:color="auto"/>
        <w:bottom w:val="none" w:sz="0" w:space="0" w:color="auto"/>
        <w:right w:val="none" w:sz="0" w:space="0" w:color="auto"/>
      </w:divBdr>
    </w:div>
    <w:div w:id="502284433">
      <w:bodyDiv w:val="1"/>
      <w:marLeft w:val="0"/>
      <w:marRight w:val="0"/>
      <w:marTop w:val="0"/>
      <w:marBottom w:val="0"/>
      <w:divBdr>
        <w:top w:val="none" w:sz="0" w:space="0" w:color="auto"/>
        <w:left w:val="none" w:sz="0" w:space="0" w:color="auto"/>
        <w:bottom w:val="none" w:sz="0" w:space="0" w:color="auto"/>
        <w:right w:val="none" w:sz="0" w:space="0" w:color="auto"/>
      </w:divBdr>
      <w:divsChild>
        <w:div w:id="102580379">
          <w:marLeft w:val="0"/>
          <w:marRight w:val="0"/>
          <w:marTop w:val="0"/>
          <w:marBottom w:val="0"/>
          <w:divBdr>
            <w:top w:val="none" w:sz="0" w:space="0" w:color="auto"/>
            <w:left w:val="none" w:sz="0" w:space="0" w:color="auto"/>
            <w:bottom w:val="none" w:sz="0" w:space="0" w:color="auto"/>
            <w:right w:val="none" w:sz="0" w:space="0" w:color="auto"/>
          </w:divBdr>
        </w:div>
      </w:divsChild>
    </w:div>
    <w:div w:id="507672238">
      <w:bodyDiv w:val="1"/>
      <w:marLeft w:val="0"/>
      <w:marRight w:val="0"/>
      <w:marTop w:val="0"/>
      <w:marBottom w:val="0"/>
      <w:divBdr>
        <w:top w:val="none" w:sz="0" w:space="0" w:color="auto"/>
        <w:left w:val="none" w:sz="0" w:space="0" w:color="auto"/>
        <w:bottom w:val="none" w:sz="0" w:space="0" w:color="auto"/>
        <w:right w:val="none" w:sz="0" w:space="0" w:color="auto"/>
      </w:divBdr>
      <w:divsChild>
        <w:div w:id="39477215">
          <w:marLeft w:val="0"/>
          <w:marRight w:val="0"/>
          <w:marTop w:val="0"/>
          <w:marBottom w:val="0"/>
          <w:divBdr>
            <w:top w:val="none" w:sz="0" w:space="0" w:color="auto"/>
            <w:left w:val="none" w:sz="0" w:space="0" w:color="auto"/>
            <w:bottom w:val="none" w:sz="0" w:space="0" w:color="auto"/>
            <w:right w:val="none" w:sz="0" w:space="0" w:color="auto"/>
          </w:divBdr>
        </w:div>
        <w:div w:id="1324044113">
          <w:marLeft w:val="0"/>
          <w:marRight w:val="0"/>
          <w:marTop w:val="0"/>
          <w:marBottom w:val="0"/>
          <w:divBdr>
            <w:top w:val="none" w:sz="0" w:space="0" w:color="auto"/>
            <w:left w:val="none" w:sz="0" w:space="0" w:color="auto"/>
            <w:bottom w:val="none" w:sz="0" w:space="0" w:color="auto"/>
            <w:right w:val="none" w:sz="0" w:space="0" w:color="auto"/>
          </w:divBdr>
        </w:div>
      </w:divsChild>
    </w:div>
    <w:div w:id="517039372">
      <w:bodyDiv w:val="1"/>
      <w:marLeft w:val="0"/>
      <w:marRight w:val="0"/>
      <w:marTop w:val="0"/>
      <w:marBottom w:val="0"/>
      <w:divBdr>
        <w:top w:val="none" w:sz="0" w:space="0" w:color="auto"/>
        <w:left w:val="none" w:sz="0" w:space="0" w:color="auto"/>
        <w:bottom w:val="none" w:sz="0" w:space="0" w:color="auto"/>
        <w:right w:val="none" w:sz="0" w:space="0" w:color="auto"/>
      </w:divBdr>
    </w:div>
    <w:div w:id="543175937">
      <w:bodyDiv w:val="1"/>
      <w:marLeft w:val="0"/>
      <w:marRight w:val="0"/>
      <w:marTop w:val="0"/>
      <w:marBottom w:val="0"/>
      <w:divBdr>
        <w:top w:val="none" w:sz="0" w:space="0" w:color="auto"/>
        <w:left w:val="none" w:sz="0" w:space="0" w:color="auto"/>
        <w:bottom w:val="none" w:sz="0" w:space="0" w:color="auto"/>
        <w:right w:val="none" w:sz="0" w:space="0" w:color="auto"/>
      </w:divBdr>
      <w:divsChild>
        <w:div w:id="1505626817">
          <w:marLeft w:val="0"/>
          <w:marRight w:val="0"/>
          <w:marTop w:val="0"/>
          <w:marBottom w:val="0"/>
          <w:divBdr>
            <w:top w:val="none" w:sz="0" w:space="0" w:color="auto"/>
            <w:left w:val="none" w:sz="0" w:space="0" w:color="auto"/>
            <w:bottom w:val="none" w:sz="0" w:space="0" w:color="auto"/>
            <w:right w:val="none" w:sz="0" w:space="0" w:color="auto"/>
          </w:divBdr>
        </w:div>
        <w:div w:id="2068258769">
          <w:marLeft w:val="0"/>
          <w:marRight w:val="0"/>
          <w:marTop w:val="0"/>
          <w:marBottom w:val="0"/>
          <w:divBdr>
            <w:top w:val="none" w:sz="0" w:space="0" w:color="auto"/>
            <w:left w:val="none" w:sz="0" w:space="0" w:color="auto"/>
            <w:bottom w:val="none" w:sz="0" w:space="0" w:color="auto"/>
            <w:right w:val="none" w:sz="0" w:space="0" w:color="auto"/>
          </w:divBdr>
        </w:div>
      </w:divsChild>
    </w:div>
    <w:div w:id="544368809">
      <w:bodyDiv w:val="1"/>
      <w:marLeft w:val="0"/>
      <w:marRight w:val="0"/>
      <w:marTop w:val="0"/>
      <w:marBottom w:val="0"/>
      <w:divBdr>
        <w:top w:val="none" w:sz="0" w:space="0" w:color="auto"/>
        <w:left w:val="none" w:sz="0" w:space="0" w:color="auto"/>
        <w:bottom w:val="none" w:sz="0" w:space="0" w:color="auto"/>
        <w:right w:val="none" w:sz="0" w:space="0" w:color="auto"/>
      </w:divBdr>
    </w:div>
    <w:div w:id="566186386">
      <w:bodyDiv w:val="1"/>
      <w:marLeft w:val="0"/>
      <w:marRight w:val="0"/>
      <w:marTop w:val="0"/>
      <w:marBottom w:val="0"/>
      <w:divBdr>
        <w:top w:val="none" w:sz="0" w:space="0" w:color="auto"/>
        <w:left w:val="none" w:sz="0" w:space="0" w:color="auto"/>
        <w:bottom w:val="none" w:sz="0" w:space="0" w:color="auto"/>
        <w:right w:val="none" w:sz="0" w:space="0" w:color="auto"/>
      </w:divBdr>
    </w:div>
    <w:div w:id="568685699">
      <w:bodyDiv w:val="1"/>
      <w:marLeft w:val="0"/>
      <w:marRight w:val="0"/>
      <w:marTop w:val="0"/>
      <w:marBottom w:val="0"/>
      <w:divBdr>
        <w:top w:val="none" w:sz="0" w:space="0" w:color="auto"/>
        <w:left w:val="none" w:sz="0" w:space="0" w:color="auto"/>
        <w:bottom w:val="none" w:sz="0" w:space="0" w:color="auto"/>
        <w:right w:val="none" w:sz="0" w:space="0" w:color="auto"/>
      </w:divBdr>
    </w:div>
    <w:div w:id="630988264">
      <w:bodyDiv w:val="1"/>
      <w:marLeft w:val="0"/>
      <w:marRight w:val="0"/>
      <w:marTop w:val="0"/>
      <w:marBottom w:val="0"/>
      <w:divBdr>
        <w:top w:val="none" w:sz="0" w:space="0" w:color="auto"/>
        <w:left w:val="none" w:sz="0" w:space="0" w:color="auto"/>
        <w:bottom w:val="none" w:sz="0" w:space="0" w:color="auto"/>
        <w:right w:val="none" w:sz="0" w:space="0" w:color="auto"/>
      </w:divBdr>
    </w:div>
    <w:div w:id="663819268">
      <w:bodyDiv w:val="1"/>
      <w:marLeft w:val="0"/>
      <w:marRight w:val="0"/>
      <w:marTop w:val="0"/>
      <w:marBottom w:val="0"/>
      <w:divBdr>
        <w:top w:val="none" w:sz="0" w:space="0" w:color="auto"/>
        <w:left w:val="none" w:sz="0" w:space="0" w:color="auto"/>
        <w:bottom w:val="none" w:sz="0" w:space="0" w:color="auto"/>
        <w:right w:val="none" w:sz="0" w:space="0" w:color="auto"/>
      </w:divBdr>
      <w:divsChild>
        <w:div w:id="65492806">
          <w:marLeft w:val="0"/>
          <w:marRight w:val="0"/>
          <w:marTop w:val="0"/>
          <w:marBottom w:val="0"/>
          <w:divBdr>
            <w:top w:val="none" w:sz="0" w:space="0" w:color="auto"/>
            <w:left w:val="none" w:sz="0" w:space="0" w:color="auto"/>
            <w:bottom w:val="none" w:sz="0" w:space="0" w:color="auto"/>
            <w:right w:val="none" w:sz="0" w:space="0" w:color="auto"/>
          </w:divBdr>
        </w:div>
        <w:div w:id="417411422">
          <w:marLeft w:val="0"/>
          <w:marRight w:val="0"/>
          <w:marTop w:val="0"/>
          <w:marBottom w:val="0"/>
          <w:divBdr>
            <w:top w:val="none" w:sz="0" w:space="0" w:color="auto"/>
            <w:left w:val="none" w:sz="0" w:space="0" w:color="auto"/>
            <w:bottom w:val="none" w:sz="0" w:space="0" w:color="auto"/>
            <w:right w:val="none" w:sz="0" w:space="0" w:color="auto"/>
          </w:divBdr>
        </w:div>
        <w:div w:id="813595554">
          <w:marLeft w:val="0"/>
          <w:marRight w:val="0"/>
          <w:marTop w:val="0"/>
          <w:marBottom w:val="0"/>
          <w:divBdr>
            <w:top w:val="none" w:sz="0" w:space="0" w:color="auto"/>
            <w:left w:val="none" w:sz="0" w:space="0" w:color="auto"/>
            <w:bottom w:val="none" w:sz="0" w:space="0" w:color="auto"/>
            <w:right w:val="none" w:sz="0" w:space="0" w:color="auto"/>
          </w:divBdr>
        </w:div>
        <w:div w:id="1452548345">
          <w:marLeft w:val="0"/>
          <w:marRight w:val="0"/>
          <w:marTop w:val="0"/>
          <w:marBottom w:val="0"/>
          <w:divBdr>
            <w:top w:val="none" w:sz="0" w:space="0" w:color="auto"/>
            <w:left w:val="none" w:sz="0" w:space="0" w:color="auto"/>
            <w:bottom w:val="none" w:sz="0" w:space="0" w:color="auto"/>
            <w:right w:val="none" w:sz="0" w:space="0" w:color="auto"/>
          </w:divBdr>
        </w:div>
        <w:div w:id="2130314218">
          <w:marLeft w:val="0"/>
          <w:marRight w:val="0"/>
          <w:marTop w:val="0"/>
          <w:marBottom w:val="0"/>
          <w:divBdr>
            <w:top w:val="none" w:sz="0" w:space="0" w:color="auto"/>
            <w:left w:val="none" w:sz="0" w:space="0" w:color="auto"/>
            <w:bottom w:val="none" w:sz="0" w:space="0" w:color="auto"/>
            <w:right w:val="none" w:sz="0" w:space="0" w:color="auto"/>
          </w:divBdr>
        </w:div>
      </w:divsChild>
    </w:div>
    <w:div w:id="667486604">
      <w:bodyDiv w:val="1"/>
      <w:marLeft w:val="0"/>
      <w:marRight w:val="0"/>
      <w:marTop w:val="0"/>
      <w:marBottom w:val="0"/>
      <w:divBdr>
        <w:top w:val="none" w:sz="0" w:space="0" w:color="auto"/>
        <w:left w:val="none" w:sz="0" w:space="0" w:color="auto"/>
        <w:bottom w:val="none" w:sz="0" w:space="0" w:color="auto"/>
        <w:right w:val="none" w:sz="0" w:space="0" w:color="auto"/>
      </w:divBdr>
    </w:div>
    <w:div w:id="688025083">
      <w:bodyDiv w:val="1"/>
      <w:marLeft w:val="0"/>
      <w:marRight w:val="0"/>
      <w:marTop w:val="0"/>
      <w:marBottom w:val="0"/>
      <w:divBdr>
        <w:top w:val="none" w:sz="0" w:space="0" w:color="auto"/>
        <w:left w:val="none" w:sz="0" w:space="0" w:color="auto"/>
        <w:bottom w:val="none" w:sz="0" w:space="0" w:color="auto"/>
        <w:right w:val="none" w:sz="0" w:space="0" w:color="auto"/>
      </w:divBdr>
      <w:divsChild>
        <w:div w:id="1835416778">
          <w:marLeft w:val="0"/>
          <w:marRight w:val="0"/>
          <w:marTop w:val="0"/>
          <w:marBottom w:val="0"/>
          <w:divBdr>
            <w:top w:val="none" w:sz="0" w:space="0" w:color="auto"/>
            <w:left w:val="none" w:sz="0" w:space="0" w:color="auto"/>
            <w:bottom w:val="none" w:sz="0" w:space="0" w:color="auto"/>
            <w:right w:val="none" w:sz="0" w:space="0" w:color="auto"/>
          </w:divBdr>
        </w:div>
      </w:divsChild>
    </w:div>
    <w:div w:id="689840642">
      <w:bodyDiv w:val="1"/>
      <w:marLeft w:val="0"/>
      <w:marRight w:val="0"/>
      <w:marTop w:val="0"/>
      <w:marBottom w:val="0"/>
      <w:divBdr>
        <w:top w:val="none" w:sz="0" w:space="0" w:color="auto"/>
        <w:left w:val="none" w:sz="0" w:space="0" w:color="auto"/>
        <w:bottom w:val="none" w:sz="0" w:space="0" w:color="auto"/>
        <w:right w:val="none" w:sz="0" w:space="0" w:color="auto"/>
      </w:divBdr>
    </w:div>
    <w:div w:id="694767829">
      <w:bodyDiv w:val="1"/>
      <w:marLeft w:val="0"/>
      <w:marRight w:val="0"/>
      <w:marTop w:val="0"/>
      <w:marBottom w:val="0"/>
      <w:divBdr>
        <w:top w:val="none" w:sz="0" w:space="0" w:color="auto"/>
        <w:left w:val="none" w:sz="0" w:space="0" w:color="auto"/>
        <w:bottom w:val="none" w:sz="0" w:space="0" w:color="auto"/>
        <w:right w:val="none" w:sz="0" w:space="0" w:color="auto"/>
      </w:divBdr>
    </w:div>
    <w:div w:id="712386957">
      <w:bodyDiv w:val="1"/>
      <w:marLeft w:val="0"/>
      <w:marRight w:val="0"/>
      <w:marTop w:val="0"/>
      <w:marBottom w:val="0"/>
      <w:divBdr>
        <w:top w:val="none" w:sz="0" w:space="0" w:color="auto"/>
        <w:left w:val="none" w:sz="0" w:space="0" w:color="auto"/>
        <w:bottom w:val="none" w:sz="0" w:space="0" w:color="auto"/>
        <w:right w:val="none" w:sz="0" w:space="0" w:color="auto"/>
      </w:divBdr>
    </w:div>
    <w:div w:id="739057653">
      <w:bodyDiv w:val="1"/>
      <w:marLeft w:val="0"/>
      <w:marRight w:val="0"/>
      <w:marTop w:val="0"/>
      <w:marBottom w:val="0"/>
      <w:divBdr>
        <w:top w:val="none" w:sz="0" w:space="0" w:color="auto"/>
        <w:left w:val="none" w:sz="0" w:space="0" w:color="auto"/>
        <w:bottom w:val="none" w:sz="0" w:space="0" w:color="auto"/>
        <w:right w:val="none" w:sz="0" w:space="0" w:color="auto"/>
      </w:divBdr>
    </w:div>
    <w:div w:id="741483522">
      <w:bodyDiv w:val="1"/>
      <w:marLeft w:val="0"/>
      <w:marRight w:val="0"/>
      <w:marTop w:val="0"/>
      <w:marBottom w:val="0"/>
      <w:divBdr>
        <w:top w:val="none" w:sz="0" w:space="0" w:color="auto"/>
        <w:left w:val="none" w:sz="0" w:space="0" w:color="auto"/>
        <w:bottom w:val="none" w:sz="0" w:space="0" w:color="auto"/>
        <w:right w:val="none" w:sz="0" w:space="0" w:color="auto"/>
      </w:divBdr>
      <w:divsChild>
        <w:div w:id="274025188">
          <w:marLeft w:val="0"/>
          <w:marRight w:val="0"/>
          <w:marTop w:val="0"/>
          <w:marBottom w:val="0"/>
          <w:divBdr>
            <w:top w:val="none" w:sz="0" w:space="0" w:color="auto"/>
            <w:left w:val="none" w:sz="0" w:space="0" w:color="auto"/>
            <w:bottom w:val="none" w:sz="0" w:space="0" w:color="auto"/>
            <w:right w:val="none" w:sz="0" w:space="0" w:color="auto"/>
          </w:divBdr>
        </w:div>
      </w:divsChild>
    </w:div>
    <w:div w:id="757138589">
      <w:bodyDiv w:val="1"/>
      <w:marLeft w:val="0"/>
      <w:marRight w:val="0"/>
      <w:marTop w:val="0"/>
      <w:marBottom w:val="0"/>
      <w:divBdr>
        <w:top w:val="none" w:sz="0" w:space="0" w:color="auto"/>
        <w:left w:val="none" w:sz="0" w:space="0" w:color="auto"/>
        <w:bottom w:val="none" w:sz="0" w:space="0" w:color="auto"/>
        <w:right w:val="none" w:sz="0" w:space="0" w:color="auto"/>
      </w:divBdr>
    </w:div>
    <w:div w:id="764617461">
      <w:bodyDiv w:val="1"/>
      <w:marLeft w:val="0"/>
      <w:marRight w:val="0"/>
      <w:marTop w:val="0"/>
      <w:marBottom w:val="0"/>
      <w:divBdr>
        <w:top w:val="none" w:sz="0" w:space="0" w:color="auto"/>
        <w:left w:val="none" w:sz="0" w:space="0" w:color="auto"/>
        <w:bottom w:val="none" w:sz="0" w:space="0" w:color="auto"/>
        <w:right w:val="none" w:sz="0" w:space="0" w:color="auto"/>
      </w:divBdr>
    </w:div>
    <w:div w:id="765073473">
      <w:bodyDiv w:val="1"/>
      <w:marLeft w:val="0"/>
      <w:marRight w:val="0"/>
      <w:marTop w:val="0"/>
      <w:marBottom w:val="0"/>
      <w:divBdr>
        <w:top w:val="none" w:sz="0" w:space="0" w:color="auto"/>
        <w:left w:val="none" w:sz="0" w:space="0" w:color="auto"/>
        <w:bottom w:val="none" w:sz="0" w:space="0" w:color="auto"/>
        <w:right w:val="none" w:sz="0" w:space="0" w:color="auto"/>
      </w:divBdr>
      <w:divsChild>
        <w:div w:id="19017436">
          <w:marLeft w:val="0"/>
          <w:marRight w:val="0"/>
          <w:marTop w:val="0"/>
          <w:marBottom w:val="0"/>
          <w:divBdr>
            <w:top w:val="none" w:sz="0" w:space="0" w:color="auto"/>
            <w:left w:val="none" w:sz="0" w:space="0" w:color="auto"/>
            <w:bottom w:val="none" w:sz="0" w:space="0" w:color="auto"/>
            <w:right w:val="none" w:sz="0" w:space="0" w:color="auto"/>
          </w:divBdr>
        </w:div>
        <w:div w:id="847601654">
          <w:marLeft w:val="0"/>
          <w:marRight w:val="0"/>
          <w:marTop w:val="0"/>
          <w:marBottom w:val="0"/>
          <w:divBdr>
            <w:top w:val="none" w:sz="0" w:space="0" w:color="auto"/>
            <w:left w:val="none" w:sz="0" w:space="0" w:color="auto"/>
            <w:bottom w:val="none" w:sz="0" w:space="0" w:color="auto"/>
            <w:right w:val="none" w:sz="0" w:space="0" w:color="auto"/>
          </w:divBdr>
        </w:div>
        <w:div w:id="1282565595">
          <w:marLeft w:val="0"/>
          <w:marRight w:val="0"/>
          <w:marTop w:val="0"/>
          <w:marBottom w:val="0"/>
          <w:divBdr>
            <w:top w:val="none" w:sz="0" w:space="0" w:color="auto"/>
            <w:left w:val="none" w:sz="0" w:space="0" w:color="auto"/>
            <w:bottom w:val="none" w:sz="0" w:space="0" w:color="auto"/>
            <w:right w:val="none" w:sz="0" w:space="0" w:color="auto"/>
          </w:divBdr>
        </w:div>
        <w:div w:id="1915163102">
          <w:marLeft w:val="0"/>
          <w:marRight w:val="0"/>
          <w:marTop w:val="0"/>
          <w:marBottom w:val="0"/>
          <w:divBdr>
            <w:top w:val="none" w:sz="0" w:space="0" w:color="auto"/>
            <w:left w:val="none" w:sz="0" w:space="0" w:color="auto"/>
            <w:bottom w:val="none" w:sz="0" w:space="0" w:color="auto"/>
            <w:right w:val="none" w:sz="0" w:space="0" w:color="auto"/>
          </w:divBdr>
        </w:div>
        <w:div w:id="1927032381">
          <w:marLeft w:val="0"/>
          <w:marRight w:val="0"/>
          <w:marTop w:val="0"/>
          <w:marBottom w:val="0"/>
          <w:divBdr>
            <w:top w:val="none" w:sz="0" w:space="0" w:color="auto"/>
            <w:left w:val="none" w:sz="0" w:space="0" w:color="auto"/>
            <w:bottom w:val="none" w:sz="0" w:space="0" w:color="auto"/>
            <w:right w:val="none" w:sz="0" w:space="0" w:color="auto"/>
          </w:divBdr>
        </w:div>
        <w:div w:id="2020765115">
          <w:marLeft w:val="0"/>
          <w:marRight w:val="0"/>
          <w:marTop w:val="0"/>
          <w:marBottom w:val="0"/>
          <w:divBdr>
            <w:top w:val="none" w:sz="0" w:space="0" w:color="auto"/>
            <w:left w:val="none" w:sz="0" w:space="0" w:color="auto"/>
            <w:bottom w:val="none" w:sz="0" w:space="0" w:color="auto"/>
            <w:right w:val="none" w:sz="0" w:space="0" w:color="auto"/>
          </w:divBdr>
        </w:div>
      </w:divsChild>
    </w:div>
    <w:div w:id="796215609">
      <w:bodyDiv w:val="1"/>
      <w:marLeft w:val="0"/>
      <w:marRight w:val="0"/>
      <w:marTop w:val="0"/>
      <w:marBottom w:val="0"/>
      <w:divBdr>
        <w:top w:val="none" w:sz="0" w:space="0" w:color="auto"/>
        <w:left w:val="none" w:sz="0" w:space="0" w:color="auto"/>
        <w:bottom w:val="none" w:sz="0" w:space="0" w:color="auto"/>
        <w:right w:val="none" w:sz="0" w:space="0" w:color="auto"/>
      </w:divBdr>
    </w:div>
    <w:div w:id="815219283">
      <w:bodyDiv w:val="1"/>
      <w:marLeft w:val="0"/>
      <w:marRight w:val="0"/>
      <w:marTop w:val="0"/>
      <w:marBottom w:val="0"/>
      <w:divBdr>
        <w:top w:val="none" w:sz="0" w:space="0" w:color="auto"/>
        <w:left w:val="none" w:sz="0" w:space="0" w:color="auto"/>
        <w:bottom w:val="none" w:sz="0" w:space="0" w:color="auto"/>
        <w:right w:val="none" w:sz="0" w:space="0" w:color="auto"/>
      </w:divBdr>
    </w:div>
    <w:div w:id="824513488">
      <w:bodyDiv w:val="1"/>
      <w:marLeft w:val="0"/>
      <w:marRight w:val="0"/>
      <w:marTop w:val="0"/>
      <w:marBottom w:val="0"/>
      <w:divBdr>
        <w:top w:val="none" w:sz="0" w:space="0" w:color="auto"/>
        <w:left w:val="none" w:sz="0" w:space="0" w:color="auto"/>
        <w:bottom w:val="none" w:sz="0" w:space="0" w:color="auto"/>
        <w:right w:val="none" w:sz="0" w:space="0" w:color="auto"/>
      </w:divBdr>
    </w:div>
    <w:div w:id="836531190">
      <w:bodyDiv w:val="1"/>
      <w:marLeft w:val="0"/>
      <w:marRight w:val="0"/>
      <w:marTop w:val="0"/>
      <w:marBottom w:val="0"/>
      <w:divBdr>
        <w:top w:val="none" w:sz="0" w:space="0" w:color="auto"/>
        <w:left w:val="none" w:sz="0" w:space="0" w:color="auto"/>
        <w:bottom w:val="none" w:sz="0" w:space="0" w:color="auto"/>
        <w:right w:val="none" w:sz="0" w:space="0" w:color="auto"/>
      </w:divBdr>
    </w:div>
    <w:div w:id="838620984">
      <w:bodyDiv w:val="1"/>
      <w:marLeft w:val="0"/>
      <w:marRight w:val="0"/>
      <w:marTop w:val="0"/>
      <w:marBottom w:val="0"/>
      <w:divBdr>
        <w:top w:val="none" w:sz="0" w:space="0" w:color="auto"/>
        <w:left w:val="none" w:sz="0" w:space="0" w:color="auto"/>
        <w:bottom w:val="none" w:sz="0" w:space="0" w:color="auto"/>
        <w:right w:val="none" w:sz="0" w:space="0" w:color="auto"/>
      </w:divBdr>
      <w:divsChild>
        <w:div w:id="34744404">
          <w:marLeft w:val="0"/>
          <w:marRight w:val="0"/>
          <w:marTop w:val="0"/>
          <w:marBottom w:val="0"/>
          <w:divBdr>
            <w:top w:val="none" w:sz="0" w:space="0" w:color="auto"/>
            <w:left w:val="none" w:sz="0" w:space="0" w:color="auto"/>
            <w:bottom w:val="none" w:sz="0" w:space="0" w:color="auto"/>
            <w:right w:val="none" w:sz="0" w:space="0" w:color="auto"/>
          </w:divBdr>
        </w:div>
        <w:div w:id="1773285336">
          <w:marLeft w:val="0"/>
          <w:marRight w:val="0"/>
          <w:marTop w:val="0"/>
          <w:marBottom w:val="0"/>
          <w:divBdr>
            <w:top w:val="none" w:sz="0" w:space="0" w:color="auto"/>
            <w:left w:val="none" w:sz="0" w:space="0" w:color="auto"/>
            <w:bottom w:val="none" w:sz="0" w:space="0" w:color="auto"/>
            <w:right w:val="none" w:sz="0" w:space="0" w:color="auto"/>
          </w:divBdr>
        </w:div>
      </w:divsChild>
    </w:div>
    <w:div w:id="845439857">
      <w:bodyDiv w:val="1"/>
      <w:marLeft w:val="0"/>
      <w:marRight w:val="0"/>
      <w:marTop w:val="0"/>
      <w:marBottom w:val="0"/>
      <w:divBdr>
        <w:top w:val="none" w:sz="0" w:space="0" w:color="auto"/>
        <w:left w:val="none" w:sz="0" w:space="0" w:color="auto"/>
        <w:bottom w:val="none" w:sz="0" w:space="0" w:color="auto"/>
        <w:right w:val="none" w:sz="0" w:space="0" w:color="auto"/>
      </w:divBdr>
    </w:div>
    <w:div w:id="846094557">
      <w:bodyDiv w:val="1"/>
      <w:marLeft w:val="0"/>
      <w:marRight w:val="0"/>
      <w:marTop w:val="0"/>
      <w:marBottom w:val="0"/>
      <w:divBdr>
        <w:top w:val="none" w:sz="0" w:space="0" w:color="auto"/>
        <w:left w:val="none" w:sz="0" w:space="0" w:color="auto"/>
        <w:bottom w:val="none" w:sz="0" w:space="0" w:color="auto"/>
        <w:right w:val="none" w:sz="0" w:space="0" w:color="auto"/>
      </w:divBdr>
      <w:divsChild>
        <w:div w:id="1169759652">
          <w:marLeft w:val="0"/>
          <w:marRight w:val="0"/>
          <w:marTop w:val="0"/>
          <w:marBottom w:val="0"/>
          <w:divBdr>
            <w:top w:val="none" w:sz="0" w:space="0" w:color="auto"/>
            <w:left w:val="none" w:sz="0" w:space="0" w:color="auto"/>
            <w:bottom w:val="none" w:sz="0" w:space="0" w:color="auto"/>
            <w:right w:val="none" w:sz="0" w:space="0" w:color="auto"/>
          </w:divBdr>
        </w:div>
      </w:divsChild>
    </w:div>
    <w:div w:id="857086808">
      <w:bodyDiv w:val="1"/>
      <w:marLeft w:val="0"/>
      <w:marRight w:val="0"/>
      <w:marTop w:val="0"/>
      <w:marBottom w:val="0"/>
      <w:divBdr>
        <w:top w:val="none" w:sz="0" w:space="0" w:color="auto"/>
        <w:left w:val="none" w:sz="0" w:space="0" w:color="auto"/>
        <w:bottom w:val="none" w:sz="0" w:space="0" w:color="auto"/>
        <w:right w:val="none" w:sz="0" w:space="0" w:color="auto"/>
      </w:divBdr>
    </w:div>
    <w:div w:id="873808555">
      <w:bodyDiv w:val="1"/>
      <w:marLeft w:val="0"/>
      <w:marRight w:val="0"/>
      <w:marTop w:val="0"/>
      <w:marBottom w:val="0"/>
      <w:divBdr>
        <w:top w:val="none" w:sz="0" w:space="0" w:color="auto"/>
        <w:left w:val="none" w:sz="0" w:space="0" w:color="auto"/>
        <w:bottom w:val="none" w:sz="0" w:space="0" w:color="auto"/>
        <w:right w:val="none" w:sz="0" w:space="0" w:color="auto"/>
      </w:divBdr>
      <w:divsChild>
        <w:div w:id="798692986">
          <w:marLeft w:val="0"/>
          <w:marRight w:val="0"/>
          <w:marTop w:val="0"/>
          <w:marBottom w:val="0"/>
          <w:divBdr>
            <w:top w:val="none" w:sz="0" w:space="0" w:color="auto"/>
            <w:left w:val="none" w:sz="0" w:space="0" w:color="auto"/>
            <w:bottom w:val="none" w:sz="0" w:space="0" w:color="auto"/>
            <w:right w:val="none" w:sz="0" w:space="0" w:color="auto"/>
          </w:divBdr>
        </w:div>
        <w:div w:id="1183864239">
          <w:marLeft w:val="0"/>
          <w:marRight w:val="0"/>
          <w:marTop w:val="0"/>
          <w:marBottom w:val="0"/>
          <w:divBdr>
            <w:top w:val="none" w:sz="0" w:space="0" w:color="auto"/>
            <w:left w:val="none" w:sz="0" w:space="0" w:color="auto"/>
            <w:bottom w:val="none" w:sz="0" w:space="0" w:color="auto"/>
            <w:right w:val="none" w:sz="0" w:space="0" w:color="auto"/>
          </w:divBdr>
        </w:div>
        <w:div w:id="1538546178">
          <w:marLeft w:val="0"/>
          <w:marRight w:val="0"/>
          <w:marTop w:val="0"/>
          <w:marBottom w:val="0"/>
          <w:divBdr>
            <w:top w:val="none" w:sz="0" w:space="0" w:color="auto"/>
            <w:left w:val="none" w:sz="0" w:space="0" w:color="auto"/>
            <w:bottom w:val="none" w:sz="0" w:space="0" w:color="auto"/>
            <w:right w:val="none" w:sz="0" w:space="0" w:color="auto"/>
          </w:divBdr>
        </w:div>
      </w:divsChild>
    </w:div>
    <w:div w:id="881014082">
      <w:bodyDiv w:val="1"/>
      <w:marLeft w:val="0"/>
      <w:marRight w:val="0"/>
      <w:marTop w:val="0"/>
      <w:marBottom w:val="0"/>
      <w:divBdr>
        <w:top w:val="none" w:sz="0" w:space="0" w:color="auto"/>
        <w:left w:val="none" w:sz="0" w:space="0" w:color="auto"/>
        <w:bottom w:val="none" w:sz="0" w:space="0" w:color="auto"/>
        <w:right w:val="none" w:sz="0" w:space="0" w:color="auto"/>
      </w:divBdr>
    </w:div>
    <w:div w:id="882248887">
      <w:bodyDiv w:val="1"/>
      <w:marLeft w:val="0"/>
      <w:marRight w:val="0"/>
      <w:marTop w:val="0"/>
      <w:marBottom w:val="0"/>
      <w:divBdr>
        <w:top w:val="none" w:sz="0" w:space="0" w:color="auto"/>
        <w:left w:val="none" w:sz="0" w:space="0" w:color="auto"/>
        <w:bottom w:val="none" w:sz="0" w:space="0" w:color="auto"/>
        <w:right w:val="none" w:sz="0" w:space="0" w:color="auto"/>
      </w:divBdr>
    </w:div>
    <w:div w:id="898588425">
      <w:bodyDiv w:val="1"/>
      <w:marLeft w:val="0"/>
      <w:marRight w:val="0"/>
      <w:marTop w:val="0"/>
      <w:marBottom w:val="0"/>
      <w:divBdr>
        <w:top w:val="none" w:sz="0" w:space="0" w:color="auto"/>
        <w:left w:val="none" w:sz="0" w:space="0" w:color="auto"/>
        <w:bottom w:val="none" w:sz="0" w:space="0" w:color="auto"/>
        <w:right w:val="none" w:sz="0" w:space="0" w:color="auto"/>
      </w:divBdr>
    </w:div>
    <w:div w:id="917323509">
      <w:bodyDiv w:val="1"/>
      <w:marLeft w:val="0"/>
      <w:marRight w:val="0"/>
      <w:marTop w:val="0"/>
      <w:marBottom w:val="0"/>
      <w:divBdr>
        <w:top w:val="none" w:sz="0" w:space="0" w:color="auto"/>
        <w:left w:val="none" w:sz="0" w:space="0" w:color="auto"/>
        <w:bottom w:val="none" w:sz="0" w:space="0" w:color="auto"/>
        <w:right w:val="none" w:sz="0" w:space="0" w:color="auto"/>
      </w:divBdr>
    </w:div>
    <w:div w:id="919946962">
      <w:bodyDiv w:val="1"/>
      <w:marLeft w:val="0"/>
      <w:marRight w:val="0"/>
      <w:marTop w:val="0"/>
      <w:marBottom w:val="0"/>
      <w:divBdr>
        <w:top w:val="none" w:sz="0" w:space="0" w:color="auto"/>
        <w:left w:val="none" w:sz="0" w:space="0" w:color="auto"/>
        <w:bottom w:val="none" w:sz="0" w:space="0" w:color="auto"/>
        <w:right w:val="none" w:sz="0" w:space="0" w:color="auto"/>
      </w:divBdr>
    </w:div>
    <w:div w:id="934944160">
      <w:bodyDiv w:val="1"/>
      <w:marLeft w:val="0"/>
      <w:marRight w:val="0"/>
      <w:marTop w:val="0"/>
      <w:marBottom w:val="0"/>
      <w:divBdr>
        <w:top w:val="none" w:sz="0" w:space="0" w:color="auto"/>
        <w:left w:val="none" w:sz="0" w:space="0" w:color="auto"/>
        <w:bottom w:val="none" w:sz="0" w:space="0" w:color="auto"/>
        <w:right w:val="none" w:sz="0" w:space="0" w:color="auto"/>
      </w:divBdr>
    </w:div>
    <w:div w:id="947464311">
      <w:bodyDiv w:val="1"/>
      <w:marLeft w:val="0"/>
      <w:marRight w:val="0"/>
      <w:marTop w:val="0"/>
      <w:marBottom w:val="0"/>
      <w:divBdr>
        <w:top w:val="none" w:sz="0" w:space="0" w:color="auto"/>
        <w:left w:val="none" w:sz="0" w:space="0" w:color="auto"/>
        <w:bottom w:val="none" w:sz="0" w:space="0" w:color="auto"/>
        <w:right w:val="none" w:sz="0" w:space="0" w:color="auto"/>
      </w:divBdr>
    </w:div>
    <w:div w:id="970599499">
      <w:bodyDiv w:val="1"/>
      <w:marLeft w:val="0"/>
      <w:marRight w:val="0"/>
      <w:marTop w:val="0"/>
      <w:marBottom w:val="0"/>
      <w:divBdr>
        <w:top w:val="none" w:sz="0" w:space="0" w:color="auto"/>
        <w:left w:val="none" w:sz="0" w:space="0" w:color="auto"/>
        <w:bottom w:val="none" w:sz="0" w:space="0" w:color="auto"/>
        <w:right w:val="none" w:sz="0" w:space="0" w:color="auto"/>
      </w:divBdr>
    </w:div>
    <w:div w:id="988247869">
      <w:bodyDiv w:val="1"/>
      <w:marLeft w:val="0"/>
      <w:marRight w:val="0"/>
      <w:marTop w:val="0"/>
      <w:marBottom w:val="0"/>
      <w:divBdr>
        <w:top w:val="none" w:sz="0" w:space="0" w:color="auto"/>
        <w:left w:val="none" w:sz="0" w:space="0" w:color="auto"/>
        <w:bottom w:val="none" w:sz="0" w:space="0" w:color="auto"/>
        <w:right w:val="none" w:sz="0" w:space="0" w:color="auto"/>
      </w:divBdr>
    </w:div>
    <w:div w:id="998458422">
      <w:bodyDiv w:val="1"/>
      <w:marLeft w:val="0"/>
      <w:marRight w:val="0"/>
      <w:marTop w:val="0"/>
      <w:marBottom w:val="0"/>
      <w:divBdr>
        <w:top w:val="none" w:sz="0" w:space="0" w:color="auto"/>
        <w:left w:val="none" w:sz="0" w:space="0" w:color="auto"/>
        <w:bottom w:val="none" w:sz="0" w:space="0" w:color="auto"/>
        <w:right w:val="none" w:sz="0" w:space="0" w:color="auto"/>
      </w:divBdr>
    </w:div>
    <w:div w:id="1003632308">
      <w:bodyDiv w:val="1"/>
      <w:marLeft w:val="0"/>
      <w:marRight w:val="0"/>
      <w:marTop w:val="0"/>
      <w:marBottom w:val="0"/>
      <w:divBdr>
        <w:top w:val="none" w:sz="0" w:space="0" w:color="auto"/>
        <w:left w:val="none" w:sz="0" w:space="0" w:color="auto"/>
        <w:bottom w:val="none" w:sz="0" w:space="0" w:color="auto"/>
        <w:right w:val="none" w:sz="0" w:space="0" w:color="auto"/>
      </w:divBdr>
    </w:div>
    <w:div w:id="1007443703">
      <w:bodyDiv w:val="1"/>
      <w:marLeft w:val="0"/>
      <w:marRight w:val="0"/>
      <w:marTop w:val="0"/>
      <w:marBottom w:val="0"/>
      <w:divBdr>
        <w:top w:val="none" w:sz="0" w:space="0" w:color="auto"/>
        <w:left w:val="none" w:sz="0" w:space="0" w:color="auto"/>
        <w:bottom w:val="none" w:sz="0" w:space="0" w:color="auto"/>
        <w:right w:val="none" w:sz="0" w:space="0" w:color="auto"/>
      </w:divBdr>
    </w:div>
    <w:div w:id="1008606688">
      <w:bodyDiv w:val="1"/>
      <w:marLeft w:val="0"/>
      <w:marRight w:val="0"/>
      <w:marTop w:val="0"/>
      <w:marBottom w:val="0"/>
      <w:divBdr>
        <w:top w:val="none" w:sz="0" w:space="0" w:color="auto"/>
        <w:left w:val="none" w:sz="0" w:space="0" w:color="auto"/>
        <w:bottom w:val="none" w:sz="0" w:space="0" w:color="auto"/>
        <w:right w:val="none" w:sz="0" w:space="0" w:color="auto"/>
      </w:divBdr>
    </w:div>
    <w:div w:id="1019696546">
      <w:bodyDiv w:val="1"/>
      <w:marLeft w:val="0"/>
      <w:marRight w:val="0"/>
      <w:marTop w:val="0"/>
      <w:marBottom w:val="0"/>
      <w:divBdr>
        <w:top w:val="none" w:sz="0" w:space="0" w:color="auto"/>
        <w:left w:val="none" w:sz="0" w:space="0" w:color="auto"/>
        <w:bottom w:val="none" w:sz="0" w:space="0" w:color="auto"/>
        <w:right w:val="none" w:sz="0" w:space="0" w:color="auto"/>
      </w:divBdr>
    </w:div>
    <w:div w:id="1047408880">
      <w:bodyDiv w:val="1"/>
      <w:marLeft w:val="0"/>
      <w:marRight w:val="0"/>
      <w:marTop w:val="0"/>
      <w:marBottom w:val="0"/>
      <w:divBdr>
        <w:top w:val="none" w:sz="0" w:space="0" w:color="auto"/>
        <w:left w:val="none" w:sz="0" w:space="0" w:color="auto"/>
        <w:bottom w:val="none" w:sz="0" w:space="0" w:color="auto"/>
        <w:right w:val="none" w:sz="0" w:space="0" w:color="auto"/>
      </w:divBdr>
    </w:div>
    <w:div w:id="1087849482">
      <w:bodyDiv w:val="1"/>
      <w:marLeft w:val="0"/>
      <w:marRight w:val="0"/>
      <w:marTop w:val="0"/>
      <w:marBottom w:val="0"/>
      <w:divBdr>
        <w:top w:val="none" w:sz="0" w:space="0" w:color="auto"/>
        <w:left w:val="none" w:sz="0" w:space="0" w:color="auto"/>
        <w:bottom w:val="none" w:sz="0" w:space="0" w:color="auto"/>
        <w:right w:val="none" w:sz="0" w:space="0" w:color="auto"/>
      </w:divBdr>
    </w:div>
    <w:div w:id="1103651013">
      <w:bodyDiv w:val="1"/>
      <w:marLeft w:val="0"/>
      <w:marRight w:val="0"/>
      <w:marTop w:val="0"/>
      <w:marBottom w:val="0"/>
      <w:divBdr>
        <w:top w:val="none" w:sz="0" w:space="0" w:color="auto"/>
        <w:left w:val="none" w:sz="0" w:space="0" w:color="auto"/>
        <w:bottom w:val="none" w:sz="0" w:space="0" w:color="auto"/>
        <w:right w:val="none" w:sz="0" w:space="0" w:color="auto"/>
      </w:divBdr>
    </w:div>
    <w:div w:id="1110510448">
      <w:bodyDiv w:val="1"/>
      <w:marLeft w:val="0"/>
      <w:marRight w:val="0"/>
      <w:marTop w:val="0"/>
      <w:marBottom w:val="0"/>
      <w:divBdr>
        <w:top w:val="none" w:sz="0" w:space="0" w:color="auto"/>
        <w:left w:val="none" w:sz="0" w:space="0" w:color="auto"/>
        <w:bottom w:val="none" w:sz="0" w:space="0" w:color="auto"/>
        <w:right w:val="none" w:sz="0" w:space="0" w:color="auto"/>
      </w:divBdr>
      <w:divsChild>
        <w:div w:id="922494386">
          <w:marLeft w:val="0"/>
          <w:marRight w:val="0"/>
          <w:marTop w:val="0"/>
          <w:marBottom w:val="0"/>
          <w:divBdr>
            <w:top w:val="none" w:sz="0" w:space="0" w:color="auto"/>
            <w:left w:val="none" w:sz="0" w:space="0" w:color="auto"/>
            <w:bottom w:val="none" w:sz="0" w:space="0" w:color="auto"/>
            <w:right w:val="none" w:sz="0" w:space="0" w:color="auto"/>
          </w:divBdr>
        </w:div>
        <w:div w:id="1148208181">
          <w:marLeft w:val="0"/>
          <w:marRight w:val="0"/>
          <w:marTop w:val="0"/>
          <w:marBottom w:val="0"/>
          <w:divBdr>
            <w:top w:val="none" w:sz="0" w:space="0" w:color="auto"/>
            <w:left w:val="none" w:sz="0" w:space="0" w:color="auto"/>
            <w:bottom w:val="none" w:sz="0" w:space="0" w:color="auto"/>
            <w:right w:val="none" w:sz="0" w:space="0" w:color="auto"/>
          </w:divBdr>
          <w:divsChild>
            <w:div w:id="197205753">
              <w:marLeft w:val="0"/>
              <w:marRight w:val="0"/>
              <w:marTop w:val="0"/>
              <w:marBottom w:val="0"/>
              <w:divBdr>
                <w:top w:val="none" w:sz="0" w:space="0" w:color="auto"/>
                <w:left w:val="none" w:sz="0" w:space="0" w:color="auto"/>
                <w:bottom w:val="none" w:sz="0" w:space="0" w:color="auto"/>
                <w:right w:val="none" w:sz="0" w:space="0" w:color="auto"/>
              </w:divBdr>
            </w:div>
            <w:div w:id="348070089">
              <w:marLeft w:val="0"/>
              <w:marRight w:val="0"/>
              <w:marTop w:val="0"/>
              <w:marBottom w:val="0"/>
              <w:divBdr>
                <w:top w:val="none" w:sz="0" w:space="0" w:color="auto"/>
                <w:left w:val="none" w:sz="0" w:space="0" w:color="auto"/>
                <w:bottom w:val="none" w:sz="0" w:space="0" w:color="auto"/>
                <w:right w:val="none" w:sz="0" w:space="0" w:color="auto"/>
              </w:divBdr>
            </w:div>
            <w:div w:id="384640201">
              <w:marLeft w:val="0"/>
              <w:marRight w:val="0"/>
              <w:marTop w:val="0"/>
              <w:marBottom w:val="0"/>
              <w:divBdr>
                <w:top w:val="none" w:sz="0" w:space="0" w:color="auto"/>
                <w:left w:val="none" w:sz="0" w:space="0" w:color="auto"/>
                <w:bottom w:val="none" w:sz="0" w:space="0" w:color="auto"/>
                <w:right w:val="none" w:sz="0" w:space="0" w:color="auto"/>
              </w:divBdr>
            </w:div>
            <w:div w:id="1325551491">
              <w:marLeft w:val="0"/>
              <w:marRight w:val="0"/>
              <w:marTop w:val="0"/>
              <w:marBottom w:val="0"/>
              <w:divBdr>
                <w:top w:val="none" w:sz="0" w:space="0" w:color="auto"/>
                <w:left w:val="none" w:sz="0" w:space="0" w:color="auto"/>
                <w:bottom w:val="none" w:sz="0" w:space="0" w:color="auto"/>
                <w:right w:val="none" w:sz="0" w:space="0" w:color="auto"/>
              </w:divBdr>
            </w:div>
            <w:div w:id="19339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1563">
      <w:bodyDiv w:val="1"/>
      <w:marLeft w:val="0"/>
      <w:marRight w:val="0"/>
      <w:marTop w:val="0"/>
      <w:marBottom w:val="0"/>
      <w:divBdr>
        <w:top w:val="none" w:sz="0" w:space="0" w:color="auto"/>
        <w:left w:val="none" w:sz="0" w:space="0" w:color="auto"/>
        <w:bottom w:val="none" w:sz="0" w:space="0" w:color="auto"/>
        <w:right w:val="none" w:sz="0" w:space="0" w:color="auto"/>
      </w:divBdr>
    </w:div>
    <w:div w:id="1122116183">
      <w:bodyDiv w:val="1"/>
      <w:marLeft w:val="0"/>
      <w:marRight w:val="0"/>
      <w:marTop w:val="0"/>
      <w:marBottom w:val="0"/>
      <w:divBdr>
        <w:top w:val="none" w:sz="0" w:space="0" w:color="auto"/>
        <w:left w:val="none" w:sz="0" w:space="0" w:color="auto"/>
        <w:bottom w:val="none" w:sz="0" w:space="0" w:color="auto"/>
        <w:right w:val="none" w:sz="0" w:space="0" w:color="auto"/>
      </w:divBdr>
      <w:divsChild>
        <w:div w:id="104034413">
          <w:marLeft w:val="0"/>
          <w:marRight w:val="0"/>
          <w:marTop w:val="0"/>
          <w:marBottom w:val="0"/>
          <w:divBdr>
            <w:top w:val="none" w:sz="0" w:space="0" w:color="auto"/>
            <w:left w:val="none" w:sz="0" w:space="0" w:color="auto"/>
            <w:bottom w:val="none" w:sz="0" w:space="0" w:color="auto"/>
            <w:right w:val="none" w:sz="0" w:space="0" w:color="auto"/>
          </w:divBdr>
        </w:div>
        <w:div w:id="303043223">
          <w:marLeft w:val="0"/>
          <w:marRight w:val="0"/>
          <w:marTop w:val="0"/>
          <w:marBottom w:val="0"/>
          <w:divBdr>
            <w:top w:val="none" w:sz="0" w:space="0" w:color="auto"/>
            <w:left w:val="none" w:sz="0" w:space="0" w:color="auto"/>
            <w:bottom w:val="none" w:sz="0" w:space="0" w:color="auto"/>
            <w:right w:val="none" w:sz="0" w:space="0" w:color="auto"/>
          </w:divBdr>
        </w:div>
        <w:div w:id="667488718">
          <w:marLeft w:val="0"/>
          <w:marRight w:val="0"/>
          <w:marTop w:val="0"/>
          <w:marBottom w:val="0"/>
          <w:divBdr>
            <w:top w:val="none" w:sz="0" w:space="0" w:color="auto"/>
            <w:left w:val="none" w:sz="0" w:space="0" w:color="auto"/>
            <w:bottom w:val="none" w:sz="0" w:space="0" w:color="auto"/>
            <w:right w:val="none" w:sz="0" w:space="0" w:color="auto"/>
          </w:divBdr>
        </w:div>
        <w:div w:id="721367841">
          <w:marLeft w:val="0"/>
          <w:marRight w:val="0"/>
          <w:marTop w:val="0"/>
          <w:marBottom w:val="0"/>
          <w:divBdr>
            <w:top w:val="none" w:sz="0" w:space="0" w:color="auto"/>
            <w:left w:val="none" w:sz="0" w:space="0" w:color="auto"/>
            <w:bottom w:val="none" w:sz="0" w:space="0" w:color="auto"/>
            <w:right w:val="none" w:sz="0" w:space="0" w:color="auto"/>
          </w:divBdr>
        </w:div>
      </w:divsChild>
    </w:div>
    <w:div w:id="1124345162">
      <w:bodyDiv w:val="1"/>
      <w:marLeft w:val="0"/>
      <w:marRight w:val="0"/>
      <w:marTop w:val="0"/>
      <w:marBottom w:val="0"/>
      <w:divBdr>
        <w:top w:val="none" w:sz="0" w:space="0" w:color="auto"/>
        <w:left w:val="none" w:sz="0" w:space="0" w:color="auto"/>
        <w:bottom w:val="none" w:sz="0" w:space="0" w:color="auto"/>
        <w:right w:val="none" w:sz="0" w:space="0" w:color="auto"/>
      </w:divBdr>
      <w:divsChild>
        <w:div w:id="345864165">
          <w:marLeft w:val="0"/>
          <w:marRight w:val="0"/>
          <w:marTop w:val="0"/>
          <w:marBottom w:val="0"/>
          <w:divBdr>
            <w:top w:val="none" w:sz="0" w:space="0" w:color="auto"/>
            <w:left w:val="none" w:sz="0" w:space="0" w:color="auto"/>
            <w:bottom w:val="none" w:sz="0" w:space="0" w:color="auto"/>
            <w:right w:val="none" w:sz="0" w:space="0" w:color="auto"/>
          </w:divBdr>
        </w:div>
        <w:div w:id="730425537">
          <w:marLeft w:val="0"/>
          <w:marRight w:val="0"/>
          <w:marTop w:val="0"/>
          <w:marBottom w:val="0"/>
          <w:divBdr>
            <w:top w:val="none" w:sz="0" w:space="0" w:color="auto"/>
            <w:left w:val="none" w:sz="0" w:space="0" w:color="auto"/>
            <w:bottom w:val="none" w:sz="0" w:space="0" w:color="auto"/>
            <w:right w:val="none" w:sz="0" w:space="0" w:color="auto"/>
          </w:divBdr>
        </w:div>
        <w:div w:id="785345969">
          <w:marLeft w:val="0"/>
          <w:marRight w:val="0"/>
          <w:marTop w:val="0"/>
          <w:marBottom w:val="0"/>
          <w:divBdr>
            <w:top w:val="none" w:sz="0" w:space="0" w:color="auto"/>
            <w:left w:val="none" w:sz="0" w:space="0" w:color="auto"/>
            <w:bottom w:val="none" w:sz="0" w:space="0" w:color="auto"/>
            <w:right w:val="none" w:sz="0" w:space="0" w:color="auto"/>
          </w:divBdr>
        </w:div>
        <w:div w:id="944461966">
          <w:marLeft w:val="0"/>
          <w:marRight w:val="0"/>
          <w:marTop w:val="0"/>
          <w:marBottom w:val="0"/>
          <w:divBdr>
            <w:top w:val="none" w:sz="0" w:space="0" w:color="auto"/>
            <w:left w:val="none" w:sz="0" w:space="0" w:color="auto"/>
            <w:bottom w:val="none" w:sz="0" w:space="0" w:color="auto"/>
            <w:right w:val="none" w:sz="0" w:space="0" w:color="auto"/>
          </w:divBdr>
        </w:div>
        <w:div w:id="1025252872">
          <w:marLeft w:val="0"/>
          <w:marRight w:val="0"/>
          <w:marTop w:val="0"/>
          <w:marBottom w:val="0"/>
          <w:divBdr>
            <w:top w:val="none" w:sz="0" w:space="0" w:color="auto"/>
            <w:left w:val="none" w:sz="0" w:space="0" w:color="auto"/>
            <w:bottom w:val="none" w:sz="0" w:space="0" w:color="auto"/>
            <w:right w:val="none" w:sz="0" w:space="0" w:color="auto"/>
          </w:divBdr>
        </w:div>
        <w:div w:id="1030111002">
          <w:marLeft w:val="0"/>
          <w:marRight w:val="0"/>
          <w:marTop w:val="0"/>
          <w:marBottom w:val="0"/>
          <w:divBdr>
            <w:top w:val="none" w:sz="0" w:space="0" w:color="auto"/>
            <w:left w:val="none" w:sz="0" w:space="0" w:color="auto"/>
            <w:bottom w:val="none" w:sz="0" w:space="0" w:color="auto"/>
            <w:right w:val="none" w:sz="0" w:space="0" w:color="auto"/>
          </w:divBdr>
        </w:div>
        <w:div w:id="1108503532">
          <w:marLeft w:val="0"/>
          <w:marRight w:val="0"/>
          <w:marTop w:val="0"/>
          <w:marBottom w:val="0"/>
          <w:divBdr>
            <w:top w:val="none" w:sz="0" w:space="0" w:color="auto"/>
            <w:left w:val="none" w:sz="0" w:space="0" w:color="auto"/>
            <w:bottom w:val="none" w:sz="0" w:space="0" w:color="auto"/>
            <w:right w:val="none" w:sz="0" w:space="0" w:color="auto"/>
          </w:divBdr>
        </w:div>
        <w:div w:id="1196502488">
          <w:marLeft w:val="0"/>
          <w:marRight w:val="0"/>
          <w:marTop w:val="0"/>
          <w:marBottom w:val="0"/>
          <w:divBdr>
            <w:top w:val="none" w:sz="0" w:space="0" w:color="auto"/>
            <w:left w:val="none" w:sz="0" w:space="0" w:color="auto"/>
            <w:bottom w:val="none" w:sz="0" w:space="0" w:color="auto"/>
            <w:right w:val="none" w:sz="0" w:space="0" w:color="auto"/>
          </w:divBdr>
        </w:div>
        <w:div w:id="1319916629">
          <w:marLeft w:val="0"/>
          <w:marRight w:val="0"/>
          <w:marTop w:val="0"/>
          <w:marBottom w:val="0"/>
          <w:divBdr>
            <w:top w:val="none" w:sz="0" w:space="0" w:color="auto"/>
            <w:left w:val="none" w:sz="0" w:space="0" w:color="auto"/>
            <w:bottom w:val="none" w:sz="0" w:space="0" w:color="auto"/>
            <w:right w:val="none" w:sz="0" w:space="0" w:color="auto"/>
          </w:divBdr>
        </w:div>
        <w:div w:id="1405950387">
          <w:marLeft w:val="0"/>
          <w:marRight w:val="0"/>
          <w:marTop w:val="0"/>
          <w:marBottom w:val="0"/>
          <w:divBdr>
            <w:top w:val="none" w:sz="0" w:space="0" w:color="auto"/>
            <w:left w:val="none" w:sz="0" w:space="0" w:color="auto"/>
            <w:bottom w:val="none" w:sz="0" w:space="0" w:color="auto"/>
            <w:right w:val="none" w:sz="0" w:space="0" w:color="auto"/>
          </w:divBdr>
        </w:div>
        <w:div w:id="1436247929">
          <w:marLeft w:val="0"/>
          <w:marRight w:val="0"/>
          <w:marTop w:val="0"/>
          <w:marBottom w:val="0"/>
          <w:divBdr>
            <w:top w:val="none" w:sz="0" w:space="0" w:color="auto"/>
            <w:left w:val="none" w:sz="0" w:space="0" w:color="auto"/>
            <w:bottom w:val="none" w:sz="0" w:space="0" w:color="auto"/>
            <w:right w:val="none" w:sz="0" w:space="0" w:color="auto"/>
          </w:divBdr>
        </w:div>
        <w:div w:id="1439910212">
          <w:marLeft w:val="0"/>
          <w:marRight w:val="0"/>
          <w:marTop w:val="0"/>
          <w:marBottom w:val="0"/>
          <w:divBdr>
            <w:top w:val="none" w:sz="0" w:space="0" w:color="auto"/>
            <w:left w:val="none" w:sz="0" w:space="0" w:color="auto"/>
            <w:bottom w:val="none" w:sz="0" w:space="0" w:color="auto"/>
            <w:right w:val="none" w:sz="0" w:space="0" w:color="auto"/>
          </w:divBdr>
        </w:div>
        <w:div w:id="1583905742">
          <w:marLeft w:val="0"/>
          <w:marRight w:val="0"/>
          <w:marTop w:val="0"/>
          <w:marBottom w:val="0"/>
          <w:divBdr>
            <w:top w:val="none" w:sz="0" w:space="0" w:color="auto"/>
            <w:left w:val="none" w:sz="0" w:space="0" w:color="auto"/>
            <w:bottom w:val="none" w:sz="0" w:space="0" w:color="auto"/>
            <w:right w:val="none" w:sz="0" w:space="0" w:color="auto"/>
          </w:divBdr>
        </w:div>
        <w:div w:id="1593510547">
          <w:marLeft w:val="0"/>
          <w:marRight w:val="0"/>
          <w:marTop w:val="0"/>
          <w:marBottom w:val="0"/>
          <w:divBdr>
            <w:top w:val="none" w:sz="0" w:space="0" w:color="auto"/>
            <w:left w:val="none" w:sz="0" w:space="0" w:color="auto"/>
            <w:bottom w:val="none" w:sz="0" w:space="0" w:color="auto"/>
            <w:right w:val="none" w:sz="0" w:space="0" w:color="auto"/>
          </w:divBdr>
        </w:div>
        <w:div w:id="1608462146">
          <w:marLeft w:val="0"/>
          <w:marRight w:val="0"/>
          <w:marTop w:val="0"/>
          <w:marBottom w:val="0"/>
          <w:divBdr>
            <w:top w:val="none" w:sz="0" w:space="0" w:color="auto"/>
            <w:left w:val="none" w:sz="0" w:space="0" w:color="auto"/>
            <w:bottom w:val="none" w:sz="0" w:space="0" w:color="auto"/>
            <w:right w:val="none" w:sz="0" w:space="0" w:color="auto"/>
          </w:divBdr>
        </w:div>
        <w:div w:id="1721173112">
          <w:marLeft w:val="0"/>
          <w:marRight w:val="0"/>
          <w:marTop w:val="0"/>
          <w:marBottom w:val="0"/>
          <w:divBdr>
            <w:top w:val="none" w:sz="0" w:space="0" w:color="auto"/>
            <w:left w:val="none" w:sz="0" w:space="0" w:color="auto"/>
            <w:bottom w:val="none" w:sz="0" w:space="0" w:color="auto"/>
            <w:right w:val="none" w:sz="0" w:space="0" w:color="auto"/>
          </w:divBdr>
        </w:div>
        <w:div w:id="1766030948">
          <w:marLeft w:val="0"/>
          <w:marRight w:val="0"/>
          <w:marTop w:val="0"/>
          <w:marBottom w:val="0"/>
          <w:divBdr>
            <w:top w:val="none" w:sz="0" w:space="0" w:color="auto"/>
            <w:left w:val="none" w:sz="0" w:space="0" w:color="auto"/>
            <w:bottom w:val="none" w:sz="0" w:space="0" w:color="auto"/>
            <w:right w:val="none" w:sz="0" w:space="0" w:color="auto"/>
          </w:divBdr>
        </w:div>
        <w:div w:id="1769035970">
          <w:marLeft w:val="0"/>
          <w:marRight w:val="0"/>
          <w:marTop w:val="0"/>
          <w:marBottom w:val="0"/>
          <w:divBdr>
            <w:top w:val="none" w:sz="0" w:space="0" w:color="auto"/>
            <w:left w:val="none" w:sz="0" w:space="0" w:color="auto"/>
            <w:bottom w:val="none" w:sz="0" w:space="0" w:color="auto"/>
            <w:right w:val="none" w:sz="0" w:space="0" w:color="auto"/>
          </w:divBdr>
        </w:div>
        <w:div w:id="1773160995">
          <w:marLeft w:val="0"/>
          <w:marRight w:val="0"/>
          <w:marTop w:val="0"/>
          <w:marBottom w:val="0"/>
          <w:divBdr>
            <w:top w:val="none" w:sz="0" w:space="0" w:color="auto"/>
            <w:left w:val="none" w:sz="0" w:space="0" w:color="auto"/>
            <w:bottom w:val="none" w:sz="0" w:space="0" w:color="auto"/>
            <w:right w:val="none" w:sz="0" w:space="0" w:color="auto"/>
          </w:divBdr>
        </w:div>
        <w:div w:id="2050105252">
          <w:marLeft w:val="0"/>
          <w:marRight w:val="0"/>
          <w:marTop w:val="0"/>
          <w:marBottom w:val="0"/>
          <w:divBdr>
            <w:top w:val="none" w:sz="0" w:space="0" w:color="auto"/>
            <w:left w:val="none" w:sz="0" w:space="0" w:color="auto"/>
            <w:bottom w:val="none" w:sz="0" w:space="0" w:color="auto"/>
            <w:right w:val="none" w:sz="0" w:space="0" w:color="auto"/>
          </w:divBdr>
        </w:div>
      </w:divsChild>
    </w:div>
    <w:div w:id="1142885524">
      <w:bodyDiv w:val="1"/>
      <w:marLeft w:val="0"/>
      <w:marRight w:val="0"/>
      <w:marTop w:val="0"/>
      <w:marBottom w:val="0"/>
      <w:divBdr>
        <w:top w:val="none" w:sz="0" w:space="0" w:color="auto"/>
        <w:left w:val="none" w:sz="0" w:space="0" w:color="auto"/>
        <w:bottom w:val="none" w:sz="0" w:space="0" w:color="auto"/>
        <w:right w:val="none" w:sz="0" w:space="0" w:color="auto"/>
      </w:divBdr>
      <w:divsChild>
        <w:div w:id="17318843">
          <w:marLeft w:val="0"/>
          <w:marRight w:val="0"/>
          <w:marTop w:val="0"/>
          <w:marBottom w:val="0"/>
          <w:divBdr>
            <w:top w:val="none" w:sz="0" w:space="0" w:color="auto"/>
            <w:left w:val="none" w:sz="0" w:space="0" w:color="auto"/>
            <w:bottom w:val="none" w:sz="0" w:space="0" w:color="auto"/>
            <w:right w:val="none" w:sz="0" w:space="0" w:color="auto"/>
          </w:divBdr>
        </w:div>
        <w:div w:id="295841930">
          <w:marLeft w:val="0"/>
          <w:marRight w:val="0"/>
          <w:marTop w:val="0"/>
          <w:marBottom w:val="0"/>
          <w:divBdr>
            <w:top w:val="none" w:sz="0" w:space="0" w:color="auto"/>
            <w:left w:val="none" w:sz="0" w:space="0" w:color="auto"/>
            <w:bottom w:val="none" w:sz="0" w:space="0" w:color="auto"/>
            <w:right w:val="none" w:sz="0" w:space="0" w:color="auto"/>
          </w:divBdr>
        </w:div>
        <w:div w:id="1943493957">
          <w:marLeft w:val="0"/>
          <w:marRight w:val="0"/>
          <w:marTop w:val="0"/>
          <w:marBottom w:val="0"/>
          <w:divBdr>
            <w:top w:val="none" w:sz="0" w:space="0" w:color="auto"/>
            <w:left w:val="none" w:sz="0" w:space="0" w:color="auto"/>
            <w:bottom w:val="none" w:sz="0" w:space="0" w:color="auto"/>
            <w:right w:val="none" w:sz="0" w:space="0" w:color="auto"/>
          </w:divBdr>
        </w:div>
      </w:divsChild>
    </w:div>
    <w:div w:id="1152064737">
      <w:bodyDiv w:val="1"/>
      <w:marLeft w:val="0"/>
      <w:marRight w:val="0"/>
      <w:marTop w:val="0"/>
      <w:marBottom w:val="0"/>
      <w:divBdr>
        <w:top w:val="none" w:sz="0" w:space="0" w:color="auto"/>
        <w:left w:val="none" w:sz="0" w:space="0" w:color="auto"/>
        <w:bottom w:val="none" w:sz="0" w:space="0" w:color="auto"/>
        <w:right w:val="none" w:sz="0" w:space="0" w:color="auto"/>
      </w:divBdr>
    </w:div>
    <w:div w:id="1160273432">
      <w:bodyDiv w:val="1"/>
      <w:marLeft w:val="0"/>
      <w:marRight w:val="0"/>
      <w:marTop w:val="0"/>
      <w:marBottom w:val="0"/>
      <w:divBdr>
        <w:top w:val="none" w:sz="0" w:space="0" w:color="auto"/>
        <w:left w:val="none" w:sz="0" w:space="0" w:color="auto"/>
        <w:bottom w:val="none" w:sz="0" w:space="0" w:color="auto"/>
        <w:right w:val="none" w:sz="0" w:space="0" w:color="auto"/>
      </w:divBdr>
    </w:div>
    <w:div w:id="1162575834">
      <w:bodyDiv w:val="1"/>
      <w:marLeft w:val="0"/>
      <w:marRight w:val="0"/>
      <w:marTop w:val="0"/>
      <w:marBottom w:val="0"/>
      <w:divBdr>
        <w:top w:val="none" w:sz="0" w:space="0" w:color="auto"/>
        <w:left w:val="none" w:sz="0" w:space="0" w:color="auto"/>
        <w:bottom w:val="none" w:sz="0" w:space="0" w:color="auto"/>
        <w:right w:val="none" w:sz="0" w:space="0" w:color="auto"/>
      </w:divBdr>
    </w:div>
    <w:div w:id="1187715238">
      <w:bodyDiv w:val="1"/>
      <w:marLeft w:val="0"/>
      <w:marRight w:val="0"/>
      <w:marTop w:val="0"/>
      <w:marBottom w:val="0"/>
      <w:divBdr>
        <w:top w:val="none" w:sz="0" w:space="0" w:color="auto"/>
        <w:left w:val="none" w:sz="0" w:space="0" w:color="auto"/>
        <w:bottom w:val="none" w:sz="0" w:space="0" w:color="auto"/>
        <w:right w:val="none" w:sz="0" w:space="0" w:color="auto"/>
      </w:divBdr>
    </w:div>
    <w:div w:id="1211840235">
      <w:bodyDiv w:val="1"/>
      <w:marLeft w:val="0"/>
      <w:marRight w:val="0"/>
      <w:marTop w:val="0"/>
      <w:marBottom w:val="0"/>
      <w:divBdr>
        <w:top w:val="none" w:sz="0" w:space="0" w:color="auto"/>
        <w:left w:val="none" w:sz="0" w:space="0" w:color="auto"/>
        <w:bottom w:val="none" w:sz="0" w:space="0" w:color="auto"/>
        <w:right w:val="none" w:sz="0" w:space="0" w:color="auto"/>
      </w:divBdr>
    </w:div>
    <w:div w:id="1221592902">
      <w:bodyDiv w:val="1"/>
      <w:marLeft w:val="0"/>
      <w:marRight w:val="0"/>
      <w:marTop w:val="0"/>
      <w:marBottom w:val="0"/>
      <w:divBdr>
        <w:top w:val="none" w:sz="0" w:space="0" w:color="auto"/>
        <w:left w:val="none" w:sz="0" w:space="0" w:color="auto"/>
        <w:bottom w:val="none" w:sz="0" w:space="0" w:color="auto"/>
        <w:right w:val="none" w:sz="0" w:space="0" w:color="auto"/>
      </w:divBdr>
      <w:divsChild>
        <w:div w:id="1014959333">
          <w:marLeft w:val="0"/>
          <w:marRight w:val="0"/>
          <w:marTop w:val="0"/>
          <w:marBottom w:val="0"/>
          <w:divBdr>
            <w:top w:val="none" w:sz="0" w:space="0" w:color="auto"/>
            <w:left w:val="none" w:sz="0" w:space="0" w:color="auto"/>
            <w:bottom w:val="none" w:sz="0" w:space="0" w:color="auto"/>
            <w:right w:val="none" w:sz="0" w:space="0" w:color="auto"/>
          </w:divBdr>
        </w:div>
        <w:div w:id="1577204955">
          <w:marLeft w:val="0"/>
          <w:marRight w:val="0"/>
          <w:marTop w:val="0"/>
          <w:marBottom w:val="0"/>
          <w:divBdr>
            <w:top w:val="none" w:sz="0" w:space="0" w:color="auto"/>
            <w:left w:val="none" w:sz="0" w:space="0" w:color="auto"/>
            <w:bottom w:val="none" w:sz="0" w:space="0" w:color="auto"/>
            <w:right w:val="none" w:sz="0" w:space="0" w:color="auto"/>
          </w:divBdr>
        </w:div>
      </w:divsChild>
    </w:div>
    <w:div w:id="1232353392">
      <w:bodyDiv w:val="1"/>
      <w:marLeft w:val="0"/>
      <w:marRight w:val="0"/>
      <w:marTop w:val="0"/>
      <w:marBottom w:val="0"/>
      <w:divBdr>
        <w:top w:val="none" w:sz="0" w:space="0" w:color="auto"/>
        <w:left w:val="none" w:sz="0" w:space="0" w:color="auto"/>
        <w:bottom w:val="none" w:sz="0" w:space="0" w:color="auto"/>
        <w:right w:val="none" w:sz="0" w:space="0" w:color="auto"/>
      </w:divBdr>
    </w:div>
    <w:div w:id="1234974785">
      <w:bodyDiv w:val="1"/>
      <w:marLeft w:val="0"/>
      <w:marRight w:val="0"/>
      <w:marTop w:val="0"/>
      <w:marBottom w:val="0"/>
      <w:divBdr>
        <w:top w:val="none" w:sz="0" w:space="0" w:color="auto"/>
        <w:left w:val="none" w:sz="0" w:space="0" w:color="auto"/>
        <w:bottom w:val="none" w:sz="0" w:space="0" w:color="auto"/>
        <w:right w:val="none" w:sz="0" w:space="0" w:color="auto"/>
      </w:divBdr>
    </w:div>
    <w:div w:id="1251961748">
      <w:bodyDiv w:val="1"/>
      <w:marLeft w:val="0"/>
      <w:marRight w:val="0"/>
      <w:marTop w:val="0"/>
      <w:marBottom w:val="0"/>
      <w:divBdr>
        <w:top w:val="none" w:sz="0" w:space="0" w:color="auto"/>
        <w:left w:val="none" w:sz="0" w:space="0" w:color="auto"/>
        <w:bottom w:val="none" w:sz="0" w:space="0" w:color="auto"/>
        <w:right w:val="none" w:sz="0" w:space="0" w:color="auto"/>
      </w:divBdr>
    </w:div>
    <w:div w:id="1260213308">
      <w:bodyDiv w:val="1"/>
      <w:marLeft w:val="0"/>
      <w:marRight w:val="0"/>
      <w:marTop w:val="0"/>
      <w:marBottom w:val="0"/>
      <w:divBdr>
        <w:top w:val="none" w:sz="0" w:space="0" w:color="auto"/>
        <w:left w:val="none" w:sz="0" w:space="0" w:color="auto"/>
        <w:bottom w:val="none" w:sz="0" w:space="0" w:color="auto"/>
        <w:right w:val="none" w:sz="0" w:space="0" w:color="auto"/>
      </w:divBdr>
    </w:div>
    <w:div w:id="1262107656">
      <w:bodyDiv w:val="1"/>
      <w:marLeft w:val="0"/>
      <w:marRight w:val="0"/>
      <w:marTop w:val="0"/>
      <w:marBottom w:val="0"/>
      <w:divBdr>
        <w:top w:val="none" w:sz="0" w:space="0" w:color="auto"/>
        <w:left w:val="none" w:sz="0" w:space="0" w:color="auto"/>
        <w:bottom w:val="none" w:sz="0" w:space="0" w:color="auto"/>
        <w:right w:val="none" w:sz="0" w:space="0" w:color="auto"/>
      </w:divBdr>
    </w:div>
    <w:div w:id="1270238406">
      <w:bodyDiv w:val="1"/>
      <w:marLeft w:val="0"/>
      <w:marRight w:val="0"/>
      <w:marTop w:val="0"/>
      <w:marBottom w:val="0"/>
      <w:divBdr>
        <w:top w:val="none" w:sz="0" w:space="0" w:color="auto"/>
        <w:left w:val="none" w:sz="0" w:space="0" w:color="auto"/>
        <w:bottom w:val="none" w:sz="0" w:space="0" w:color="auto"/>
        <w:right w:val="none" w:sz="0" w:space="0" w:color="auto"/>
      </w:divBdr>
    </w:div>
    <w:div w:id="1303123752">
      <w:bodyDiv w:val="1"/>
      <w:marLeft w:val="0"/>
      <w:marRight w:val="0"/>
      <w:marTop w:val="0"/>
      <w:marBottom w:val="0"/>
      <w:divBdr>
        <w:top w:val="none" w:sz="0" w:space="0" w:color="auto"/>
        <w:left w:val="none" w:sz="0" w:space="0" w:color="auto"/>
        <w:bottom w:val="none" w:sz="0" w:space="0" w:color="auto"/>
        <w:right w:val="none" w:sz="0" w:space="0" w:color="auto"/>
      </w:divBdr>
    </w:div>
    <w:div w:id="1307659114">
      <w:bodyDiv w:val="1"/>
      <w:marLeft w:val="0"/>
      <w:marRight w:val="0"/>
      <w:marTop w:val="0"/>
      <w:marBottom w:val="0"/>
      <w:divBdr>
        <w:top w:val="none" w:sz="0" w:space="0" w:color="auto"/>
        <w:left w:val="none" w:sz="0" w:space="0" w:color="auto"/>
        <w:bottom w:val="none" w:sz="0" w:space="0" w:color="auto"/>
        <w:right w:val="none" w:sz="0" w:space="0" w:color="auto"/>
      </w:divBdr>
    </w:div>
    <w:div w:id="1308240451">
      <w:bodyDiv w:val="1"/>
      <w:marLeft w:val="0"/>
      <w:marRight w:val="0"/>
      <w:marTop w:val="0"/>
      <w:marBottom w:val="0"/>
      <w:divBdr>
        <w:top w:val="none" w:sz="0" w:space="0" w:color="auto"/>
        <w:left w:val="none" w:sz="0" w:space="0" w:color="auto"/>
        <w:bottom w:val="none" w:sz="0" w:space="0" w:color="auto"/>
        <w:right w:val="none" w:sz="0" w:space="0" w:color="auto"/>
      </w:divBdr>
    </w:div>
    <w:div w:id="1309363579">
      <w:bodyDiv w:val="1"/>
      <w:marLeft w:val="0"/>
      <w:marRight w:val="0"/>
      <w:marTop w:val="0"/>
      <w:marBottom w:val="0"/>
      <w:divBdr>
        <w:top w:val="none" w:sz="0" w:space="0" w:color="auto"/>
        <w:left w:val="none" w:sz="0" w:space="0" w:color="auto"/>
        <w:bottom w:val="none" w:sz="0" w:space="0" w:color="auto"/>
        <w:right w:val="none" w:sz="0" w:space="0" w:color="auto"/>
      </w:divBdr>
      <w:divsChild>
        <w:div w:id="716785097">
          <w:marLeft w:val="0"/>
          <w:marRight w:val="0"/>
          <w:marTop w:val="0"/>
          <w:marBottom w:val="0"/>
          <w:divBdr>
            <w:top w:val="none" w:sz="0" w:space="0" w:color="auto"/>
            <w:left w:val="none" w:sz="0" w:space="0" w:color="auto"/>
            <w:bottom w:val="none" w:sz="0" w:space="0" w:color="auto"/>
            <w:right w:val="none" w:sz="0" w:space="0" w:color="auto"/>
          </w:divBdr>
          <w:divsChild>
            <w:div w:id="179708721">
              <w:marLeft w:val="0"/>
              <w:marRight w:val="0"/>
              <w:marTop w:val="0"/>
              <w:marBottom w:val="0"/>
              <w:divBdr>
                <w:top w:val="none" w:sz="0" w:space="0" w:color="auto"/>
                <w:left w:val="none" w:sz="0" w:space="0" w:color="auto"/>
                <w:bottom w:val="none" w:sz="0" w:space="0" w:color="auto"/>
                <w:right w:val="none" w:sz="0" w:space="0" w:color="auto"/>
              </w:divBdr>
            </w:div>
            <w:div w:id="388960971">
              <w:marLeft w:val="0"/>
              <w:marRight w:val="0"/>
              <w:marTop w:val="0"/>
              <w:marBottom w:val="0"/>
              <w:divBdr>
                <w:top w:val="none" w:sz="0" w:space="0" w:color="auto"/>
                <w:left w:val="none" w:sz="0" w:space="0" w:color="auto"/>
                <w:bottom w:val="none" w:sz="0" w:space="0" w:color="auto"/>
                <w:right w:val="none" w:sz="0" w:space="0" w:color="auto"/>
              </w:divBdr>
            </w:div>
            <w:div w:id="961035077">
              <w:marLeft w:val="0"/>
              <w:marRight w:val="0"/>
              <w:marTop w:val="0"/>
              <w:marBottom w:val="0"/>
              <w:divBdr>
                <w:top w:val="none" w:sz="0" w:space="0" w:color="auto"/>
                <w:left w:val="none" w:sz="0" w:space="0" w:color="auto"/>
                <w:bottom w:val="none" w:sz="0" w:space="0" w:color="auto"/>
                <w:right w:val="none" w:sz="0" w:space="0" w:color="auto"/>
              </w:divBdr>
            </w:div>
          </w:divsChild>
        </w:div>
        <w:div w:id="1085030592">
          <w:marLeft w:val="0"/>
          <w:marRight w:val="0"/>
          <w:marTop w:val="0"/>
          <w:marBottom w:val="0"/>
          <w:divBdr>
            <w:top w:val="none" w:sz="0" w:space="0" w:color="auto"/>
            <w:left w:val="none" w:sz="0" w:space="0" w:color="auto"/>
            <w:bottom w:val="none" w:sz="0" w:space="0" w:color="auto"/>
            <w:right w:val="none" w:sz="0" w:space="0" w:color="auto"/>
          </w:divBdr>
          <w:divsChild>
            <w:div w:id="266348692">
              <w:marLeft w:val="0"/>
              <w:marRight w:val="0"/>
              <w:marTop w:val="0"/>
              <w:marBottom w:val="0"/>
              <w:divBdr>
                <w:top w:val="none" w:sz="0" w:space="0" w:color="auto"/>
                <w:left w:val="none" w:sz="0" w:space="0" w:color="auto"/>
                <w:bottom w:val="none" w:sz="0" w:space="0" w:color="auto"/>
                <w:right w:val="none" w:sz="0" w:space="0" w:color="auto"/>
              </w:divBdr>
            </w:div>
            <w:div w:id="1139690379">
              <w:marLeft w:val="0"/>
              <w:marRight w:val="0"/>
              <w:marTop w:val="0"/>
              <w:marBottom w:val="0"/>
              <w:divBdr>
                <w:top w:val="none" w:sz="0" w:space="0" w:color="auto"/>
                <w:left w:val="none" w:sz="0" w:space="0" w:color="auto"/>
                <w:bottom w:val="none" w:sz="0" w:space="0" w:color="auto"/>
                <w:right w:val="none" w:sz="0" w:space="0" w:color="auto"/>
              </w:divBdr>
            </w:div>
            <w:div w:id="1282151294">
              <w:marLeft w:val="0"/>
              <w:marRight w:val="0"/>
              <w:marTop w:val="0"/>
              <w:marBottom w:val="0"/>
              <w:divBdr>
                <w:top w:val="none" w:sz="0" w:space="0" w:color="auto"/>
                <w:left w:val="none" w:sz="0" w:space="0" w:color="auto"/>
                <w:bottom w:val="none" w:sz="0" w:space="0" w:color="auto"/>
                <w:right w:val="none" w:sz="0" w:space="0" w:color="auto"/>
              </w:divBdr>
            </w:div>
            <w:div w:id="1561284002">
              <w:marLeft w:val="0"/>
              <w:marRight w:val="0"/>
              <w:marTop w:val="0"/>
              <w:marBottom w:val="0"/>
              <w:divBdr>
                <w:top w:val="none" w:sz="0" w:space="0" w:color="auto"/>
                <w:left w:val="none" w:sz="0" w:space="0" w:color="auto"/>
                <w:bottom w:val="none" w:sz="0" w:space="0" w:color="auto"/>
                <w:right w:val="none" w:sz="0" w:space="0" w:color="auto"/>
              </w:divBdr>
            </w:div>
            <w:div w:id="1565221717">
              <w:marLeft w:val="0"/>
              <w:marRight w:val="0"/>
              <w:marTop w:val="0"/>
              <w:marBottom w:val="0"/>
              <w:divBdr>
                <w:top w:val="none" w:sz="0" w:space="0" w:color="auto"/>
                <w:left w:val="none" w:sz="0" w:space="0" w:color="auto"/>
                <w:bottom w:val="none" w:sz="0" w:space="0" w:color="auto"/>
                <w:right w:val="none" w:sz="0" w:space="0" w:color="auto"/>
              </w:divBdr>
            </w:div>
          </w:divsChild>
        </w:div>
        <w:div w:id="1148858545">
          <w:marLeft w:val="0"/>
          <w:marRight w:val="0"/>
          <w:marTop w:val="0"/>
          <w:marBottom w:val="0"/>
          <w:divBdr>
            <w:top w:val="none" w:sz="0" w:space="0" w:color="auto"/>
            <w:left w:val="none" w:sz="0" w:space="0" w:color="auto"/>
            <w:bottom w:val="none" w:sz="0" w:space="0" w:color="auto"/>
            <w:right w:val="none" w:sz="0" w:space="0" w:color="auto"/>
          </w:divBdr>
          <w:divsChild>
            <w:div w:id="825393042">
              <w:marLeft w:val="0"/>
              <w:marRight w:val="0"/>
              <w:marTop w:val="0"/>
              <w:marBottom w:val="0"/>
              <w:divBdr>
                <w:top w:val="none" w:sz="0" w:space="0" w:color="auto"/>
                <w:left w:val="none" w:sz="0" w:space="0" w:color="auto"/>
                <w:bottom w:val="none" w:sz="0" w:space="0" w:color="auto"/>
                <w:right w:val="none" w:sz="0" w:space="0" w:color="auto"/>
              </w:divBdr>
            </w:div>
            <w:div w:id="1039430840">
              <w:marLeft w:val="0"/>
              <w:marRight w:val="0"/>
              <w:marTop w:val="0"/>
              <w:marBottom w:val="0"/>
              <w:divBdr>
                <w:top w:val="none" w:sz="0" w:space="0" w:color="auto"/>
                <w:left w:val="none" w:sz="0" w:space="0" w:color="auto"/>
                <w:bottom w:val="none" w:sz="0" w:space="0" w:color="auto"/>
                <w:right w:val="none" w:sz="0" w:space="0" w:color="auto"/>
              </w:divBdr>
            </w:div>
            <w:div w:id="1144200837">
              <w:marLeft w:val="0"/>
              <w:marRight w:val="0"/>
              <w:marTop w:val="0"/>
              <w:marBottom w:val="0"/>
              <w:divBdr>
                <w:top w:val="none" w:sz="0" w:space="0" w:color="auto"/>
                <w:left w:val="none" w:sz="0" w:space="0" w:color="auto"/>
                <w:bottom w:val="none" w:sz="0" w:space="0" w:color="auto"/>
                <w:right w:val="none" w:sz="0" w:space="0" w:color="auto"/>
              </w:divBdr>
            </w:div>
            <w:div w:id="1214929304">
              <w:marLeft w:val="0"/>
              <w:marRight w:val="0"/>
              <w:marTop w:val="0"/>
              <w:marBottom w:val="0"/>
              <w:divBdr>
                <w:top w:val="none" w:sz="0" w:space="0" w:color="auto"/>
                <w:left w:val="none" w:sz="0" w:space="0" w:color="auto"/>
                <w:bottom w:val="none" w:sz="0" w:space="0" w:color="auto"/>
                <w:right w:val="none" w:sz="0" w:space="0" w:color="auto"/>
              </w:divBdr>
            </w:div>
            <w:div w:id="1318652236">
              <w:marLeft w:val="0"/>
              <w:marRight w:val="0"/>
              <w:marTop w:val="0"/>
              <w:marBottom w:val="0"/>
              <w:divBdr>
                <w:top w:val="none" w:sz="0" w:space="0" w:color="auto"/>
                <w:left w:val="none" w:sz="0" w:space="0" w:color="auto"/>
                <w:bottom w:val="none" w:sz="0" w:space="0" w:color="auto"/>
                <w:right w:val="none" w:sz="0" w:space="0" w:color="auto"/>
              </w:divBdr>
            </w:div>
          </w:divsChild>
        </w:div>
        <w:div w:id="1620260301">
          <w:marLeft w:val="0"/>
          <w:marRight w:val="0"/>
          <w:marTop w:val="0"/>
          <w:marBottom w:val="0"/>
          <w:divBdr>
            <w:top w:val="none" w:sz="0" w:space="0" w:color="auto"/>
            <w:left w:val="none" w:sz="0" w:space="0" w:color="auto"/>
            <w:bottom w:val="none" w:sz="0" w:space="0" w:color="auto"/>
            <w:right w:val="none" w:sz="0" w:space="0" w:color="auto"/>
          </w:divBdr>
          <w:divsChild>
            <w:div w:id="2075547540">
              <w:marLeft w:val="-75"/>
              <w:marRight w:val="0"/>
              <w:marTop w:val="30"/>
              <w:marBottom w:val="30"/>
              <w:divBdr>
                <w:top w:val="none" w:sz="0" w:space="0" w:color="auto"/>
                <w:left w:val="none" w:sz="0" w:space="0" w:color="auto"/>
                <w:bottom w:val="none" w:sz="0" w:space="0" w:color="auto"/>
                <w:right w:val="none" w:sz="0" w:space="0" w:color="auto"/>
              </w:divBdr>
              <w:divsChild>
                <w:div w:id="87433343">
                  <w:marLeft w:val="0"/>
                  <w:marRight w:val="0"/>
                  <w:marTop w:val="0"/>
                  <w:marBottom w:val="0"/>
                  <w:divBdr>
                    <w:top w:val="none" w:sz="0" w:space="0" w:color="auto"/>
                    <w:left w:val="none" w:sz="0" w:space="0" w:color="auto"/>
                    <w:bottom w:val="none" w:sz="0" w:space="0" w:color="auto"/>
                    <w:right w:val="none" w:sz="0" w:space="0" w:color="auto"/>
                  </w:divBdr>
                  <w:divsChild>
                    <w:div w:id="1071735795">
                      <w:marLeft w:val="0"/>
                      <w:marRight w:val="0"/>
                      <w:marTop w:val="0"/>
                      <w:marBottom w:val="0"/>
                      <w:divBdr>
                        <w:top w:val="none" w:sz="0" w:space="0" w:color="auto"/>
                        <w:left w:val="none" w:sz="0" w:space="0" w:color="auto"/>
                        <w:bottom w:val="none" w:sz="0" w:space="0" w:color="auto"/>
                        <w:right w:val="none" w:sz="0" w:space="0" w:color="auto"/>
                      </w:divBdr>
                    </w:div>
                  </w:divsChild>
                </w:div>
                <w:div w:id="107165108">
                  <w:marLeft w:val="0"/>
                  <w:marRight w:val="0"/>
                  <w:marTop w:val="0"/>
                  <w:marBottom w:val="0"/>
                  <w:divBdr>
                    <w:top w:val="none" w:sz="0" w:space="0" w:color="auto"/>
                    <w:left w:val="none" w:sz="0" w:space="0" w:color="auto"/>
                    <w:bottom w:val="none" w:sz="0" w:space="0" w:color="auto"/>
                    <w:right w:val="none" w:sz="0" w:space="0" w:color="auto"/>
                  </w:divBdr>
                  <w:divsChild>
                    <w:div w:id="1412462624">
                      <w:marLeft w:val="0"/>
                      <w:marRight w:val="0"/>
                      <w:marTop w:val="0"/>
                      <w:marBottom w:val="0"/>
                      <w:divBdr>
                        <w:top w:val="none" w:sz="0" w:space="0" w:color="auto"/>
                        <w:left w:val="none" w:sz="0" w:space="0" w:color="auto"/>
                        <w:bottom w:val="none" w:sz="0" w:space="0" w:color="auto"/>
                        <w:right w:val="none" w:sz="0" w:space="0" w:color="auto"/>
                      </w:divBdr>
                    </w:div>
                  </w:divsChild>
                </w:div>
                <w:div w:id="141703951">
                  <w:marLeft w:val="0"/>
                  <w:marRight w:val="0"/>
                  <w:marTop w:val="0"/>
                  <w:marBottom w:val="0"/>
                  <w:divBdr>
                    <w:top w:val="none" w:sz="0" w:space="0" w:color="auto"/>
                    <w:left w:val="none" w:sz="0" w:space="0" w:color="auto"/>
                    <w:bottom w:val="none" w:sz="0" w:space="0" w:color="auto"/>
                    <w:right w:val="none" w:sz="0" w:space="0" w:color="auto"/>
                  </w:divBdr>
                  <w:divsChild>
                    <w:div w:id="966084973">
                      <w:marLeft w:val="0"/>
                      <w:marRight w:val="0"/>
                      <w:marTop w:val="0"/>
                      <w:marBottom w:val="0"/>
                      <w:divBdr>
                        <w:top w:val="none" w:sz="0" w:space="0" w:color="auto"/>
                        <w:left w:val="none" w:sz="0" w:space="0" w:color="auto"/>
                        <w:bottom w:val="none" w:sz="0" w:space="0" w:color="auto"/>
                        <w:right w:val="none" w:sz="0" w:space="0" w:color="auto"/>
                      </w:divBdr>
                    </w:div>
                  </w:divsChild>
                </w:div>
                <w:div w:id="178472216">
                  <w:marLeft w:val="0"/>
                  <w:marRight w:val="0"/>
                  <w:marTop w:val="0"/>
                  <w:marBottom w:val="0"/>
                  <w:divBdr>
                    <w:top w:val="none" w:sz="0" w:space="0" w:color="auto"/>
                    <w:left w:val="none" w:sz="0" w:space="0" w:color="auto"/>
                    <w:bottom w:val="none" w:sz="0" w:space="0" w:color="auto"/>
                    <w:right w:val="none" w:sz="0" w:space="0" w:color="auto"/>
                  </w:divBdr>
                  <w:divsChild>
                    <w:div w:id="1762868388">
                      <w:marLeft w:val="0"/>
                      <w:marRight w:val="0"/>
                      <w:marTop w:val="0"/>
                      <w:marBottom w:val="0"/>
                      <w:divBdr>
                        <w:top w:val="none" w:sz="0" w:space="0" w:color="auto"/>
                        <w:left w:val="none" w:sz="0" w:space="0" w:color="auto"/>
                        <w:bottom w:val="none" w:sz="0" w:space="0" w:color="auto"/>
                        <w:right w:val="none" w:sz="0" w:space="0" w:color="auto"/>
                      </w:divBdr>
                    </w:div>
                  </w:divsChild>
                </w:div>
                <w:div w:id="1415084809">
                  <w:marLeft w:val="0"/>
                  <w:marRight w:val="0"/>
                  <w:marTop w:val="0"/>
                  <w:marBottom w:val="0"/>
                  <w:divBdr>
                    <w:top w:val="none" w:sz="0" w:space="0" w:color="auto"/>
                    <w:left w:val="none" w:sz="0" w:space="0" w:color="auto"/>
                    <w:bottom w:val="none" w:sz="0" w:space="0" w:color="auto"/>
                    <w:right w:val="none" w:sz="0" w:space="0" w:color="auto"/>
                  </w:divBdr>
                  <w:divsChild>
                    <w:div w:id="1225333517">
                      <w:marLeft w:val="0"/>
                      <w:marRight w:val="0"/>
                      <w:marTop w:val="0"/>
                      <w:marBottom w:val="0"/>
                      <w:divBdr>
                        <w:top w:val="none" w:sz="0" w:space="0" w:color="auto"/>
                        <w:left w:val="none" w:sz="0" w:space="0" w:color="auto"/>
                        <w:bottom w:val="none" w:sz="0" w:space="0" w:color="auto"/>
                        <w:right w:val="none" w:sz="0" w:space="0" w:color="auto"/>
                      </w:divBdr>
                    </w:div>
                  </w:divsChild>
                </w:div>
                <w:div w:id="1473330172">
                  <w:marLeft w:val="0"/>
                  <w:marRight w:val="0"/>
                  <w:marTop w:val="0"/>
                  <w:marBottom w:val="0"/>
                  <w:divBdr>
                    <w:top w:val="none" w:sz="0" w:space="0" w:color="auto"/>
                    <w:left w:val="none" w:sz="0" w:space="0" w:color="auto"/>
                    <w:bottom w:val="none" w:sz="0" w:space="0" w:color="auto"/>
                    <w:right w:val="none" w:sz="0" w:space="0" w:color="auto"/>
                  </w:divBdr>
                  <w:divsChild>
                    <w:div w:id="1910652791">
                      <w:marLeft w:val="0"/>
                      <w:marRight w:val="0"/>
                      <w:marTop w:val="0"/>
                      <w:marBottom w:val="0"/>
                      <w:divBdr>
                        <w:top w:val="none" w:sz="0" w:space="0" w:color="auto"/>
                        <w:left w:val="none" w:sz="0" w:space="0" w:color="auto"/>
                        <w:bottom w:val="none" w:sz="0" w:space="0" w:color="auto"/>
                        <w:right w:val="none" w:sz="0" w:space="0" w:color="auto"/>
                      </w:divBdr>
                    </w:div>
                  </w:divsChild>
                </w:div>
                <w:div w:id="1476334239">
                  <w:marLeft w:val="0"/>
                  <w:marRight w:val="0"/>
                  <w:marTop w:val="0"/>
                  <w:marBottom w:val="0"/>
                  <w:divBdr>
                    <w:top w:val="none" w:sz="0" w:space="0" w:color="auto"/>
                    <w:left w:val="none" w:sz="0" w:space="0" w:color="auto"/>
                    <w:bottom w:val="none" w:sz="0" w:space="0" w:color="auto"/>
                    <w:right w:val="none" w:sz="0" w:space="0" w:color="auto"/>
                  </w:divBdr>
                  <w:divsChild>
                    <w:div w:id="1495140825">
                      <w:marLeft w:val="0"/>
                      <w:marRight w:val="0"/>
                      <w:marTop w:val="0"/>
                      <w:marBottom w:val="0"/>
                      <w:divBdr>
                        <w:top w:val="none" w:sz="0" w:space="0" w:color="auto"/>
                        <w:left w:val="none" w:sz="0" w:space="0" w:color="auto"/>
                        <w:bottom w:val="none" w:sz="0" w:space="0" w:color="auto"/>
                        <w:right w:val="none" w:sz="0" w:space="0" w:color="auto"/>
                      </w:divBdr>
                    </w:div>
                  </w:divsChild>
                </w:div>
                <w:div w:id="1712415053">
                  <w:marLeft w:val="0"/>
                  <w:marRight w:val="0"/>
                  <w:marTop w:val="0"/>
                  <w:marBottom w:val="0"/>
                  <w:divBdr>
                    <w:top w:val="none" w:sz="0" w:space="0" w:color="auto"/>
                    <w:left w:val="none" w:sz="0" w:space="0" w:color="auto"/>
                    <w:bottom w:val="none" w:sz="0" w:space="0" w:color="auto"/>
                    <w:right w:val="none" w:sz="0" w:space="0" w:color="auto"/>
                  </w:divBdr>
                  <w:divsChild>
                    <w:div w:id="14996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366159">
      <w:bodyDiv w:val="1"/>
      <w:marLeft w:val="0"/>
      <w:marRight w:val="0"/>
      <w:marTop w:val="0"/>
      <w:marBottom w:val="0"/>
      <w:divBdr>
        <w:top w:val="none" w:sz="0" w:space="0" w:color="auto"/>
        <w:left w:val="none" w:sz="0" w:space="0" w:color="auto"/>
        <w:bottom w:val="none" w:sz="0" w:space="0" w:color="auto"/>
        <w:right w:val="none" w:sz="0" w:space="0" w:color="auto"/>
      </w:divBdr>
    </w:div>
    <w:div w:id="1317027298">
      <w:bodyDiv w:val="1"/>
      <w:marLeft w:val="0"/>
      <w:marRight w:val="0"/>
      <w:marTop w:val="0"/>
      <w:marBottom w:val="0"/>
      <w:divBdr>
        <w:top w:val="none" w:sz="0" w:space="0" w:color="auto"/>
        <w:left w:val="none" w:sz="0" w:space="0" w:color="auto"/>
        <w:bottom w:val="none" w:sz="0" w:space="0" w:color="auto"/>
        <w:right w:val="none" w:sz="0" w:space="0" w:color="auto"/>
      </w:divBdr>
    </w:div>
    <w:div w:id="1342708390">
      <w:bodyDiv w:val="1"/>
      <w:marLeft w:val="0"/>
      <w:marRight w:val="0"/>
      <w:marTop w:val="0"/>
      <w:marBottom w:val="0"/>
      <w:divBdr>
        <w:top w:val="none" w:sz="0" w:space="0" w:color="auto"/>
        <w:left w:val="none" w:sz="0" w:space="0" w:color="auto"/>
        <w:bottom w:val="none" w:sz="0" w:space="0" w:color="auto"/>
        <w:right w:val="none" w:sz="0" w:space="0" w:color="auto"/>
      </w:divBdr>
    </w:div>
    <w:div w:id="1351492885">
      <w:bodyDiv w:val="1"/>
      <w:marLeft w:val="0"/>
      <w:marRight w:val="0"/>
      <w:marTop w:val="0"/>
      <w:marBottom w:val="0"/>
      <w:divBdr>
        <w:top w:val="none" w:sz="0" w:space="0" w:color="auto"/>
        <w:left w:val="none" w:sz="0" w:space="0" w:color="auto"/>
        <w:bottom w:val="none" w:sz="0" w:space="0" w:color="auto"/>
        <w:right w:val="none" w:sz="0" w:space="0" w:color="auto"/>
      </w:divBdr>
    </w:div>
    <w:div w:id="1377855922">
      <w:bodyDiv w:val="1"/>
      <w:marLeft w:val="0"/>
      <w:marRight w:val="0"/>
      <w:marTop w:val="0"/>
      <w:marBottom w:val="0"/>
      <w:divBdr>
        <w:top w:val="none" w:sz="0" w:space="0" w:color="auto"/>
        <w:left w:val="none" w:sz="0" w:space="0" w:color="auto"/>
        <w:bottom w:val="none" w:sz="0" w:space="0" w:color="auto"/>
        <w:right w:val="none" w:sz="0" w:space="0" w:color="auto"/>
      </w:divBdr>
    </w:div>
    <w:div w:id="1379087908">
      <w:bodyDiv w:val="1"/>
      <w:marLeft w:val="0"/>
      <w:marRight w:val="0"/>
      <w:marTop w:val="0"/>
      <w:marBottom w:val="0"/>
      <w:divBdr>
        <w:top w:val="none" w:sz="0" w:space="0" w:color="auto"/>
        <w:left w:val="none" w:sz="0" w:space="0" w:color="auto"/>
        <w:bottom w:val="none" w:sz="0" w:space="0" w:color="auto"/>
        <w:right w:val="none" w:sz="0" w:space="0" w:color="auto"/>
      </w:divBdr>
    </w:div>
    <w:div w:id="1384670976">
      <w:bodyDiv w:val="1"/>
      <w:marLeft w:val="0"/>
      <w:marRight w:val="0"/>
      <w:marTop w:val="0"/>
      <w:marBottom w:val="0"/>
      <w:divBdr>
        <w:top w:val="none" w:sz="0" w:space="0" w:color="auto"/>
        <w:left w:val="none" w:sz="0" w:space="0" w:color="auto"/>
        <w:bottom w:val="none" w:sz="0" w:space="0" w:color="auto"/>
        <w:right w:val="none" w:sz="0" w:space="0" w:color="auto"/>
      </w:divBdr>
    </w:div>
    <w:div w:id="1416510967">
      <w:bodyDiv w:val="1"/>
      <w:marLeft w:val="0"/>
      <w:marRight w:val="0"/>
      <w:marTop w:val="0"/>
      <w:marBottom w:val="0"/>
      <w:divBdr>
        <w:top w:val="none" w:sz="0" w:space="0" w:color="auto"/>
        <w:left w:val="none" w:sz="0" w:space="0" w:color="auto"/>
        <w:bottom w:val="none" w:sz="0" w:space="0" w:color="auto"/>
        <w:right w:val="none" w:sz="0" w:space="0" w:color="auto"/>
      </w:divBdr>
    </w:div>
    <w:div w:id="1425105988">
      <w:bodyDiv w:val="1"/>
      <w:marLeft w:val="0"/>
      <w:marRight w:val="0"/>
      <w:marTop w:val="0"/>
      <w:marBottom w:val="0"/>
      <w:divBdr>
        <w:top w:val="none" w:sz="0" w:space="0" w:color="auto"/>
        <w:left w:val="none" w:sz="0" w:space="0" w:color="auto"/>
        <w:bottom w:val="none" w:sz="0" w:space="0" w:color="auto"/>
        <w:right w:val="none" w:sz="0" w:space="0" w:color="auto"/>
      </w:divBdr>
    </w:div>
    <w:div w:id="1428768606">
      <w:bodyDiv w:val="1"/>
      <w:marLeft w:val="0"/>
      <w:marRight w:val="0"/>
      <w:marTop w:val="0"/>
      <w:marBottom w:val="0"/>
      <w:divBdr>
        <w:top w:val="none" w:sz="0" w:space="0" w:color="auto"/>
        <w:left w:val="none" w:sz="0" w:space="0" w:color="auto"/>
        <w:bottom w:val="none" w:sz="0" w:space="0" w:color="auto"/>
        <w:right w:val="none" w:sz="0" w:space="0" w:color="auto"/>
      </w:divBdr>
    </w:div>
    <w:div w:id="1432117798">
      <w:bodyDiv w:val="1"/>
      <w:marLeft w:val="0"/>
      <w:marRight w:val="0"/>
      <w:marTop w:val="0"/>
      <w:marBottom w:val="0"/>
      <w:divBdr>
        <w:top w:val="none" w:sz="0" w:space="0" w:color="auto"/>
        <w:left w:val="none" w:sz="0" w:space="0" w:color="auto"/>
        <w:bottom w:val="none" w:sz="0" w:space="0" w:color="auto"/>
        <w:right w:val="none" w:sz="0" w:space="0" w:color="auto"/>
      </w:divBdr>
    </w:div>
    <w:div w:id="1443259737">
      <w:bodyDiv w:val="1"/>
      <w:marLeft w:val="0"/>
      <w:marRight w:val="0"/>
      <w:marTop w:val="0"/>
      <w:marBottom w:val="0"/>
      <w:divBdr>
        <w:top w:val="none" w:sz="0" w:space="0" w:color="auto"/>
        <w:left w:val="none" w:sz="0" w:space="0" w:color="auto"/>
        <w:bottom w:val="none" w:sz="0" w:space="0" w:color="auto"/>
        <w:right w:val="none" w:sz="0" w:space="0" w:color="auto"/>
      </w:divBdr>
    </w:div>
    <w:div w:id="1453745188">
      <w:bodyDiv w:val="1"/>
      <w:marLeft w:val="0"/>
      <w:marRight w:val="0"/>
      <w:marTop w:val="0"/>
      <w:marBottom w:val="0"/>
      <w:divBdr>
        <w:top w:val="none" w:sz="0" w:space="0" w:color="auto"/>
        <w:left w:val="none" w:sz="0" w:space="0" w:color="auto"/>
        <w:bottom w:val="none" w:sz="0" w:space="0" w:color="auto"/>
        <w:right w:val="none" w:sz="0" w:space="0" w:color="auto"/>
      </w:divBdr>
    </w:div>
    <w:div w:id="1480657618">
      <w:bodyDiv w:val="1"/>
      <w:marLeft w:val="0"/>
      <w:marRight w:val="0"/>
      <w:marTop w:val="0"/>
      <w:marBottom w:val="0"/>
      <w:divBdr>
        <w:top w:val="none" w:sz="0" w:space="0" w:color="auto"/>
        <w:left w:val="none" w:sz="0" w:space="0" w:color="auto"/>
        <w:bottom w:val="none" w:sz="0" w:space="0" w:color="auto"/>
        <w:right w:val="none" w:sz="0" w:space="0" w:color="auto"/>
      </w:divBdr>
    </w:div>
    <w:div w:id="1519927601">
      <w:bodyDiv w:val="1"/>
      <w:marLeft w:val="0"/>
      <w:marRight w:val="0"/>
      <w:marTop w:val="0"/>
      <w:marBottom w:val="0"/>
      <w:divBdr>
        <w:top w:val="none" w:sz="0" w:space="0" w:color="auto"/>
        <w:left w:val="none" w:sz="0" w:space="0" w:color="auto"/>
        <w:bottom w:val="none" w:sz="0" w:space="0" w:color="auto"/>
        <w:right w:val="none" w:sz="0" w:space="0" w:color="auto"/>
      </w:divBdr>
    </w:div>
    <w:div w:id="1539732691">
      <w:bodyDiv w:val="1"/>
      <w:marLeft w:val="0"/>
      <w:marRight w:val="0"/>
      <w:marTop w:val="0"/>
      <w:marBottom w:val="0"/>
      <w:divBdr>
        <w:top w:val="none" w:sz="0" w:space="0" w:color="auto"/>
        <w:left w:val="none" w:sz="0" w:space="0" w:color="auto"/>
        <w:bottom w:val="none" w:sz="0" w:space="0" w:color="auto"/>
        <w:right w:val="none" w:sz="0" w:space="0" w:color="auto"/>
      </w:divBdr>
    </w:div>
    <w:div w:id="1545022349">
      <w:bodyDiv w:val="1"/>
      <w:marLeft w:val="0"/>
      <w:marRight w:val="0"/>
      <w:marTop w:val="0"/>
      <w:marBottom w:val="0"/>
      <w:divBdr>
        <w:top w:val="none" w:sz="0" w:space="0" w:color="auto"/>
        <w:left w:val="none" w:sz="0" w:space="0" w:color="auto"/>
        <w:bottom w:val="none" w:sz="0" w:space="0" w:color="auto"/>
        <w:right w:val="none" w:sz="0" w:space="0" w:color="auto"/>
      </w:divBdr>
    </w:div>
    <w:div w:id="1555896369">
      <w:bodyDiv w:val="1"/>
      <w:marLeft w:val="0"/>
      <w:marRight w:val="0"/>
      <w:marTop w:val="0"/>
      <w:marBottom w:val="0"/>
      <w:divBdr>
        <w:top w:val="none" w:sz="0" w:space="0" w:color="auto"/>
        <w:left w:val="none" w:sz="0" w:space="0" w:color="auto"/>
        <w:bottom w:val="none" w:sz="0" w:space="0" w:color="auto"/>
        <w:right w:val="none" w:sz="0" w:space="0" w:color="auto"/>
      </w:divBdr>
      <w:divsChild>
        <w:div w:id="154226035">
          <w:marLeft w:val="0"/>
          <w:marRight w:val="0"/>
          <w:marTop w:val="0"/>
          <w:marBottom w:val="0"/>
          <w:divBdr>
            <w:top w:val="none" w:sz="0" w:space="0" w:color="auto"/>
            <w:left w:val="none" w:sz="0" w:space="0" w:color="auto"/>
            <w:bottom w:val="none" w:sz="0" w:space="0" w:color="auto"/>
            <w:right w:val="none" w:sz="0" w:space="0" w:color="auto"/>
          </w:divBdr>
        </w:div>
        <w:div w:id="647520615">
          <w:marLeft w:val="0"/>
          <w:marRight w:val="0"/>
          <w:marTop w:val="0"/>
          <w:marBottom w:val="0"/>
          <w:divBdr>
            <w:top w:val="none" w:sz="0" w:space="0" w:color="auto"/>
            <w:left w:val="none" w:sz="0" w:space="0" w:color="auto"/>
            <w:bottom w:val="none" w:sz="0" w:space="0" w:color="auto"/>
            <w:right w:val="none" w:sz="0" w:space="0" w:color="auto"/>
          </w:divBdr>
        </w:div>
      </w:divsChild>
    </w:div>
    <w:div w:id="1566985921">
      <w:bodyDiv w:val="1"/>
      <w:marLeft w:val="0"/>
      <w:marRight w:val="0"/>
      <w:marTop w:val="0"/>
      <w:marBottom w:val="0"/>
      <w:divBdr>
        <w:top w:val="none" w:sz="0" w:space="0" w:color="auto"/>
        <w:left w:val="none" w:sz="0" w:space="0" w:color="auto"/>
        <w:bottom w:val="none" w:sz="0" w:space="0" w:color="auto"/>
        <w:right w:val="none" w:sz="0" w:space="0" w:color="auto"/>
      </w:divBdr>
    </w:div>
    <w:div w:id="1567716185">
      <w:bodyDiv w:val="1"/>
      <w:marLeft w:val="0"/>
      <w:marRight w:val="0"/>
      <w:marTop w:val="0"/>
      <w:marBottom w:val="0"/>
      <w:divBdr>
        <w:top w:val="none" w:sz="0" w:space="0" w:color="auto"/>
        <w:left w:val="none" w:sz="0" w:space="0" w:color="auto"/>
        <w:bottom w:val="none" w:sz="0" w:space="0" w:color="auto"/>
        <w:right w:val="none" w:sz="0" w:space="0" w:color="auto"/>
      </w:divBdr>
    </w:div>
    <w:div w:id="1591163755">
      <w:bodyDiv w:val="1"/>
      <w:marLeft w:val="0"/>
      <w:marRight w:val="0"/>
      <w:marTop w:val="0"/>
      <w:marBottom w:val="0"/>
      <w:divBdr>
        <w:top w:val="none" w:sz="0" w:space="0" w:color="auto"/>
        <w:left w:val="none" w:sz="0" w:space="0" w:color="auto"/>
        <w:bottom w:val="none" w:sz="0" w:space="0" w:color="auto"/>
        <w:right w:val="none" w:sz="0" w:space="0" w:color="auto"/>
      </w:divBdr>
    </w:div>
    <w:div w:id="1592547391">
      <w:bodyDiv w:val="1"/>
      <w:marLeft w:val="0"/>
      <w:marRight w:val="0"/>
      <w:marTop w:val="0"/>
      <w:marBottom w:val="0"/>
      <w:divBdr>
        <w:top w:val="none" w:sz="0" w:space="0" w:color="auto"/>
        <w:left w:val="none" w:sz="0" w:space="0" w:color="auto"/>
        <w:bottom w:val="none" w:sz="0" w:space="0" w:color="auto"/>
        <w:right w:val="none" w:sz="0" w:space="0" w:color="auto"/>
      </w:divBdr>
    </w:div>
    <w:div w:id="1605722365">
      <w:bodyDiv w:val="1"/>
      <w:marLeft w:val="0"/>
      <w:marRight w:val="0"/>
      <w:marTop w:val="0"/>
      <w:marBottom w:val="0"/>
      <w:divBdr>
        <w:top w:val="none" w:sz="0" w:space="0" w:color="auto"/>
        <w:left w:val="none" w:sz="0" w:space="0" w:color="auto"/>
        <w:bottom w:val="none" w:sz="0" w:space="0" w:color="auto"/>
        <w:right w:val="none" w:sz="0" w:space="0" w:color="auto"/>
      </w:divBdr>
    </w:div>
    <w:div w:id="1615475147">
      <w:bodyDiv w:val="1"/>
      <w:marLeft w:val="0"/>
      <w:marRight w:val="0"/>
      <w:marTop w:val="0"/>
      <w:marBottom w:val="0"/>
      <w:divBdr>
        <w:top w:val="none" w:sz="0" w:space="0" w:color="auto"/>
        <w:left w:val="none" w:sz="0" w:space="0" w:color="auto"/>
        <w:bottom w:val="none" w:sz="0" w:space="0" w:color="auto"/>
        <w:right w:val="none" w:sz="0" w:space="0" w:color="auto"/>
      </w:divBdr>
    </w:div>
    <w:div w:id="1628655479">
      <w:bodyDiv w:val="1"/>
      <w:marLeft w:val="0"/>
      <w:marRight w:val="0"/>
      <w:marTop w:val="0"/>
      <w:marBottom w:val="0"/>
      <w:divBdr>
        <w:top w:val="none" w:sz="0" w:space="0" w:color="auto"/>
        <w:left w:val="none" w:sz="0" w:space="0" w:color="auto"/>
        <w:bottom w:val="none" w:sz="0" w:space="0" w:color="auto"/>
        <w:right w:val="none" w:sz="0" w:space="0" w:color="auto"/>
      </w:divBdr>
      <w:divsChild>
        <w:div w:id="46340656">
          <w:marLeft w:val="0"/>
          <w:marRight w:val="0"/>
          <w:marTop w:val="0"/>
          <w:marBottom w:val="0"/>
          <w:divBdr>
            <w:top w:val="none" w:sz="0" w:space="0" w:color="auto"/>
            <w:left w:val="none" w:sz="0" w:space="0" w:color="auto"/>
            <w:bottom w:val="none" w:sz="0" w:space="0" w:color="auto"/>
            <w:right w:val="none" w:sz="0" w:space="0" w:color="auto"/>
          </w:divBdr>
        </w:div>
        <w:div w:id="74982393">
          <w:marLeft w:val="0"/>
          <w:marRight w:val="0"/>
          <w:marTop w:val="0"/>
          <w:marBottom w:val="0"/>
          <w:divBdr>
            <w:top w:val="none" w:sz="0" w:space="0" w:color="auto"/>
            <w:left w:val="none" w:sz="0" w:space="0" w:color="auto"/>
            <w:bottom w:val="none" w:sz="0" w:space="0" w:color="auto"/>
            <w:right w:val="none" w:sz="0" w:space="0" w:color="auto"/>
          </w:divBdr>
        </w:div>
        <w:div w:id="84159560">
          <w:marLeft w:val="0"/>
          <w:marRight w:val="0"/>
          <w:marTop w:val="0"/>
          <w:marBottom w:val="0"/>
          <w:divBdr>
            <w:top w:val="none" w:sz="0" w:space="0" w:color="auto"/>
            <w:left w:val="none" w:sz="0" w:space="0" w:color="auto"/>
            <w:bottom w:val="none" w:sz="0" w:space="0" w:color="auto"/>
            <w:right w:val="none" w:sz="0" w:space="0" w:color="auto"/>
          </w:divBdr>
        </w:div>
        <w:div w:id="105657970">
          <w:marLeft w:val="0"/>
          <w:marRight w:val="0"/>
          <w:marTop w:val="0"/>
          <w:marBottom w:val="0"/>
          <w:divBdr>
            <w:top w:val="none" w:sz="0" w:space="0" w:color="auto"/>
            <w:left w:val="none" w:sz="0" w:space="0" w:color="auto"/>
            <w:bottom w:val="none" w:sz="0" w:space="0" w:color="auto"/>
            <w:right w:val="none" w:sz="0" w:space="0" w:color="auto"/>
          </w:divBdr>
        </w:div>
        <w:div w:id="119811156">
          <w:marLeft w:val="0"/>
          <w:marRight w:val="0"/>
          <w:marTop w:val="0"/>
          <w:marBottom w:val="0"/>
          <w:divBdr>
            <w:top w:val="none" w:sz="0" w:space="0" w:color="auto"/>
            <w:left w:val="none" w:sz="0" w:space="0" w:color="auto"/>
            <w:bottom w:val="none" w:sz="0" w:space="0" w:color="auto"/>
            <w:right w:val="none" w:sz="0" w:space="0" w:color="auto"/>
          </w:divBdr>
        </w:div>
        <w:div w:id="131102837">
          <w:marLeft w:val="0"/>
          <w:marRight w:val="0"/>
          <w:marTop w:val="0"/>
          <w:marBottom w:val="0"/>
          <w:divBdr>
            <w:top w:val="none" w:sz="0" w:space="0" w:color="auto"/>
            <w:left w:val="none" w:sz="0" w:space="0" w:color="auto"/>
            <w:bottom w:val="none" w:sz="0" w:space="0" w:color="auto"/>
            <w:right w:val="none" w:sz="0" w:space="0" w:color="auto"/>
          </w:divBdr>
        </w:div>
        <w:div w:id="136345221">
          <w:marLeft w:val="0"/>
          <w:marRight w:val="0"/>
          <w:marTop w:val="0"/>
          <w:marBottom w:val="0"/>
          <w:divBdr>
            <w:top w:val="none" w:sz="0" w:space="0" w:color="auto"/>
            <w:left w:val="none" w:sz="0" w:space="0" w:color="auto"/>
            <w:bottom w:val="none" w:sz="0" w:space="0" w:color="auto"/>
            <w:right w:val="none" w:sz="0" w:space="0" w:color="auto"/>
          </w:divBdr>
        </w:div>
        <w:div w:id="172259428">
          <w:marLeft w:val="0"/>
          <w:marRight w:val="0"/>
          <w:marTop w:val="0"/>
          <w:marBottom w:val="0"/>
          <w:divBdr>
            <w:top w:val="none" w:sz="0" w:space="0" w:color="auto"/>
            <w:left w:val="none" w:sz="0" w:space="0" w:color="auto"/>
            <w:bottom w:val="none" w:sz="0" w:space="0" w:color="auto"/>
            <w:right w:val="none" w:sz="0" w:space="0" w:color="auto"/>
          </w:divBdr>
        </w:div>
        <w:div w:id="178861655">
          <w:marLeft w:val="0"/>
          <w:marRight w:val="0"/>
          <w:marTop w:val="0"/>
          <w:marBottom w:val="0"/>
          <w:divBdr>
            <w:top w:val="none" w:sz="0" w:space="0" w:color="auto"/>
            <w:left w:val="none" w:sz="0" w:space="0" w:color="auto"/>
            <w:bottom w:val="none" w:sz="0" w:space="0" w:color="auto"/>
            <w:right w:val="none" w:sz="0" w:space="0" w:color="auto"/>
          </w:divBdr>
        </w:div>
        <w:div w:id="190000566">
          <w:marLeft w:val="0"/>
          <w:marRight w:val="0"/>
          <w:marTop w:val="0"/>
          <w:marBottom w:val="0"/>
          <w:divBdr>
            <w:top w:val="none" w:sz="0" w:space="0" w:color="auto"/>
            <w:left w:val="none" w:sz="0" w:space="0" w:color="auto"/>
            <w:bottom w:val="none" w:sz="0" w:space="0" w:color="auto"/>
            <w:right w:val="none" w:sz="0" w:space="0" w:color="auto"/>
          </w:divBdr>
        </w:div>
        <w:div w:id="201989386">
          <w:marLeft w:val="0"/>
          <w:marRight w:val="0"/>
          <w:marTop w:val="0"/>
          <w:marBottom w:val="0"/>
          <w:divBdr>
            <w:top w:val="none" w:sz="0" w:space="0" w:color="auto"/>
            <w:left w:val="none" w:sz="0" w:space="0" w:color="auto"/>
            <w:bottom w:val="none" w:sz="0" w:space="0" w:color="auto"/>
            <w:right w:val="none" w:sz="0" w:space="0" w:color="auto"/>
          </w:divBdr>
        </w:div>
        <w:div w:id="216207721">
          <w:marLeft w:val="0"/>
          <w:marRight w:val="0"/>
          <w:marTop w:val="0"/>
          <w:marBottom w:val="0"/>
          <w:divBdr>
            <w:top w:val="none" w:sz="0" w:space="0" w:color="auto"/>
            <w:left w:val="none" w:sz="0" w:space="0" w:color="auto"/>
            <w:bottom w:val="none" w:sz="0" w:space="0" w:color="auto"/>
            <w:right w:val="none" w:sz="0" w:space="0" w:color="auto"/>
          </w:divBdr>
        </w:div>
        <w:div w:id="228881197">
          <w:marLeft w:val="0"/>
          <w:marRight w:val="0"/>
          <w:marTop w:val="0"/>
          <w:marBottom w:val="0"/>
          <w:divBdr>
            <w:top w:val="none" w:sz="0" w:space="0" w:color="auto"/>
            <w:left w:val="none" w:sz="0" w:space="0" w:color="auto"/>
            <w:bottom w:val="none" w:sz="0" w:space="0" w:color="auto"/>
            <w:right w:val="none" w:sz="0" w:space="0" w:color="auto"/>
          </w:divBdr>
        </w:div>
        <w:div w:id="265582766">
          <w:marLeft w:val="0"/>
          <w:marRight w:val="0"/>
          <w:marTop w:val="0"/>
          <w:marBottom w:val="0"/>
          <w:divBdr>
            <w:top w:val="none" w:sz="0" w:space="0" w:color="auto"/>
            <w:left w:val="none" w:sz="0" w:space="0" w:color="auto"/>
            <w:bottom w:val="none" w:sz="0" w:space="0" w:color="auto"/>
            <w:right w:val="none" w:sz="0" w:space="0" w:color="auto"/>
          </w:divBdr>
        </w:div>
        <w:div w:id="269775740">
          <w:marLeft w:val="0"/>
          <w:marRight w:val="0"/>
          <w:marTop w:val="0"/>
          <w:marBottom w:val="0"/>
          <w:divBdr>
            <w:top w:val="none" w:sz="0" w:space="0" w:color="auto"/>
            <w:left w:val="none" w:sz="0" w:space="0" w:color="auto"/>
            <w:bottom w:val="none" w:sz="0" w:space="0" w:color="auto"/>
            <w:right w:val="none" w:sz="0" w:space="0" w:color="auto"/>
          </w:divBdr>
        </w:div>
        <w:div w:id="339549874">
          <w:marLeft w:val="0"/>
          <w:marRight w:val="0"/>
          <w:marTop w:val="0"/>
          <w:marBottom w:val="0"/>
          <w:divBdr>
            <w:top w:val="none" w:sz="0" w:space="0" w:color="auto"/>
            <w:left w:val="none" w:sz="0" w:space="0" w:color="auto"/>
            <w:bottom w:val="none" w:sz="0" w:space="0" w:color="auto"/>
            <w:right w:val="none" w:sz="0" w:space="0" w:color="auto"/>
          </w:divBdr>
        </w:div>
        <w:div w:id="358091876">
          <w:marLeft w:val="0"/>
          <w:marRight w:val="0"/>
          <w:marTop w:val="0"/>
          <w:marBottom w:val="0"/>
          <w:divBdr>
            <w:top w:val="none" w:sz="0" w:space="0" w:color="auto"/>
            <w:left w:val="none" w:sz="0" w:space="0" w:color="auto"/>
            <w:bottom w:val="none" w:sz="0" w:space="0" w:color="auto"/>
            <w:right w:val="none" w:sz="0" w:space="0" w:color="auto"/>
          </w:divBdr>
        </w:div>
        <w:div w:id="409697345">
          <w:marLeft w:val="0"/>
          <w:marRight w:val="0"/>
          <w:marTop w:val="0"/>
          <w:marBottom w:val="0"/>
          <w:divBdr>
            <w:top w:val="none" w:sz="0" w:space="0" w:color="auto"/>
            <w:left w:val="none" w:sz="0" w:space="0" w:color="auto"/>
            <w:bottom w:val="none" w:sz="0" w:space="0" w:color="auto"/>
            <w:right w:val="none" w:sz="0" w:space="0" w:color="auto"/>
          </w:divBdr>
        </w:div>
        <w:div w:id="416904804">
          <w:marLeft w:val="0"/>
          <w:marRight w:val="0"/>
          <w:marTop w:val="0"/>
          <w:marBottom w:val="0"/>
          <w:divBdr>
            <w:top w:val="none" w:sz="0" w:space="0" w:color="auto"/>
            <w:left w:val="none" w:sz="0" w:space="0" w:color="auto"/>
            <w:bottom w:val="none" w:sz="0" w:space="0" w:color="auto"/>
            <w:right w:val="none" w:sz="0" w:space="0" w:color="auto"/>
          </w:divBdr>
        </w:div>
        <w:div w:id="444424108">
          <w:marLeft w:val="0"/>
          <w:marRight w:val="0"/>
          <w:marTop w:val="0"/>
          <w:marBottom w:val="0"/>
          <w:divBdr>
            <w:top w:val="none" w:sz="0" w:space="0" w:color="auto"/>
            <w:left w:val="none" w:sz="0" w:space="0" w:color="auto"/>
            <w:bottom w:val="none" w:sz="0" w:space="0" w:color="auto"/>
            <w:right w:val="none" w:sz="0" w:space="0" w:color="auto"/>
          </w:divBdr>
        </w:div>
        <w:div w:id="450248032">
          <w:marLeft w:val="0"/>
          <w:marRight w:val="0"/>
          <w:marTop w:val="0"/>
          <w:marBottom w:val="0"/>
          <w:divBdr>
            <w:top w:val="none" w:sz="0" w:space="0" w:color="auto"/>
            <w:left w:val="none" w:sz="0" w:space="0" w:color="auto"/>
            <w:bottom w:val="none" w:sz="0" w:space="0" w:color="auto"/>
            <w:right w:val="none" w:sz="0" w:space="0" w:color="auto"/>
          </w:divBdr>
        </w:div>
        <w:div w:id="465247411">
          <w:marLeft w:val="0"/>
          <w:marRight w:val="0"/>
          <w:marTop w:val="0"/>
          <w:marBottom w:val="0"/>
          <w:divBdr>
            <w:top w:val="none" w:sz="0" w:space="0" w:color="auto"/>
            <w:left w:val="none" w:sz="0" w:space="0" w:color="auto"/>
            <w:bottom w:val="none" w:sz="0" w:space="0" w:color="auto"/>
            <w:right w:val="none" w:sz="0" w:space="0" w:color="auto"/>
          </w:divBdr>
        </w:div>
        <w:div w:id="468592071">
          <w:marLeft w:val="0"/>
          <w:marRight w:val="0"/>
          <w:marTop w:val="0"/>
          <w:marBottom w:val="0"/>
          <w:divBdr>
            <w:top w:val="none" w:sz="0" w:space="0" w:color="auto"/>
            <w:left w:val="none" w:sz="0" w:space="0" w:color="auto"/>
            <w:bottom w:val="none" w:sz="0" w:space="0" w:color="auto"/>
            <w:right w:val="none" w:sz="0" w:space="0" w:color="auto"/>
          </w:divBdr>
        </w:div>
        <w:div w:id="492142561">
          <w:marLeft w:val="0"/>
          <w:marRight w:val="0"/>
          <w:marTop w:val="0"/>
          <w:marBottom w:val="0"/>
          <w:divBdr>
            <w:top w:val="none" w:sz="0" w:space="0" w:color="auto"/>
            <w:left w:val="none" w:sz="0" w:space="0" w:color="auto"/>
            <w:bottom w:val="none" w:sz="0" w:space="0" w:color="auto"/>
            <w:right w:val="none" w:sz="0" w:space="0" w:color="auto"/>
          </w:divBdr>
        </w:div>
        <w:div w:id="497575437">
          <w:marLeft w:val="0"/>
          <w:marRight w:val="0"/>
          <w:marTop w:val="0"/>
          <w:marBottom w:val="0"/>
          <w:divBdr>
            <w:top w:val="none" w:sz="0" w:space="0" w:color="auto"/>
            <w:left w:val="none" w:sz="0" w:space="0" w:color="auto"/>
            <w:bottom w:val="none" w:sz="0" w:space="0" w:color="auto"/>
            <w:right w:val="none" w:sz="0" w:space="0" w:color="auto"/>
          </w:divBdr>
        </w:div>
        <w:div w:id="499927692">
          <w:marLeft w:val="0"/>
          <w:marRight w:val="0"/>
          <w:marTop w:val="0"/>
          <w:marBottom w:val="0"/>
          <w:divBdr>
            <w:top w:val="none" w:sz="0" w:space="0" w:color="auto"/>
            <w:left w:val="none" w:sz="0" w:space="0" w:color="auto"/>
            <w:bottom w:val="none" w:sz="0" w:space="0" w:color="auto"/>
            <w:right w:val="none" w:sz="0" w:space="0" w:color="auto"/>
          </w:divBdr>
        </w:div>
        <w:div w:id="596140380">
          <w:marLeft w:val="0"/>
          <w:marRight w:val="0"/>
          <w:marTop w:val="0"/>
          <w:marBottom w:val="0"/>
          <w:divBdr>
            <w:top w:val="none" w:sz="0" w:space="0" w:color="auto"/>
            <w:left w:val="none" w:sz="0" w:space="0" w:color="auto"/>
            <w:bottom w:val="none" w:sz="0" w:space="0" w:color="auto"/>
            <w:right w:val="none" w:sz="0" w:space="0" w:color="auto"/>
          </w:divBdr>
        </w:div>
        <w:div w:id="633296531">
          <w:marLeft w:val="0"/>
          <w:marRight w:val="0"/>
          <w:marTop w:val="0"/>
          <w:marBottom w:val="0"/>
          <w:divBdr>
            <w:top w:val="none" w:sz="0" w:space="0" w:color="auto"/>
            <w:left w:val="none" w:sz="0" w:space="0" w:color="auto"/>
            <w:bottom w:val="none" w:sz="0" w:space="0" w:color="auto"/>
            <w:right w:val="none" w:sz="0" w:space="0" w:color="auto"/>
          </w:divBdr>
        </w:div>
        <w:div w:id="633873985">
          <w:marLeft w:val="0"/>
          <w:marRight w:val="0"/>
          <w:marTop w:val="0"/>
          <w:marBottom w:val="0"/>
          <w:divBdr>
            <w:top w:val="none" w:sz="0" w:space="0" w:color="auto"/>
            <w:left w:val="none" w:sz="0" w:space="0" w:color="auto"/>
            <w:bottom w:val="none" w:sz="0" w:space="0" w:color="auto"/>
            <w:right w:val="none" w:sz="0" w:space="0" w:color="auto"/>
          </w:divBdr>
        </w:div>
        <w:div w:id="648829416">
          <w:marLeft w:val="0"/>
          <w:marRight w:val="0"/>
          <w:marTop w:val="0"/>
          <w:marBottom w:val="0"/>
          <w:divBdr>
            <w:top w:val="none" w:sz="0" w:space="0" w:color="auto"/>
            <w:left w:val="none" w:sz="0" w:space="0" w:color="auto"/>
            <w:bottom w:val="none" w:sz="0" w:space="0" w:color="auto"/>
            <w:right w:val="none" w:sz="0" w:space="0" w:color="auto"/>
          </w:divBdr>
        </w:div>
        <w:div w:id="713769442">
          <w:marLeft w:val="0"/>
          <w:marRight w:val="0"/>
          <w:marTop w:val="0"/>
          <w:marBottom w:val="0"/>
          <w:divBdr>
            <w:top w:val="none" w:sz="0" w:space="0" w:color="auto"/>
            <w:left w:val="none" w:sz="0" w:space="0" w:color="auto"/>
            <w:bottom w:val="none" w:sz="0" w:space="0" w:color="auto"/>
            <w:right w:val="none" w:sz="0" w:space="0" w:color="auto"/>
          </w:divBdr>
        </w:div>
        <w:div w:id="720057549">
          <w:marLeft w:val="0"/>
          <w:marRight w:val="0"/>
          <w:marTop w:val="0"/>
          <w:marBottom w:val="0"/>
          <w:divBdr>
            <w:top w:val="none" w:sz="0" w:space="0" w:color="auto"/>
            <w:left w:val="none" w:sz="0" w:space="0" w:color="auto"/>
            <w:bottom w:val="none" w:sz="0" w:space="0" w:color="auto"/>
            <w:right w:val="none" w:sz="0" w:space="0" w:color="auto"/>
          </w:divBdr>
        </w:div>
        <w:div w:id="720523189">
          <w:marLeft w:val="0"/>
          <w:marRight w:val="0"/>
          <w:marTop w:val="0"/>
          <w:marBottom w:val="0"/>
          <w:divBdr>
            <w:top w:val="none" w:sz="0" w:space="0" w:color="auto"/>
            <w:left w:val="none" w:sz="0" w:space="0" w:color="auto"/>
            <w:bottom w:val="none" w:sz="0" w:space="0" w:color="auto"/>
            <w:right w:val="none" w:sz="0" w:space="0" w:color="auto"/>
          </w:divBdr>
        </w:div>
        <w:div w:id="727413822">
          <w:marLeft w:val="0"/>
          <w:marRight w:val="0"/>
          <w:marTop w:val="0"/>
          <w:marBottom w:val="0"/>
          <w:divBdr>
            <w:top w:val="none" w:sz="0" w:space="0" w:color="auto"/>
            <w:left w:val="none" w:sz="0" w:space="0" w:color="auto"/>
            <w:bottom w:val="none" w:sz="0" w:space="0" w:color="auto"/>
            <w:right w:val="none" w:sz="0" w:space="0" w:color="auto"/>
          </w:divBdr>
        </w:div>
        <w:div w:id="734358207">
          <w:marLeft w:val="0"/>
          <w:marRight w:val="0"/>
          <w:marTop w:val="0"/>
          <w:marBottom w:val="0"/>
          <w:divBdr>
            <w:top w:val="none" w:sz="0" w:space="0" w:color="auto"/>
            <w:left w:val="none" w:sz="0" w:space="0" w:color="auto"/>
            <w:bottom w:val="none" w:sz="0" w:space="0" w:color="auto"/>
            <w:right w:val="none" w:sz="0" w:space="0" w:color="auto"/>
          </w:divBdr>
        </w:div>
        <w:div w:id="734740479">
          <w:marLeft w:val="0"/>
          <w:marRight w:val="0"/>
          <w:marTop w:val="0"/>
          <w:marBottom w:val="0"/>
          <w:divBdr>
            <w:top w:val="none" w:sz="0" w:space="0" w:color="auto"/>
            <w:left w:val="none" w:sz="0" w:space="0" w:color="auto"/>
            <w:bottom w:val="none" w:sz="0" w:space="0" w:color="auto"/>
            <w:right w:val="none" w:sz="0" w:space="0" w:color="auto"/>
          </w:divBdr>
        </w:div>
        <w:div w:id="736900384">
          <w:marLeft w:val="0"/>
          <w:marRight w:val="0"/>
          <w:marTop w:val="0"/>
          <w:marBottom w:val="0"/>
          <w:divBdr>
            <w:top w:val="none" w:sz="0" w:space="0" w:color="auto"/>
            <w:left w:val="none" w:sz="0" w:space="0" w:color="auto"/>
            <w:bottom w:val="none" w:sz="0" w:space="0" w:color="auto"/>
            <w:right w:val="none" w:sz="0" w:space="0" w:color="auto"/>
          </w:divBdr>
        </w:div>
        <w:div w:id="742143437">
          <w:marLeft w:val="0"/>
          <w:marRight w:val="0"/>
          <w:marTop w:val="0"/>
          <w:marBottom w:val="0"/>
          <w:divBdr>
            <w:top w:val="none" w:sz="0" w:space="0" w:color="auto"/>
            <w:left w:val="none" w:sz="0" w:space="0" w:color="auto"/>
            <w:bottom w:val="none" w:sz="0" w:space="0" w:color="auto"/>
            <w:right w:val="none" w:sz="0" w:space="0" w:color="auto"/>
          </w:divBdr>
        </w:div>
        <w:div w:id="762337374">
          <w:marLeft w:val="0"/>
          <w:marRight w:val="0"/>
          <w:marTop w:val="0"/>
          <w:marBottom w:val="0"/>
          <w:divBdr>
            <w:top w:val="none" w:sz="0" w:space="0" w:color="auto"/>
            <w:left w:val="none" w:sz="0" w:space="0" w:color="auto"/>
            <w:bottom w:val="none" w:sz="0" w:space="0" w:color="auto"/>
            <w:right w:val="none" w:sz="0" w:space="0" w:color="auto"/>
          </w:divBdr>
        </w:div>
        <w:div w:id="781339494">
          <w:marLeft w:val="0"/>
          <w:marRight w:val="0"/>
          <w:marTop w:val="0"/>
          <w:marBottom w:val="0"/>
          <w:divBdr>
            <w:top w:val="none" w:sz="0" w:space="0" w:color="auto"/>
            <w:left w:val="none" w:sz="0" w:space="0" w:color="auto"/>
            <w:bottom w:val="none" w:sz="0" w:space="0" w:color="auto"/>
            <w:right w:val="none" w:sz="0" w:space="0" w:color="auto"/>
          </w:divBdr>
        </w:div>
        <w:div w:id="785395094">
          <w:marLeft w:val="0"/>
          <w:marRight w:val="0"/>
          <w:marTop w:val="0"/>
          <w:marBottom w:val="0"/>
          <w:divBdr>
            <w:top w:val="none" w:sz="0" w:space="0" w:color="auto"/>
            <w:left w:val="none" w:sz="0" w:space="0" w:color="auto"/>
            <w:bottom w:val="none" w:sz="0" w:space="0" w:color="auto"/>
            <w:right w:val="none" w:sz="0" w:space="0" w:color="auto"/>
          </w:divBdr>
        </w:div>
        <w:div w:id="794328413">
          <w:marLeft w:val="0"/>
          <w:marRight w:val="0"/>
          <w:marTop w:val="0"/>
          <w:marBottom w:val="0"/>
          <w:divBdr>
            <w:top w:val="none" w:sz="0" w:space="0" w:color="auto"/>
            <w:left w:val="none" w:sz="0" w:space="0" w:color="auto"/>
            <w:bottom w:val="none" w:sz="0" w:space="0" w:color="auto"/>
            <w:right w:val="none" w:sz="0" w:space="0" w:color="auto"/>
          </w:divBdr>
        </w:div>
        <w:div w:id="798647159">
          <w:marLeft w:val="0"/>
          <w:marRight w:val="0"/>
          <w:marTop w:val="0"/>
          <w:marBottom w:val="0"/>
          <w:divBdr>
            <w:top w:val="none" w:sz="0" w:space="0" w:color="auto"/>
            <w:left w:val="none" w:sz="0" w:space="0" w:color="auto"/>
            <w:bottom w:val="none" w:sz="0" w:space="0" w:color="auto"/>
            <w:right w:val="none" w:sz="0" w:space="0" w:color="auto"/>
          </w:divBdr>
        </w:div>
        <w:div w:id="799541784">
          <w:marLeft w:val="0"/>
          <w:marRight w:val="0"/>
          <w:marTop w:val="0"/>
          <w:marBottom w:val="0"/>
          <w:divBdr>
            <w:top w:val="none" w:sz="0" w:space="0" w:color="auto"/>
            <w:left w:val="none" w:sz="0" w:space="0" w:color="auto"/>
            <w:bottom w:val="none" w:sz="0" w:space="0" w:color="auto"/>
            <w:right w:val="none" w:sz="0" w:space="0" w:color="auto"/>
          </w:divBdr>
        </w:div>
        <w:div w:id="840198413">
          <w:marLeft w:val="0"/>
          <w:marRight w:val="0"/>
          <w:marTop w:val="0"/>
          <w:marBottom w:val="0"/>
          <w:divBdr>
            <w:top w:val="none" w:sz="0" w:space="0" w:color="auto"/>
            <w:left w:val="none" w:sz="0" w:space="0" w:color="auto"/>
            <w:bottom w:val="none" w:sz="0" w:space="0" w:color="auto"/>
            <w:right w:val="none" w:sz="0" w:space="0" w:color="auto"/>
          </w:divBdr>
        </w:div>
        <w:div w:id="850296303">
          <w:marLeft w:val="0"/>
          <w:marRight w:val="0"/>
          <w:marTop w:val="0"/>
          <w:marBottom w:val="0"/>
          <w:divBdr>
            <w:top w:val="none" w:sz="0" w:space="0" w:color="auto"/>
            <w:left w:val="none" w:sz="0" w:space="0" w:color="auto"/>
            <w:bottom w:val="none" w:sz="0" w:space="0" w:color="auto"/>
            <w:right w:val="none" w:sz="0" w:space="0" w:color="auto"/>
          </w:divBdr>
        </w:div>
        <w:div w:id="852571463">
          <w:marLeft w:val="0"/>
          <w:marRight w:val="0"/>
          <w:marTop w:val="0"/>
          <w:marBottom w:val="0"/>
          <w:divBdr>
            <w:top w:val="none" w:sz="0" w:space="0" w:color="auto"/>
            <w:left w:val="none" w:sz="0" w:space="0" w:color="auto"/>
            <w:bottom w:val="none" w:sz="0" w:space="0" w:color="auto"/>
            <w:right w:val="none" w:sz="0" w:space="0" w:color="auto"/>
          </w:divBdr>
        </w:div>
        <w:div w:id="856889367">
          <w:marLeft w:val="0"/>
          <w:marRight w:val="0"/>
          <w:marTop w:val="0"/>
          <w:marBottom w:val="0"/>
          <w:divBdr>
            <w:top w:val="none" w:sz="0" w:space="0" w:color="auto"/>
            <w:left w:val="none" w:sz="0" w:space="0" w:color="auto"/>
            <w:bottom w:val="none" w:sz="0" w:space="0" w:color="auto"/>
            <w:right w:val="none" w:sz="0" w:space="0" w:color="auto"/>
          </w:divBdr>
        </w:div>
        <w:div w:id="919826740">
          <w:marLeft w:val="0"/>
          <w:marRight w:val="0"/>
          <w:marTop w:val="0"/>
          <w:marBottom w:val="0"/>
          <w:divBdr>
            <w:top w:val="none" w:sz="0" w:space="0" w:color="auto"/>
            <w:left w:val="none" w:sz="0" w:space="0" w:color="auto"/>
            <w:bottom w:val="none" w:sz="0" w:space="0" w:color="auto"/>
            <w:right w:val="none" w:sz="0" w:space="0" w:color="auto"/>
          </w:divBdr>
        </w:div>
        <w:div w:id="931668132">
          <w:marLeft w:val="0"/>
          <w:marRight w:val="0"/>
          <w:marTop w:val="0"/>
          <w:marBottom w:val="0"/>
          <w:divBdr>
            <w:top w:val="none" w:sz="0" w:space="0" w:color="auto"/>
            <w:left w:val="none" w:sz="0" w:space="0" w:color="auto"/>
            <w:bottom w:val="none" w:sz="0" w:space="0" w:color="auto"/>
            <w:right w:val="none" w:sz="0" w:space="0" w:color="auto"/>
          </w:divBdr>
        </w:div>
        <w:div w:id="954140080">
          <w:marLeft w:val="0"/>
          <w:marRight w:val="0"/>
          <w:marTop w:val="0"/>
          <w:marBottom w:val="0"/>
          <w:divBdr>
            <w:top w:val="none" w:sz="0" w:space="0" w:color="auto"/>
            <w:left w:val="none" w:sz="0" w:space="0" w:color="auto"/>
            <w:bottom w:val="none" w:sz="0" w:space="0" w:color="auto"/>
            <w:right w:val="none" w:sz="0" w:space="0" w:color="auto"/>
          </w:divBdr>
        </w:div>
        <w:div w:id="998582179">
          <w:marLeft w:val="0"/>
          <w:marRight w:val="0"/>
          <w:marTop w:val="0"/>
          <w:marBottom w:val="0"/>
          <w:divBdr>
            <w:top w:val="none" w:sz="0" w:space="0" w:color="auto"/>
            <w:left w:val="none" w:sz="0" w:space="0" w:color="auto"/>
            <w:bottom w:val="none" w:sz="0" w:space="0" w:color="auto"/>
            <w:right w:val="none" w:sz="0" w:space="0" w:color="auto"/>
          </w:divBdr>
        </w:div>
        <w:div w:id="1114641548">
          <w:marLeft w:val="0"/>
          <w:marRight w:val="0"/>
          <w:marTop w:val="0"/>
          <w:marBottom w:val="0"/>
          <w:divBdr>
            <w:top w:val="none" w:sz="0" w:space="0" w:color="auto"/>
            <w:left w:val="none" w:sz="0" w:space="0" w:color="auto"/>
            <w:bottom w:val="none" w:sz="0" w:space="0" w:color="auto"/>
            <w:right w:val="none" w:sz="0" w:space="0" w:color="auto"/>
          </w:divBdr>
        </w:div>
        <w:div w:id="1120030073">
          <w:marLeft w:val="0"/>
          <w:marRight w:val="0"/>
          <w:marTop w:val="0"/>
          <w:marBottom w:val="0"/>
          <w:divBdr>
            <w:top w:val="none" w:sz="0" w:space="0" w:color="auto"/>
            <w:left w:val="none" w:sz="0" w:space="0" w:color="auto"/>
            <w:bottom w:val="none" w:sz="0" w:space="0" w:color="auto"/>
            <w:right w:val="none" w:sz="0" w:space="0" w:color="auto"/>
          </w:divBdr>
        </w:div>
        <w:div w:id="1138305794">
          <w:marLeft w:val="0"/>
          <w:marRight w:val="0"/>
          <w:marTop w:val="0"/>
          <w:marBottom w:val="0"/>
          <w:divBdr>
            <w:top w:val="none" w:sz="0" w:space="0" w:color="auto"/>
            <w:left w:val="none" w:sz="0" w:space="0" w:color="auto"/>
            <w:bottom w:val="none" w:sz="0" w:space="0" w:color="auto"/>
            <w:right w:val="none" w:sz="0" w:space="0" w:color="auto"/>
          </w:divBdr>
        </w:div>
        <w:div w:id="1154446803">
          <w:marLeft w:val="0"/>
          <w:marRight w:val="0"/>
          <w:marTop w:val="0"/>
          <w:marBottom w:val="0"/>
          <w:divBdr>
            <w:top w:val="none" w:sz="0" w:space="0" w:color="auto"/>
            <w:left w:val="none" w:sz="0" w:space="0" w:color="auto"/>
            <w:bottom w:val="none" w:sz="0" w:space="0" w:color="auto"/>
            <w:right w:val="none" w:sz="0" w:space="0" w:color="auto"/>
          </w:divBdr>
        </w:div>
        <w:div w:id="1177423211">
          <w:marLeft w:val="0"/>
          <w:marRight w:val="0"/>
          <w:marTop w:val="0"/>
          <w:marBottom w:val="0"/>
          <w:divBdr>
            <w:top w:val="none" w:sz="0" w:space="0" w:color="auto"/>
            <w:left w:val="none" w:sz="0" w:space="0" w:color="auto"/>
            <w:bottom w:val="none" w:sz="0" w:space="0" w:color="auto"/>
            <w:right w:val="none" w:sz="0" w:space="0" w:color="auto"/>
          </w:divBdr>
        </w:div>
        <w:div w:id="1183128168">
          <w:marLeft w:val="0"/>
          <w:marRight w:val="0"/>
          <w:marTop w:val="0"/>
          <w:marBottom w:val="0"/>
          <w:divBdr>
            <w:top w:val="none" w:sz="0" w:space="0" w:color="auto"/>
            <w:left w:val="none" w:sz="0" w:space="0" w:color="auto"/>
            <w:bottom w:val="none" w:sz="0" w:space="0" w:color="auto"/>
            <w:right w:val="none" w:sz="0" w:space="0" w:color="auto"/>
          </w:divBdr>
        </w:div>
        <w:div w:id="1192843461">
          <w:marLeft w:val="0"/>
          <w:marRight w:val="0"/>
          <w:marTop w:val="0"/>
          <w:marBottom w:val="0"/>
          <w:divBdr>
            <w:top w:val="none" w:sz="0" w:space="0" w:color="auto"/>
            <w:left w:val="none" w:sz="0" w:space="0" w:color="auto"/>
            <w:bottom w:val="none" w:sz="0" w:space="0" w:color="auto"/>
            <w:right w:val="none" w:sz="0" w:space="0" w:color="auto"/>
          </w:divBdr>
        </w:div>
        <w:div w:id="1230261595">
          <w:marLeft w:val="0"/>
          <w:marRight w:val="0"/>
          <w:marTop w:val="0"/>
          <w:marBottom w:val="0"/>
          <w:divBdr>
            <w:top w:val="none" w:sz="0" w:space="0" w:color="auto"/>
            <w:left w:val="none" w:sz="0" w:space="0" w:color="auto"/>
            <w:bottom w:val="none" w:sz="0" w:space="0" w:color="auto"/>
            <w:right w:val="none" w:sz="0" w:space="0" w:color="auto"/>
          </w:divBdr>
          <w:divsChild>
            <w:div w:id="137261161">
              <w:marLeft w:val="0"/>
              <w:marRight w:val="0"/>
              <w:marTop w:val="0"/>
              <w:marBottom w:val="0"/>
              <w:divBdr>
                <w:top w:val="none" w:sz="0" w:space="0" w:color="auto"/>
                <w:left w:val="none" w:sz="0" w:space="0" w:color="auto"/>
                <w:bottom w:val="none" w:sz="0" w:space="0" w:color="auto"/>
                <w:right w:val="none" w:sz="0" w:space="0" w:color="auto"/>
              </w:divBdr>
            </w:div>
            <w:div w:id="250358320">
              <w:marLeft w:val="0"/>
              <w:marRight w:val="0"/>
              <w:marTop w:val="0"/>
              <w:marBottom w:val="0"/>
              <w:divBdr>
                <w:top w:val="none" w:sz="0" w:space="0" w:color="auto"/>
                <w:left w:val="none" w:sz="0" w:space="0" w:color="auto"/>
                <w:bottom w:val="none" w:sz="0" w:space="0" w:color="auto"/>
                <w:right w:val="none" w:sz="0" w:space="0" w:color="auto"/>
              </w:divBdr>
            </w:div>
            <w:div w:id="387414872">
              <w:marLeft w:val="0"/>
              <w:marRight w:val="0"/>
              <w:marTop w:val="0"/>
              <w:marBottom w:val="0"/>
              <w:divBdr>
                <w:top w:val="none" w:sz="0" w:space="0" w:color="auto"/>
                <w:left w:val="none" w:sz="0" w:space="0" w:color="auto"/>
                <w:bottom w:val="none" w:sz="0" w:space="0" w:color="auto"/>
                <w:right w:val="none" w:sz="0" w:space="0" w:color="auto"/>
              </w:divBdr>
            </w:div>
            <w:div w:id="1216313902">
              <w:marLeft w:val="0"/>
              <w:marRight w:val="0"/>
              <w:marTop w:val="0"/>
              <w:marBottom w:val="0"/>
              <w:divBdr>
                <w:top w:val="none" w:sz="0" w:space="0" w:color="auto"/>
                <w:left w:val="none" w:sz="0" w:space="0" w:color="auto"/>
                <w:bottom w:val="none" w:sz="0" w:space="0" w:color="auto"/>
                <w:right w:val="none" w:sz="0" w:space="0" w:color="auto"/>
              </w:divBdr>
            </w:div>
            <w:div w:id="1891111552">
              <w:marLeft w:val="0"/>
              <w:marRight w:val="0"/>
              <w:marTop w:val="0"/>
              <w:marBottom w:val="0"/>
              <w:divBdr>
                <w:top w:val="none" w:sz="0" w:space="0" w:color="auto"/>
                <w:left w:val="none" w:sz="0" w:space="0" w:color="auto"/>
                <w:bottom w:val="none" w:sz="0" w:space="0" w:color="auto"/>
                <w:right w:val="none" w:sz="0" w:space="0" w:color="auto"/>
              </w:divBdr>
            </w:div>
          </w:divsChild>
        </w:div>
        <w:div w:id="1257441642">
          <w:marLeft w:val="0"/>
          <w:marRight w:val="0"/>
          <w:marTop w:val="0"/>
          <w:marBottom w:val="0"/>
          <w:divBdr>
            <w:top w:val="none" w:sz="0" w:space="0" w:color="auto"/>
            <w:left w:val="none" w:sz="0" w:space="0" w:color="auto"/>
            <w:bottom w:val="none" w:sz="0" w:space="0" w:color="auto"/>
            <w:right w:val="none" w:sz="0" w:space="0" w:color="auto"/>
          </w:divBdr>
        </w:div>
        <w:div w:id="1283610059">
          <w:marLeft w:val="0"/>
          <w:marRight w:val="0"/>
          <w:marTop w:val="0"/>
          <w:marBottom w:val="0"/>
          <w:divBdr>
            <w:top w:val="none" w:sz="0" w:space="0" w:color="auto"/>
            <w:left w:val="none" w:sz="0" w:space="0" w:color="auto"/>
            <w:bottom w:val="none" w:sz="0" w:space="0" w:color="auto"/>
            <w:right w:val="none" w:sz="0" w:space="0" w:color="auto"/>
          </w:divBdr>
        </w:div>
        <w:div w:id="1326083198">
          <w:marLeft w:val="0"/>
          <w:marRight w:val="0"/>
          <w:marTop w:val="0"/>
          <w:marBottom w:val="0"/>
          <w:divBdr>
            <w:top w:val="none" w:sz="0" w:space="0" w:color="auto"/>
            <w:left w:val="none" w:sz="0" w:space="0" w:color="auto"/>
            <w:bottom w:val="none" w:sz="0" w:space="0" w:color="auto"/>
            <w:right w:val="none" w:sz="0" w:space="0" w:color="auto"/>
          </w:divBdr>
        </w:div>
        <w:div w:id="1385521188">
          <w:marLeft w:val="0"/>
          <w:marRight w:val="0"/>
          <w:marTop w:val="0"/>
          <w:marBottom w:val="0"/>
          <w:divBdr>
            <w:top w:val="none" w:sz="0" w:space="0" w:color="auto"/>
            <w:left w:val="none" w:sz="0" w:space="0" w:color="auto"/>
            <w:bottom w:val="none" w:sz="0" w:space="0" w:color="auto"/>
            <w:right w:val="none" w:sz="0" w:space="0" w:color="auto"/>
          </w:divBdr>
        </w:div>
        <w:div w:id="1444612752">
          <w:marLeft w:val="0"/>
          <w:marRight w:val="0"/>
          <w:marTop w:val="0"/>
          <w:marBottom w:val="0"/>
          <w:divBdr>
            <w:top w:val="none" w:sz="0" w:space="0" w:color="auto"/>
            <w:left w:val="none" w:sz="0" w:space="0" w:color="auto"/>
            <w:bottom w:val="none" w:sz="0" w:space="0" w:color="auto"/>
            <w:right w:val="none" w:sz="0" w:space="0" w:color="auto"/>
          </w:divBdr>
        </w:div>
        <w:div w:id="1456948789">
          <w:marLeft w:val="0"/>
          <w:marRight w:val="0"/>
          <w:marTop w:val="0"/>
          <w:marBottom w:val="0"/>
          <w:divBdr>
            <w:top w:val="none" w:sz="0" w:space="0" w:color="auto"/>
            <w:left w:val="none" w:sz="0" w:space="0" w:color="auto"/>
            <w:bottom w:val="none" w:sz="0" w:space="0" w:color="auto"/>
            <w:right w:val="none" w:sz="0" w:space="0" w:color="auto"/>
          </w:divBdr>
        </w:div>
        <w:div w:id="1480733053">
          <w:marLeft w:val="0"/>
          <w:marRight w:val="0"/>
          <w:marTop w:val="0"/>
          <w:marBottom w:val="0"/>
          <w:divBdr>
            <w:top w:val="none" w:sz="0" w:space="0" w:color="auto"/>
            <w:left w:val="none" w:sz="0" w:space="0" w:color="auto"/>
            <w:bottom w:val="none" w:sz="0" w:space="0" w:color="auto"/>
            <w:right w:val="none" w:sz="0" w:space="0" w:color="auto"/>
          </w:divBdr>
        </w:div>
        <w:div w:id="1483040968">
          <w:marLeft w:val="0"/>
          <w:marRight w:val="0"/>
          <w:marTop w:val="0"/>
          <w:marBottom w:val="0"/>
          <w:divBdr>
            <w:top w:val="none" w:sz="0" w:space="0" w:color="auto"/>
            <w:left w:val="none" w:sz="0" w:space="0" w:color="auto"/>
            <w:bottom w:val="none" w:sz="0" w:space="0" w:color="auto"/>
            <w:right w:val="none" w:sz="0" w:space="0" w:color="auto"/>
          </w:divBdr>
        </w:div>
        <w:div w:id="1534490859">
          <w:marLeft w:val="0"/>
          <w:marRight w:val="0"/>
          <w:marTop w:val="0"/>
          <w:marBottom w:val="0"/>
          <w:divBdr>
            <w:top w:val="none" w:sz="0" w:space="0" w:color="auto"/>
            <w:left w:val="none" w:sz="0" w:space="0" w:color="auto"/>
            <w:bottom w:val="none" w:sz="0" w:space="0" w:color="auto"/>
            <w:right w:val="none" w:sz="0" w:space="0" w:color="auto"/>
          </w:divBdr>
        </w:div>
        <w:div w:id="1536502026">
          <w:marLeft w:val="0"/>
          <w:marRight w:val="0"/>
          <w:marTop w:val="0"/>
          <w:marBottom w:val="0"/>
          <w:divBdr>
            <w:top w:val="none" w:sz="0" w:space="0" w:color="auto"/>
            <w:left w:val="none" w:sz="0" w:space="0" w:color="auto"/>
            <w:bottom w:val="none" w:sz="0" w:space="0" w:color="auto"/>
            <w:right w:val="none" w:sz="0" w:space="0" w:color="auto"/>
          </w:divBdr>
        </w:div>
        <w:div w:id="1538395236">
          <w:marLeft w:val="0"/>
          <w:marRight w:val="0"/>
          <w:marTop w:val="0"/>
          <w:marBottom w:val="0"/>
          <w:divBdr>
            <w:top w:val="none" w:sz="0" w:space="0" w:color="auto"/>
            <w:left w:val="none" w:sz="0" w:space="0" w:color="auto"/>
            <w:bottom w:val="none" w:sz="0" w:space="0" w:color="auto"/>
            <w:right w:val="none" w:sz="0" w:space="0" w:color="auto"/>
          </w:divBdr>
        </w:div>
        <w:div w:id="1546602278">
          <w:marLeft w:val="0"/>
          <w:marRight w:val="0"/>
          <w:marTop w:val="0"/>
          <w:marBottom w:val="0"/>
          <w:divBdr>
            <w:top w:val="none" w:sz="0" w:space="0" w:color="auto"/>
            <w:left w:val="none" w:sz="0" w:space="0" w:color="auto"/>
            <w:bottom w:val="none" w:sz="0" w:space="0" w:color="auto"/>
            <w:right w:val="none" w:sz="0" w:space="0" w:color="auto"/>
          </w:divBdr>
        </w:div>
        <w:div w:id="1556818463">
          <w:marLeft w:val="0"/>
          <w:marRight w:val="0"/>
          <w:marTop w:val="0"/>
          <w:marBottom w:val="0"/>
          <w:divBdr>
            <w:top w:val="none" w:sz="0" w:space="0" w:color="auto"/>
            <w:left w:val="none" w:sz="0" w:space="0" w:color="auto"/>
            <w:bottom w:val="none" w:sz="0" w:space="0" w:color="auto"/>
            <w:right w:val="none" w:sz="0" w:space="0" w:color="auto"/>
          </w:divBdr>
          <w:divsChild>
            <w:div w:id="1709530718">
              <w:marLeft w:val="0"/>
              <w:marRight w:val="0"/>
              <w:marTop w:val="0"/>
              <w:marBottom w:val="0"/>
              <w:divBdr>
                <w:top w:val="none" w:sz="0" w:space="0" w:color="auto"/>
                <w:left w:val="none" w:sz="0" w:space="0" w:color="auto"/>
                <w:bottom w:val="none" w:sz="0" w:space="0" w:color="auto"/>
                <w:right w:val="none" w:sz="0" w:space="0" w:color="auto"/>
              </w:divBdr>
            </w:div>
          </w:divsChild>
        </w:div>
        <w:div w:id="1591423201">
          <w:marLeft w:val="0"/>
          <w:marRight w:val="0"/>
          <w:marTop w:val="0"/>
          <w:marBottom w:val="0"/>
          <w:divBdr>
            <w:top w:val="none" w:sz="0" w:space="0" w:color="auto"/>
            <w:left w:val="none" w:sz="0" w:space="0" w:color="auto"/>
            <w:bottom w:val="none" w:sz="0" w:space="0" w:color="auto"/>
            <w:right w:val="none" w:sz="0" w:space="0" w:color="auto"/>
          </w:divBdr>
        </w:div>
        <w:div w:id="1595357352">
          <w:marLeft w:val="0"/>
          <w:marRight w:val="0"/>
          <w:marTop w:val="0"/>
          <w:marBottom w:val="0"/>
          <w:divBdr>
            <w:top w:val="none" w:sz="0" w:space="0" w:color="auto"/>
            <w:left w:val="none" w:sz="0" w:space="0" w:color="auto"/>
            <w:bottom w:val="none" w:sz="0" w:space="0" w:color="auto"/>
            <w:right w:val="none" w:sz="0" w:space="0" w:color="auto"/>
          </w:divBdr>
        </w:div>
        <w:div w:id="1604610640">
          <w:marLeft w:val="0"/>
          <w:marRight w:val="0"/>
          <w:marTop w:val="0"/>
          <w:marBottom w:val="0"/>
          <w:divBdr>
            <w:top w:val="none" w:sz="0" w:space="0" w:color="auto"/>
            <w:left w:val="none" w:sz="0" w:space="0" w:color="auto"/>
            <w:bottom w:val="none" w:sz="0" w:space="0" w:color="auto"/>
            <w:right w:val="none" w:sz="0" w:space="0" w:color="auto"/>
          </w:divBdr>
        </w:div>
        <w:div w:id="1606156404">
          <w:marLeft w:val="0"/>
          <w:marRight w:val="0"/>
          <w:marTop w:val="0"/>
          <w:marBottom w:val="0"/>
          <w:divBdr>
            <w:top w:val="none" w:sz="0" w:space="0" w:color="auto"/>
            <w:left w:val="none" w:sz="0" w:space="0" w:color="auto"/>
            <w:bottom w:val="none" w:sz="0" w:space="0" w:color="auto"/>
            <w:right w:val="none" w:sz="0" w:space="0" w:color="auto"/>
          </w:divBdr>
        </w:div>
        <w:div w:id="1682581581">
          <w:marLeft w:val="0"/>
          <w:marRight w:val="0"/>
          <w:marTop w:val="0"/>
          <w:marBottom w:val="0"/>
          <w:divBdr>
            <w:top w:val="none" w:sz="0" w:space="0" w:color="auto"/>
            <w:left w:val="none" w:sz="0" w:space="0" w:color="auto"/>
            <w:bottom w:val="none" w:sz="0" w:space="0" w:color="auto"/>
            <w:right w:val="none" w:sz="0" w:space="0" w:color="auto"/>
          </w:divBdr>
        </w:div>
        <w:div w:id="1694771136">
          <w:marLeft w:val="0"/>
          <w:marRight w:val="0"/>
          <w:marTop w:val="0"/>
          <w:marBottom w:val="0"/>
          <w:divBdr>
            <w:top w:val="none" w:sz="0" w:space="0" w:color="auto"/>
            <w:left w:val="none" w:sz="0" w:space="0" w:color="auto"/>
            <w:bottom w:val="none" w:sz="0" w:space="0" w:color="auto"/>
            <w:right w:val="none" w:sz="0" w:space="0" w:color="auto"/>
          </w:divBdr>
        </w:div>
        <w:div w:id="1711998797">
          <w:marLeft w:val="0"/>
          <w:marRight w:val="0"/>
          <w:marTop w:val="0"/>
          <w:marBottom w:val="0"/>
          <w:divBdr>
            <w:top w:val="none" w:sz="0" w:space="0" w:color="auto"/>
            <w:left w:val="none" w:sz="0" w:space="0" w:color="auto"/>
            <w:bottom w:val="none" w:sz="0" w:space="0" w:color="auto"/>
            <w:right w:val="none" w:sz="0" w:space="0" w:color="auto"/>
          </w:divBdr>
        </w:div>
        <w:div w:id="1726834718">
          <w:marLeft w:val="0"/>
          <w:marRight w:val="0"/>
          <w:marTop w:val="0"/>
          <w:marBottom w:val="0"/>
          <w:divBdr>
            <w:top w:val="none" w:sz="0" w:space="0" w:color="auto"/>
            <w:left w:val="none" w:sz="0" w:space="0" w:color="auto"/>
            <w:bottom w:val="none" w:sz="0" w:space="0" w:color="auto"/>
            <w:right w:val="none" w:sz="0" w:space="0" w:color="auto"/>
          </w:divBdr>
        </w:div>
        <w:div w:id="1770391542">
          <w:marLeft w:val="0"/>
          <w:marRight w:val="0"/>
          <w:marTop w:val="0"/>
          <w:marBottom w:val="0"/>
          <w:divBdr>
            <w:top w:val="none" w:sz="0" w:space="0" w:color="auto"/>
            <w:left w:val="none" w:sz="0" w:space="0" w:color="auto"/>
            <w:bottom w:val="none" w:sz="0" w:space="0" w:color="auto"/>
            <w:right w:val="none" w:sz="0" w:space="0" w:color="auto"/>
          </w:divBdr>
        </w:div>
        <w:div w:id="1813405838">
          <w:marLeft w:val="0"/>
          <w:marRight w:val="0"/>
          <w:marTop w:val="0"/>
          <w:marBottom w:val="0"/>
          <w:divBdr>
            <w:top w:val="none" w:sz="0" w:space="0" w:color="auto"/>
            <w:left w:val="none" w:sz="0" w:space="0" w:color="auto"/>
            <w:bottom w:val="none" w:sz="0" w:space="0" w:color="auto"/>
            <w:right w:val="none" w:sz="0" w:space="0" w:color="auto"/>
          </w:divBdr>
        </w:div>
        <w:div w:id="1819150051">
          <w:marLeft w:val="0"/>
          <w:marRight w:val="0"/>
          <w:marTop w:val="0"/>
          <w:marBottom w:val="0"/>
          <w:divBdr>
            <w:top w:val="none" w:sz="0" w:space="0" w:color="auto"/>
            <w:left w:val="none" w:sz="0" w:space="0" w:color="auto"/>
            <w:bottom w:val="none" w:sz="0" w:space="0" w:color="auto"/>
            <w:right w:val="none" w:sz="0" w:space="0" w:color="auto"/>
          </w:divBdr>
        </w:div>
        <w:div w:id="1834836804">
          <w:marLeft w:val="0"/>
          <w:marRight w:val="0"/>
          <w:marTop w:val="0"/>
          <w:marBottom w:val="0"/>
          <w:divBdr>
            <w:top w:val="none" w:sz="0" w:space="0" w:color="auto"/>
            <w:left w:val="none" w:sz="0" w:space="0" w:color="auto"/>
            <w:bottom w:val="none" w:sz="0" w:space="0" w:color="auto"/>
            <w:right w:val="none" w:sz="0" w:space="0" w:color="auto"/>
          </w:divBdr>
        </w:div>
        <w:div w:id="1856385425">
          <w:marLeft w:val="0"/>
          <w:marRight w:val="0"/>
          <w:marTop w:val="0"/>
          <w:marBottom w:val="0"/>
          <w:divBdr>
            <w:top w:val="none" w:sz="0" w:space="0" w:color="auto"/>
            <w:left w:val="none" w:sz="0" w:space="0" w:color="auto"/>
            <w:bottom w:val="none" w:sz="0" w:space="0" w:color="auto"/>
            <w:right w:val="none" w:sz="0" w:space="0" w:color="auto"/>
          </w:divBdr>
        </w:div>
        <w:div w:id="1863476955">
          <w:marLeft w:val="0"/>
          <w:marRight w:val="0"/>
          <w:marTop w:val="0"/>
          <w:marBottom w:val="0"/>
          <w:divBdr>
            <w:top w:val="none" w:sz="0" w:space="0" w:color="auto"/>
            <w:left w:val="none" w:sz="0" w:space="0" w:color="auto"/>
            <w:bottom w:val="none" w:sz="0" w:space="0" w:color="auto"/>
            <w:right w:val="none" w:sz="0" w:space="0" w:color="auto"/>
          </w:divBdr>
        </w:div>
        <w:div w:id="1886063750">
          <w:marLeft w:val="0"/>
          <w:marRight w:val="0"/>
          <w:marTop w:val="0"/>
          <w:marBottom w:val="0"/>
          <w:divBdr>
            <w:top w:val="none" w:sz="0" w:space="0" w:color="auto"/>
            <w:left w:val="none" w:sz="0" w:space="0" w:color="auto"/>
            <w:bottom w:val="none" w:sz="0" w:space="0" w:color="auto"/>
            <w:right w:val="none" w:sz="0" w:space="0" w:color="auto"/>
          </w:divBdr>
        </w:div>
        <w:div w:id="1896965892">
          <w:marLeft w:val="0"/>
          <w:marRight w:val="0"/>
          <w:marTop w:val="0"/>
          <w:marBottom w:val="0"/>
          <w:divBdr>
            <w:top w:val="none" w:sz="0" w:space="0" w:color="auto"/>
            <w:left w:val="none" w:sz="0" w:space="0" w:color="auto"/>
            <w:bottom w:val="none" w:sz="0" w:space="0" w:color="auto"/>
            <w:right w:val="none" w:sz="0" w:space="0" w:color="auto"/>
          </w:divBdr>
        </w:div>
        <w:div w:id="1913541289">
          <w:marLeft w:val="0"/>
          <w:marRight w:val="0"/>
          <w:marTop w:val="0"/>
          <w:marBottom w:val="0"/>
          <w:divBdr>
            <w:top w:val="none" w:sz="0" w:space="0" w:color="auto"/>
            <w:left w:val="none" w:sz="0" w:space="0" w:color="auto"/>
            <w:bottom w:val="none" w:sz="0" w:space="0" w:color="auto"/>
            <w:right w:val="none" w:sz="0" w:space="0" w:color="auto"/>
          </w:divBdr>
        </w:div>
        <w:div w:id="1924222062">
          <w:marLeft w:val="0"/>
          <w:marRight w:val="0"/>
          <w:marTop w:val="0"/>
          <w:marBottom w:val="0"/>
          <w:divBdr>
            <w:top w:val="none" w:sz="0" w:space="0" w:color="auto"/>
            <w:left w:val="none" w:sz="0" w:space="0" w:color="auto"/>
            <w:bottom w:val="none" w:sz="0" w:space="0" w:color="auto"/>
            <w:right w:val="none" w:sz="0" w:space="0" w:color="auto"/>
          </w:divBdr>
        </w:div>
        <w:div w:id="1924803553">
          <w:marLeft w:val="0"/>
          <w:marRight w:val="0"/>
          <w:marTop w:val="0"/>
          <w:marBottom w:val="0"/>
          <w:divBdr>
            <w:top w:val="none" w:sz="0" w:space="0" w:color="auto"/>
            <w:left w:val="none" w:sz="0" w:space="0" w:color="auto"/>
            <w:bottom w:val="none" w:sz="0" w:space="0" w:color="auto"/>
            <w:right w:val="none" w:sz="0" w:space="0" w:color="auto"/>
          </w:divBdr>
        </w:div>
        <w:div w:id="1970745910">
          <w:marLeft w:val="0"/>
          <w:marRight w:val="0"/>
          <w:marTop w:val="0"/>
          <w:marBottom w:val="0"/>
          <w:divBdr>
            <w:top w:val="none" w:sz="0" w:space="0" w:color="auto"/>
            <w:left w:val="none" w:sz="0" w:space="0" w:color="auto"/>
            <w:bottom w:val="none" w:sz="0" w:space="0" w:color="auto"/>
            <w:right w:val="none" w:sz="0" w:space="0" w:color="auto"/>
          </w:divBdr>
        </w:div>
        <w:div w:id="1970931714">
          <w:marLeft w:val="0"/>
          <w:marRight w:val="0"/>
          <w:marTop w:val="0"/>
          <w:marBottom w:val="0"/>
          <w:divBdr>
            <w:top w:val="none" w:sz="0" w:space="0" w:color="auto"/>
            <w:left w:val="none" w:sz="0" w:space="0" w:color="auto"/>
            <w:bottom w:val="none" w:sz="0" w:space="0" w:color="auto"/>
            <w:right w:val="none" w:sz="0" w:space="0" w:color="auto"/>
          </w:divBdr>
          <w:divsChild>
            <w:div w:id="82603594">
              <w:marLeft w:val="0"/>
              <w:marRight w:val="0"/>
              <w:marTop w:val="0"/>
              <w:marBottom w:val="0"/>
              <w:divBdr>
                <w:top w:val="none" w:sz="0" w:space="0" w:color="auto"/>
                <w:left w:val="none" w:sz="0" w:space="0" w:color="auto"/>
                <w:bottom w:val="none" w:sz="0" w:space="0" w:color="auto"/>
                <w:right w:val="none" w:sz="0" w:space="0" w:color="auto"/>
              </w:divBdr>
            </w:div>
            <w:div w:id="670334711">
              <w:marLeft w:val="0"/>
              <w:marRight w:val="0"/>
              <w:marTop w:val="0"/>
              <w:marBottom w:val="0"/>
              <w:divBdr>
                <w:top w:val="none" w:sz="0" w:space="0" w:color="auto"/>
                <w:left w:val="none" w:sz="0" w:space="0" w:color="auto"/>
                <w:bottom w:val="none" w:sz="0" w:space="0" w:color="auto"/>
                <w:right w:val="none" w:sz="0" w:space="0" w:color="auto"/>
              </w:divBdr>
            </w:div>
            <w:div w:id="989866841">
              <w:marLeft w:val="0"/>
              <w:marRight w:val="0"/>
              <w:marTop w:val="0"/>
              <w:marBottom w:val="0"/>
              <w:divBdr>
                <w:top w:val="none" w:sz="0" w:space="0" w:color="auto"/>
                <w:left w:val="none" w:sz="0" w:space="0" w:color="auto"/>
                <w:bottom w:val="none" w:sz="0" w:space="0" w:color="auto"/>
                <w:right w:val="none" w:sz="0" w:space="0" w:color="auto"/>
              </w:divBdr>
            </w:div>
            <w:div w:id="1056440648">
              <w:marLeft w:val="0"/>
              <w:marRight w:val="0"/>
              <w:marTop w:val="0"/>
              <w:marBottom w:val="0"/>
              <w:divBdr>
                <w:top w:val="none" w:sz="0" w:space="0" w:color="auto"/>
                <w:left w:val="none" w:sz="0" w:space="0" w:color="auto"/>
                <w:bottom w:val="none" w:sz="0" w:space="0" w:color="auto"/>
                <w:right w:val="none" w:sz="0" w:space="0" w:color="auto"/>
              </w:divBdr>
            </w:div>
            <w:div w:id="1873303785">
              <w:marLeft w:val="0"/>
              <w:marRight w:val="0"/>
              <w:marTop w:val="0"/>
              <w:marBottom w:val="0"/>
              <w:divBdr>
                <w:top w:val="none" w:sz="0" w:space="0" w:color="auto"/>
                <w:left w:val="none" w:sz="0" w:space="0" w:color="auto"/>
                <w:bottom w:val="none" w:sz="0" w:space="0" w:color="auto"/>
                <w:right w:val="none" w:sz="0" w:space="0" w:color="auto"/>
              </w:divBdr>
            </w:div>
          </w:divsChild>
        </w:div>
        <w:div w:id="1984962038">
          <w:marLeft w:val="0"/>
          <w:marRight w:val="0"/>
          <w:marTop w:val="0"/>
          <w:marBottom w:val="0"/>
          <w:divBdr>
            <w:top w:val="none" w:sz="0" w:space="0" w:color="auto"/>
            <w:left w:val="none" w:sz="0" w:space="0" w:color="auto"/>
            <w:bottom w:val="none" w:sz="0" w:space="0" w:color="auto"/>
            <w:right w:val="none" w:sz="0" w:space="0" w:color="auto"/>
          </w:divBdr>
        </w:div>
        <w:div w:id="1985815713">
          <w:marLeft w:val="0"/>
          <w:marRight w:val="0"/>
          <w:marTop w:val="0"/>
          <w:marBottom w:val="0"/>
          <w:divBdr>
            <w:top w:val="none" w:sz="0" w:space="0" w:color="auto"/>
            <w:left w:val="none" w:sz="0" w:space="0" w:color="auto"/>
            <w:bottom w:val="none" w:sz="0" w:space="0" w:color="auto"/>
            <w:right w:val="none" w:sz="0" w:space="0" w:color="auto"/>
          </w:divBdr>
        </w:div>
        <w:div w:id="2000185911">
          <w:marLeft w:val="0"/>
          <w:marRight w:val="0"/>
          <w:marTop w:val="0"/>
          <w:marBottom w:val="0"/>
          <w:divBdr>
            <w:top w:val="none" w:sz="0" w:space="0" w:color="auto"/>
            <w:left w:val="none" w:sz="0" w:space="0" w:color="auto"/>
            <w:bottom w:val="none" w:sz="0" w:space="0" w:color="auto"/>
            <w:right w:val="none" w:sz="0" w:space="0" w:color="auto"/>
          </w:divBdr>
        </w:div>
        <w:div w:id="2000305069">
          <w:marLeft w:val="0"/>
          <w:marRight w:val="0"/>
          <w:marTop w:val="0"/>
          <w:marBottom w:val="0"/>
          <w:divBdr>
            <w:top w:val="none" w:sz="0" w:space="0" w:color="auto"/>
            <w:left w:val="none" w:sz="0" w:space="0" w:color="auto"/>
            <w:bottom w:val="none" w:sz="0" w:space="0" w:color="auto"/>
            <w:right w:val="none" w:sz="0" w:space="0" w:color="auto"/>
          </w:divBdr>
        </w:div>
        <w:div w:id="2032565442">
          <w:marLeft w:val="0"/>
          <w:marRight w:val="0"/>
          <w:marTop w:val="0"/>
          <w:marBottom w:val="0"/>
          <w:divBdr>
            <w:top w:val="none" w:sz="0" w:space="0" w:color="auto"/>
            <w:left w:val="none" w:sz="0" w:space="0" w:color="auto"/>
            <w:bottom w:val="none" w:sz="0" w:space="0" w:color="auto"/>
            <w:right w:val="none" w:sz="0" w:space="0" w:color="auto"/>
          </w:divBdr>
        </w:div>
        <w:div w:id="2049913009">
          <w:marLeft w:val="0"/>
          <w:marRight w:val="0"/>
          <w:marTop w:val="0"/>
          <w:marBottom w:val="0"/>
          <w:divBdr>
            <w:top w:val="none" w:sz="0" w:space="0" w:color="auto"/>
            <w:left w:val="none" w:sz="0" w:space="0" w:color="auto"/>
            <w:bottom w:val="none" w:sz="0" w:space="0" w:color="auto"/>
            <w:right w:val="none" w:sz="0" w:space="0" w:color="auto"/>
          </w:divBdr>
        </w:div>
        <w:div w:id="2065176451">
          <w:marLeft w:val="0"/>
          <w:marRight w:val="0"/>
          <w:marTop w:val="0"/>
          <w:marBottom w:val="0"/>
          <w:divBdr>
            <w:top w:val="none" w:sz="0" w:space="0" w:color="auto"/>
            <w:left w:val="none" w:sz="0" w:space="0" w:color="auto"/>
            <w:bottom w:val="none" w:sz="0" w:space="0" w:color="auto"/>
            <w:right w:val="none" w:sz="0" w:space="0" w:color="auto"/>
          </w:divBdr>
        </w:div>
        <w:div w:id="2135899717">
          <w:marLeft w:val="0"/>
          <w:marRight w:val="0"/>
          <w:marTop w:val="0"/>
          <w:marBottom w:val="0"/>
          <w:divBdr>
            <w:top w:val="none" w:sz="0" w:space="0" w:color="auto"/>
            <w:left w:val="none" w:sz="0" w:space="0" w:color="auto"/>
            <w:bottom w:val="none" w:sz="0" w:space="0" w:color="auto"/>
            <w:right w:val="none" w:sz="0" w:space="0" w:color="auto"/>
          </w:divBdr>
        </w:div>
      </w:divsChild>
    </w:div>
    <w:div w:id="1629045208">
      <w:bodyDiv w:val="1"/>
      <w:marLeft w:val="0"/>
      <w:marRight w:val="0"/>
      <w:marTop w:val="0"/>
      <w:marBottom w:val="0"/>
      <w:divBdr>
        <w:top w:val="none" w:sz="0" w:space="0" w:color="auto"/>
        <w:left w:val="none" w:sz="0" w:space="0" w:color="auto"/>
        <w:bottom w:val="none" w:sz="0" w:space="0" w:color="auto"/>
        <w:right w:val="none" w:sz="0" w:space="0" w:color="auto"/>
      </w:divBdr>
      <w:divsChild>
        <w:div w:id="461923544">
          <w:marLeft w:val="0"/>
          <w:marRight w:val="0"/>
          <w:marTop w:val="0"/>
          <w:marBottom w:val="0"/>
          <w:divBdr>
            <w:top w:val="none" w:sz="0" w:space="0" w:color="auto"/>
            <w:left w:val="none" w:sz="0" w:space="0" w:color="auto"/>
            <w:bottom w:val="none" w:sz="0" w:space="0" w:color="auto"/>
            <w:right w:val="none" w:sz="0" w:space="0" w:color="auto"/>
          </w:divBdr>
        </w:div>
      </w:divsChild>
    </w:div>
    <w:div w:id="1629705090">
      <w:bodyDiv w:val="1"/>
      <w:marLeft w:val="0"/>
      <w:marRight w:val="0"/>
      <w:marTop w:val="0"/>
      <w:marBottom w:val="0"/>
      <w:divBdr>
        <w:top w:val="none" w:sz="0" w:space="0" w:color="auto"/>
        <w:left w:val="none" w:sz="0" w:space="0" w:color="auto"/>
        <w:bottom w:val="none" w:sz="0" w:space="0" w:color="auto"/>
        <w:right w:val="none" w:sz="0" w:space="0" w:color="auto"/>
      </w:divBdr>
    </w:div>
    <w:div w:id="1630209077">
      <w:bodyDiv w:val="1"/>
      <w:marLeft w:val="0"/>
      <w:marRight w:val="0"/>
      <w:marTop w:val="0"/>
      <w:marBottom w:val="0"/>
      <w:divBdr>
        <w:top w:val="none" w:sz="0" w:space="0" w:color="auto"/>
        <w:left w:val="none" w:sz="0" w:space="0" w:color="auto"/>
        <w:bottom w:val="none" w:sz="0" w:space="0" w:color="auto"/>
        <w:right w:val="none" w:sz="0" w:space="0" w:color="auto"/>
      </w:divBdr>
      <w:divsChild>
        <w:div w:id="1913156572">
          <w:marLeft w:val="0"/>
          <w:marRight w:val="0"/>
          <w:marTop w:val="0"/>
          <w:marBottom w:val="0"/>
          <w:divBdr>
            <w:top w:val="none" w:sz="0" w:space="0" w:color="auto"/>
            <w:left w:val="none" w:sz="0" w:space="0" w:color="auto"/>
            <w:bottom w:val="none" w:sz="0" w:space="0" w:color="auto"/>
            <w:right w:val="none" w:sz="0" w:space="0" w:color="auto"/>
          </w:divBdr>
        </w:div>
      </w:divsChild>
    </w:div>
    <w:div w:id="1652903238">
      <w:bodyDiv w:val="1"/>
      <w:marLeft w:val="0"/>
      <w:marRight w:val="0"/>
      <w:marTop w:val="0"/>
      <w:marBottom w:val="0"/>
      <w:divBdr>
        <w:top w:val="none" w:sz="0" w:space="0" w:color="auto"/>
        <w:left w:val="none" w:sz="0" w:space="0" w:color="auto"/>
        <w:bottom w:val="none" w:sz="0" w:space="0" w:color="auto"/>
        <w:right w:val="none" w:sz="0" w:space="0" w:color="auto"/>
      </w:divBdr>
    </w:div>
    <w:div w:id="1658798544">
      <w:bodyDiv w:val="1"/>
      <w:marLeft w:val="0"/>
      <w:marRight w:val="0"/>
      <w:marTop w:val="0"/>
      <w:marBottom w:val="0"/>
      <w:divBdr>
        <w:top w:val="none" w:sz="0" w:space="0" w:color="auto"/>
        <w:left w:val="none" w:sz="0" w:space="0" w:color="auto"/>
        <w:bottom w:val="none" w:sz="0" w:space="0" w:color="auto"/>
        <w:right w:val="none" w:sz="0" w:space="0" w:color="auto"/>
      </w:divBdr>
    </w:div>
    <w:div w:id="1659142072">
      <w:bodyDiv w:val="1"/>
      <w:marLeft w:val="0"/>
      <w:marRight w:val="0"/>
      <w:marTop w:val="0"/>
      <w:marBottom w:val="0"/>
      <w:divBdr>
        <w:top w:val="none" w:sz="0" w:space="0" w:color="auto"/>
        <w:left w:val="none" w:sz="0" w:space="0" w:color="auto"/>
        <w:bottom w:val="none" w:sz="0" w:space="0" w:color="auto"/>
        <w:right w:val="none" w:sz="0" w:space="0" w:color="auto"/>
      </w:divBdr>
      <w:divsChild>
        <w:div w:id="1308317334">
          <w:marLeft w:val="0"/>
          <w:marRight w:val="0"/>
          <w:marTop w:val="0"/>
          <w:marBottom w:val="0"/>
          <w:divBdr>
            <w:top w:val="none" w:sz="0" w:space="0" w:color="auto"/>
            <w:left w:val="none" w:sz="0" w:space="0" w:color="auto"/>
            <w:bottom w:val="none" w:sz="0" w:space="0" w:color="auto"/>
            <w:right w:val="none" w:sz="0" w:space="0" w:color="auto"/>
          </w:divBdr>
        </w:div>
      </w:divsChild>
    </w:div>
    <w:div w:id="1662656307">
      <w:bodyDiv w:val="1"/>
      <w:marLeft w:val="0"/>
      <w:marRight w:val="0"/>
      <w:marTop w:val="0"/>
      <w:marBottom w:val="0"/>
      <w:divBdr>
        <w:top w:val="none" w:sz="0" w:space="0" w:color="auto"/>
        <w:left w:val="none" w:sz="0" w:space="0" w:color="auto"/>
        <w:bottom w:val="none" w:sz="0" w:space="0" w:color="auto"/>
        <w:right w:val="none" w:sz="0" w:space="0" w:color="auto"/>
      </w:divBdr>
    </w:div>
    <w:div w:id="1663048963">
      <w:bodyDiv w:val="1"/>
      <w:marLeft w:val="0"/>
      <w:marRight w:val="0"/>
      <w:marTop w:val="0"/>
      <w:marBottom w:val="0"/>
      <w:divBdr>
        <w:top w:val="none" w:sz="0" w:space="0" w:color="auto"/>
        <w:left w:val="none" w:sz="0" w:space="0" w:color="auto"/>
        <w:bottom w:val="none" w:sz="0" w:space="0" w:color="auto"/>
        <w:right w:val="none" w:sz="0" w:space="0" w:color="auto"/>
      </w:divBdr>
    </w:div>
    <w:div w:id="1669752017">
      <w:bodyDiv w:val="1"/>
      <w:marLeft w:val="0"/>
      <w:marRight w:val="0"/>
      <w:marTop w:val="0"/>
      <w:marBottom w:val="0"/>
      <w:divBdr>
        <w:top w:val="none" w:sz="0" w:space="0" w:color="auto"/>
        <w:left w:val="none" w:sz="0" w:space="0" w:color="auto"/>
        <w:bottom w:val="none" w:sz="0" w:space="0" w:color="auto"/>
        <w:right w:val="none" w:sz="0" w:space="0" w:color="auto"/>
      </w:divBdr>
    </w:div>
    <w:div w:id="1672826927">
      <w:bodyDiv w:val="1"/>
      <w:marLeft w:val="0"/>
      <w:marRight w:val="0"/>
      <w:marTop w:val="0"/>
      <w:marBottom w:val="0"/>
      <w:divBdr>
        <w:top w:val="none" w:sz="0" w:space="0" w:color="auto"/>
        <w:left w:val="none" w:sz="0" w:space="0" w:color="auto"/>
        <w:bottom w:val="none" w:sz="0" w:space="0" w:color="auto"/>
        <w:right w:val="none" w:sz="0" w:space="0" w:color="auto"/>
      </w:divBdr>
    </w:div>
    <w:div w:id="1694844721">
      <w:bodyDiv w:val="1"/>
      <w:marLeft w:val="0"/>
      <w:marRight w:val="0"/>
      <w:marTop w:val="0"/>
      <w:marBottom w:val="0"/>
      <w:divBdr>
        <w:top w:val="none" w:sz="0" w:space="0" w:color="auto"/>
        <w:left w:val="none" w:sz="0" w:space="0" w:color="auto"/>
        <w:bottom w:val="none" w:sz="0" w:space="0" w:color="auto"/>
        <w:right w:val="none" w:sz="0" w:space="0" w:color="auto"/>
      </w:divBdr>
    </w:div>
    <w:div w:id="1700475423">
      <w:bodyDiv w:val="1"/>
      <w:marLeft w:val="0"/>
      <w:marRight w:val="0"/>
      <w:marTop w:val="0"/>
      <w:marBottom w:val="0"/>
      <w:divBdr>
        <w:top w:val="none" w:sz="0" w:space="0" w:color="auto"/>
        <w:left w:val="none" w:sz="0" w:space="0" w:color="auto"/>
        <w:bottom w:val="none" w:sz="0" w:space="0" w:color="auto"/>
        <w:right w:val="none" w:sz="0" w:space="0" w:color="auto"/>
      </w:divBdr>
    </w:div>
    <w:div w:id="1712076586">
      <w:bodyDiv w:val="1"/>
      <w:marLeft w:val="0"/>
      <w:marRight w:val="0"/>
      <w:marTop w:val="0"/>
      <w:marBottom w:val="0"/>
      <w:divBdr>
        <w:top w:val="none" w:sz="0" w:space="0" w:color="auto"/>
        <w:left w:val="none" w:sz="0" w:space="0" w:color="auto"/>
        <w:bottom w:val="none" w:sz="0" w:space="0" w:color="auto"/>
        <w:right w:val="none" w:sz="0" w:space="0" w:color="auto"/>
      </w:divBdr>
      <w:divsChild>
        <w:div w:id="1295060288">
          <w:marLeft w:val="0"/>
          <w:marRight w:val="0"/>
          <w:marTop w:val="0"/>
          <w:marBottom w:val="0"/>
          <w:divBdr>
            <w:top w:val="none" w:sz="0" w:space="0" w:color="auto"/>
            <w:left w:val="none" w:sz="0" w:space="0" w:color="auto"/>
            <w:bottom w:val="none" w:sz="0" w:space="0" w:color="auto"/>
            <w:right w:val="none" w:sz="0" w:space="0" w:color="auto"/>
          </w:divBdr>
        </w:div>
      </w:divsChild>
    </w:div>
    <w:div w:id="1718164482">
      <w:bodyDiv w:val="1"/>
      <w:marLeft w:val="0"/>
      <w:marRight w:val="0"/>
      <w:marTop w:val="0"/>
      <w:marBottom w:val="0"/>
      <w:divBdr>
        <w:top w:val="none" w:sz="0" w:space="0" w:color="auto"/>
        <w:left w:val="none" w:sz="0" w:space="0" w:color="auto"/>
        <w:bottom w:val="none" w:sz="0" w:space="0" w:color="auto"/>
        <w:right w:val="none" w:sz="0" w:space="0" w:color="auto"/>
      </w:divBdr>
    </w:div>
    <w:div w:id="1724402742">
      <w:bodyDiv w:val="1"/>
      <w:marLeft w:val="0"/>
      <w:marRight w:val="0"/>
      <w:marTop w:val="0"/>
      <w:marBottom w:val="0"/>
      <w:divBdr>
        <w:top w:val="none" w:sz="0" w:space="0" w:color="auto"/>
        <w:left w:val="none" w:sz="0" w:space="0" w:color="auto"/>
        <w:bottom w:val="none" w:sz="0" w:space="0" w:color="auto"/>
        <w:right w:val="none" w:sz="0" w:space="0" w:color="auto"/>
      </w:divBdr>
      <w:divsChild>
        <w:div w:id="77749188">
          <w:marLeft w:val="0"/>
          <w:marRight w:val="0"/>
          <w:marTop w:val="0"/>
          <w:marBottom w:val="0"/>
          <w:divBdr>
            <w:top w:val="none" w:sz="0" w:space="0" w:color="auto"/>
            <w:left w:val="none" w:sz="0" w:space="0" w:color="auto"/>
            <w:bottom w:val="none" w:sz="0" w:space="0" w:color="auto"/>
            <w:right w:val="none" w:sz="0" w:space="0" w:color="auto"/>
          </w:divBdr>
          <w:divsChild>
            <w:div w:id="56170384">
              <w:marLeft w:val="0"/>
              <w:marRight w:val="0"/>
              <w:marTop w:val="0"/>
              <w:marBottom w:val="0"/>
              <w:divBdr>
                <w:top w:val="none" w:sz="0" w:space="0" w:color="auto"/>
                <w:left w:val="none" w:sz="0" w:space="0" w:color="auto"/>
                <w:bottom w:val="none" w:sz="0" w:space="0" w:color="auto"/>
                <w:right w:val="none" w:sz="0" w:space="0" w:color="auto"/>
              </w:divBdr>
            </w:div>
            <w:div w:id="975184893">
              <w:marLeft w:val="0"/>
              <w:marRight w:val="0"/>
              <w:marTop w:val="0"/>
              <w:marBottom w:val="0"/>
              <w:divBdr>
                <w:top w:val="none" w:sz="0" w:space="0" w:color="auto"/>
                <w:left w:val="none" w:sz="0" w:space="0" w:color="auto"/>
                <w:bottom w:val="none" w:sz="0" w:space="0" w:color="auto"/>
                <w:right w:val="none" w:sz="0" w:space="0" w:color="auto"/>
              </w:divBdr>
            </w:div>
            <w:div w:id="1140263568">
              <w:marLeft w:val="0"/>
              <w:marRight w:val="0"/>
              <w:marTop w:val="0"/>
              <w:marBottom w:val="0"/>
              <w:divBdr>
                <w:top w:val="none" w:sz="0" w:space="0" w:color="auto"/>
                <w:left w:val="none" w:sz="0" w:space="0" w:color="auto"/>
                <w:bottom w:val="none" w:sz="0" w:space="0" w:color="auto"/>
                <w:right w:val="none" w:sz="0" w:space="0" w:color="auto"/>
              </w:divBdr>
            </w:div>
            <w:div w:id="1256591454">
              <w:marLeft w:val="0"/>
              <w:marRight w:val="0"/>
              <w:marTop w:val="0"/>
              <w:marBottom w:val="0"/>
              <w:divBdr>
                <w:top w:val="none" w:sz="0" w:space="0" w:color="auto"/>
                <w:left w:val="none" w:sz="0" w:space="0" w:color="auto"/>
                <w:bottom w:val="none" w:sz="0" w:space="0" w:color="auto"/>
                <w:right w:val="none" w:sz="0" w:space="0" w:color="auto"/>
              </w:divBdr>
            </w:div>
            <w:div w:id="1943224910">
              <w:marLeft w:val="0"/>
              <w:marRight w:val="0"/>
              <w:marTop w:val="0"/>
              <w:marBottom w:val="0"/>
              <w:divBdr>
                <w:top w:val="none" w:sz="0" w:space="0" w:color="auto"/>
                <w:left w:val="none" w:sz="0" w:space="0" w:color="auto"/>
                <w:bottom w:val="none" w:sz="0" w:space="0" w:color="auto"/>
                <w:right w:val="none" w:sz="0" w:space="0" w:color="auto"/>
              </w:divBdr>
            </w:div>
          </w:divsChild>
        </w:div>
        <w:div w:id="205869842">
          <w:marLeft w:val="0"/>
          <w:marRight w:val="0"/>
          <w:marTop w:val="0"/>
          <w:marBottom w:val="0"/>
          <w:divBdr>
            <w:top w:val="none" w:sz="0" w:space="0" w:color="auto"/>
            <w:left w:val="none" w:sz="0" w:space="0" w:color="auto"/>
            <w:bottom w:val="none" w:sz="0" w:space="0" w:color="auto"/>
            <w:right w:val="none" w:sz="0" w:space="0" w:color="auto"/>
          </w:divBdr>
          <w:divsChild>
            <w:div w:id="401409695">
              <w:marLeft w:val="-75"/>
              <w:marRight w:val="0"/>
              <w:marTop w:val="30"/>
              <w:marBottom w:val="30"/>
              <w:divBdr>
                <w:top w:val="none" w:sz="0" w:space="0" w:color="auto"/>
                <w:left w:val="none" w:sz="0" w:space="0" w:color="auto"/>
                <w:bottom w:val="none" w:sz="0" w:space="0" w:color="auto"/>
                <w:right w:val="none" w:sz="0" w:space="0" w:color="auto"/>
              </w:divBdr>
              <w:divsChild>
                <w:div w:id="307444029">
                  <w:marLeft w:val="0"/>
                  <w:marRight w:val="0"/>
                  <w:marTop w:val="0"/>
                  <w:marBottom w:val="0"/>
                  <w:divBdr>
                    <w:top w:val="none" w:sz="0" w:space="0" w:color="auto"/>
                    <w:left w:val="none" w:sz="0" w:space="0" w:color="auto"/>
                    <w:bottom w:val="none" w:sz="0" w:space="0" w:color="auto"/>
                    <w:right w:val="none" w:sz="0" w:space="0" w:color="auto"/>
                  </w:divBdr>
                  <w:divsChild>
                    <w:div w:id="1771851138">
                      <w:marLeft w:val="0"/>
                      <w:marRight w:val="0"/>
                      <w:marTop w:val="0"/>
                      <w:marBottom w:val="0"/>
                      <w:divBdr>
                        <w:top w:val="none" w:sz="0" w:space="0" w:color="auto"/>
                        <w:left w:val="none" w:sz="0" w:space="0" w:color="auto"/>
                        <w:bottom w:val="none" w:sz="0" w:space="0" w:color="auto"/>
                        <w:right w:val="none" w:sz="0" w:space="0" w:color="auto"/>
                      </w:divBdr>
                    </w:div>
                  </w:divsChild>
                </w:div>
                <w:div w:id="541870717">
                  <w:marLeft w:val="0"/>
                  <w:marRight w:val="0"/>
                  <w:marTop w:val="0"/>
                  <w:marBottom w:val="0"/>
                  <w:divBdr>
                    <w:top w:val="none" w:sz="0" w:space="0" w:color="auto"/>
                    <w:left w:val="none" w:sz="0" w:space="0" w:color="auto"/>
                    <w:bottom w:val="none" w:sz="0" w:space="0" w:color="auto"/>
                    <w:right w:val="none" w:sz="0" w:space="0" w:color="auto"/>
                  </w:divBdr>
                  <w:divsChild>
                    <w:div w:id="2134474358">
                      <w:marLeft w:val="0"/>
                      <w:marRight w:val="0"/>
                      <w:marTop w:val="0"/>
                      <w:marBottom w:val="0"/>
                      <w:divBdr>
                        <w:top w:val="none" w:sz="0" w:space="0" w:color="auto"/>
                        <w:left w:val="none" w:sz="0" w:space="0" w:color="auto"/>
                        <w:bottom w:val="none" w:sz="0" w:space="0" w:color="auto"/>
                        <w:right w:val="none" w:sz="0" w:space="0" w:color="auto"/>
                      </w:divBdr>
                    </w:div>
                  </w:divsChild>
                </w:div>
                <w:div w:id="825055698">
                  <w:marLeft w:val="0"/>
                  <w:marRight w:val="0"/>
                  <w:marTop w:val="0"/>
                  <w:marBottom w:val="0"/>
                  <w:divBdr>
                    <w:top w:val="none" w:sz="0" w:space="0" w:color="auto"/>
                    <w:left w:val="none" w:sz="0" w:space="0" w:color="auto"/>
                    <w:bottom w:val="none" w:sz="0" w:space="0" w:color="auto"/>
                    <w:right w:val="none" w:sz="0" w:space="0" w:color="auto"/>
                  </w:divBdr>
                  <w:divsChild>
                    <w:div w:id="1515726805">
                      <w:marLeft w:val="0"/>
                      <w:marRight w:val="0"/>
                      <w:marTop w:val="0"/>
                      <w:marBottom w:val="0"/>
                      <w:divBdr>
                        <w:top w:val="none" w:sz="0" w:space="0" w:color="auto"/>
                        <w:left w:val="none" w:sz="0" w:space="0" w:color="auto"/>
                        <w:bottom w:val="none" w:sz="0" w:space="0" w:color="auto"/>
                        <w:right w:val="none" w:sz="0" w:space="0" w:color="auto"/>
                      </w:divBdr>
                    </w:div>
                  </w:divsChild>
                </w:div>
                <w:div w:id="1009872053">
                  <w:marLeft w:val="0"/>
                  <w:marRight w:val="0"/>
                  <w:marTop w:val="0"/>
                  <w:marBottom w:val="0"/>
                  <w:divBdr>
                    <w:top w:val="none" w:sz="0" w:space="0" w:color="auto"/>
                    <w:left w:val="none" w:sz="0" w:space="0" w:color="auto"/>
                    <w:bottom w:val="none" w:sz="0" w:space="0" w:color="auto"/>
                    <w:right w:val="none" w:sz="0" w:space="0" w:color="auto"/>
                  </w:divBdr>
                  <w:divsChild>
                    <w:div w:id="1904294210">
                      <w:marLeft w:val="0"/>
                      <w:marRight w:val="0"/>
                      <w:marTop w:val="0"/>
                      <w:marBottom w:val="0"/>
                      <w:divBdr>
                        <w:top w:val="none" w:sz="0" w:space="0" w:color="auto"/>
                        <w:left w:val="none" w:sz="0" w:space="0" w:color="auto"/>
                        <w:bottom w:val="none" w:sz="0" w:space="0" w:color="auto"/>
                        <w:right w:val="none" w:sz="0" w:space="0" w:color="auto"/>
                      </w:divBdr>
                    </w:div>
                  </w:divsChild>
                </w:div>
                <w:div w:id="1100494242">
                  <w:marLeft w:val="0"/>
                  <w:marRight w:val="0"/>
                  <w:marTop w:val="0"/>
                  <w:marBottom w:val="0"/>
                  <w:divBdr>
                    <w:top w:val="none" w:sz="0" w:space="0" w:color="auto"/>
                    <w:left w:val="none" w:sz="0" w:space="0" w:color="auto"/>
                    <w:bottom w:val="none" w:sz="0" w:space="0" w:color="auto"/>
                    <w:right w:val="none" w:sz="0" w:space="0" w:color="auto"/>
                  </w:divBdr>
                  <w:divsChild>
                    <w:div w:id="1135753518">
                      <w:marLeft w:val="0"/>
                      <w:marRight w:val="0"/>
                      <w:marTop w:val="0"/>
                      <w:marBottom w:val="0"/>
                      <w:divBdr>
                        <w:top w:val="none" w:sz="0" w:space="0" w:color="auto"/>
                        <w:left w:val="none" w:sz="0" w:space="0" w:color="auto"/>
                        <w:bottom w:val="none" w:sz="0" w:space="0" w:color="auto"/>
                        <w:right w:val="none" w:sz="0" w:space="0" w:color="auto"/>
                      </w:divBdr>
                    </w:div>
                  </w:divsChild>
                </w:div>
                <w:div w:id="1114713247">
                  <w:marLeft w:val="0"/>
                  <w:marRight w:val="0"/>
                  <w:marTop w:val="0"/>
                  <w:marBottom w:val="0"/>
                  <w:divBdr>
                    <w:top w:val="none" w:sz="0" w:space="0" w:color="auto"/>
                    <w:left w:val="none" w:sz="0" w:space="0" w:color="auto"/>
                    <w:bottom w:val="none" w:sz="0" w:space="0" w:color="auto"/>
                    <w:right w:val="none" w:sz="0" w:space="0" w:color="auto"/>
                  </w:divBdr>
                  <w:divsChild>
                    <w:div w:id="519513573">
                      <w:marLeft w:val="0"/>
                      <w:marRight w:val="0"/>
                      <w:marTop w:val="0"/>
                      <w:marBottom w:val="0"/>
                      <w:divBdr>
                        <w:top w:val="none" w:sz="0" w:space="0" w:color="auto"/>
                        <w:left w:val="none" w:sz="0" w:space="0" w:color="auto"/>
                        <w:bottom w:val="none" w:sz="0" w:space="0" w:color="auto"/>
                        <w:right w:val="none" w:sz="0" w:space="0" w:color="auto"/>
                      </w:divBdr>
                    </w:div>
                  </w:divsChild>
                </w:div>
                <w:div w:id="1510370954">
                  <w:marLeft w:val="0"/>
                  <w:marRight w:val="0"/>
                  <w:marTop w:val="0"/>
                  <w:marBottom w:val="0"/>
                  <w:divBdr>
                    <w:top w:val="none" w:sz="0" w:space="0" w:color="auto"/>
                    <w:left w:val="none" w:sz="0" w:space="0" w:color="auto"/>
                    <w:bottom w:val="none" w:sz="0" w:space="0" w:color="auto"/>
                    <w:right w:val="none" w:sz="0" w:space="0" w:color="auto"/>
                  </w:divBdr>
                  <w:divsChild>
                    <w:div w:id="21173345">
                      <w:marLeft w:val="0"/>
                      <w:marRight w:val="0"/>
                      <w:marTop w:val="0"/>
                      <w:marBottom w:val="0"/>
                      <w:divBdr>
                        <w:top w:val="none" w:sz="0" w:space="0" w:color="auto"/>
                        <w:left w:val="none" w:sz="0" w:space="0" w:color="auto"/>
                        <w:bottom w:val="none" w:sz="0" w:space="0" w:color="auto"/>
                        <w:right w:val="none" w:sz="0" w:space="0" w:color="auto"/>
                      </w:divBdr>
                    </w:div>
                  </w:divsChild>
                </w:div>
                <w:div w:id="1765881146">
                  <w:marLeft w:val="0"/>
                  <w:marRight w:val="0"/>
                  <w:marTop w:val="0"/>
                  <w:marBottom w:val="0"/>
                  <w:divBdr>
                    <w:top w:val="none" w:sz="0" w:space="0" w:color="auto"/>
                    <w:left w:val="none" w:sz="0" w:space="0" w:color="auto"/>
                    <w:bottom w:val="none" w:sz="0" w:space="0" w:color="auto"/>
                    <w:right w:val="none" w:sz="0" w:space="0" w:color="auto"/>
                  </w:divBdr>
                  <w:divsChild>
                    <w:div w:id="1349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1383">
          <w:marLeft w:val="0"/>
          <w:marRight w:val="0"/>
          <w:marTop w:val="0"/>
          <w:marBottom w:val="0"/>
          <w:divBdr>
            <w:top w:val="none" w:sz="0" w:space="0" w:color="auto"/>
            <w:left w:val="none" w:sz="0" w:space="0" w:color="auto"/>
            <w:bottom w:val="none" w:sz="0" w:space="0" w:color="auto"/>
            <w:right w:val="none" w:sz="0" w:space="0" w:color="auto"/>
          </w:divBdr>
          <w:divsChild>
            <w:div w:id="148373512">
              <w:marLeft w:val="0"/>
              <w:marRight w:val="0"/>
              <w:marTop w:val="0"/>
              <w:marBottom w:val="0"/>
              <w:divBdr>
                <w:top w:val="none" w:sz="0" w:space="0" w:color="auto"/>
                <w:left w:val="none" w:sz="0" w:space="0" w:color="auto"/>
                <w:bottom w:val="none" w:sz="0" w:space="0" w:color="auto"/>
                <w:right w:val="none" w:sz="0" w:space="0" w:color="auto"/>
              </w:divBdr>
            </w:div>
            <w:div w:id="252014045">
              <w:marLeft w:val="0"/>
              <w:marRight w:val="0"/>
              <w:marTop w:val="0"/>
              <w:marBottom w:val="0"/>
              <w:divBdr>
                <w:top w:val="none" w:sz="0" w:space="0" w:color="auto"/>
                <w:left w:val="none" w:sz="0" w:space="0" w:color="auto"/>
                <w:bottom w:val="none" w:sz="0" w:space="0" w:color="auto"/>
                <w:right w:val="none" w:sz="0" w:space="0" w:color="auto"/>
              </w:divBdr>
            </w:div>
            <w:div w:id="500856654">
              <w:marLeft w:val="0"/>
              <w:marRight w:val="0"/>
              <w:marTop w:val="0"/>
              <w:marBottom w:val="0"/>
              <w:divBdr>
                <w:top w:val="none" w:sz="0" w:space="0" w:color="auto"/>
                <w:left w:val="none" w:sz="0" w:space="0" w:color="auto"/>
                <w:bottom w:val="none" w:sz="0" w:space="0" w:color="auto"/>
                <w:right w:val="none" w:sz="0" w:space="0" w:color="auto"/>
              </w:divBdr>
            </w:div>
          </w:divsChild>
        </w:div>
        <w:div w:id="1897006188">
          <w:marLeft w:val="0"/>
          <w:marRight w:val="0"/>
          <w:marTop w:val="0"/>
          <w:marBottom w:val="0"/>
          <w:divBdr>
            <w:top w:val="none" w:sz="0" w:space="0" w:color="auto"/>
            <w:left w:val="none" w:sz="0" w:space="0" w:color="auto"/>
            <w:bottom w:val="none" w:sz="0" w:space="0" w:color="auto"/>
            <w:right w:val="none" w:sz="0" w:space="0" w:color="auto"/>
          </w:divBdr>
          <w:divsChild>
            <w:div w:id="224486606">
              <w:marLeft w:val="0"/>
              <w:marRight w:val="0"/>
              <w:marTop w:val="0"/>
              <w:marBottom w:val="0"/>
              <w:divBdr>
                <w:top w:val="none" w:sz="0" w:space="0" w:color="auto"/>
                <w:left w:val="none" w:sz="0" w:space="0" w:color="auto"/>
                <w:bottom w:val="none" w:sz="0" w:space="0" w:color="auto"/>
                <w:right w:val="none" w:sz="0" w:space="0" w:color="auto"/>
              </w:divBdr>
            </w:div>
            <w:div w:id="513149320">
              <w:marLeft w:val="0"/>
              <w:marRight w:val="0"/>
              <w:marTop w:val="0"/>
              <w:marBottom w:val="0"/>
              <w:divBdr>
                <w:top w:val="none" w:sz="0" w:space="0" w:color="auto"/>
                <w:left w:val="none" w:sz="0" w:space="0" w:color="auto"/>
                <w:bottom w:val="none" w:sz="0" w:space="0" w:color="auto"/>
                <w:right w:val="none" w:sz="0" w:space="0" w:color="auto"/>
              </w:divBdr>
            </w:div>
            <w:div w:id="912816712">
              <w:marLeft w:val="0"/>
              <w:marRight w:val="0"/>
              <w:marTop w:val="0"/>
              <w:marBottom w:val="0"/>
              <w:divBdr>
                <w:top w:val="none" w:sz="0" w:space="0" w:color="auto"/>
                <w:left w:val="none" w:sz="0" w:space="0" w:color="auto"/>
                <w:bottom w:val="none" w:sz="0" w:space="0" w:color="auto"/>
                <w:right w:val="none" w:sz="0" w:space="0" w:color="auto"/>
              </w:divBdr>
            </w:div>
            <w:div w:id="1794251809">
              <w:marLeft w:val="0"/>
              <w:marRight w:val="0"/>
              <w:marTop w:val="0"/>
              <w:marBottom w:val="0"/>
              <w:divBdr>
                <w:top w:val="none" w:sz="0" w:space="0" w:color="auto"/>
                <w:left w:val="none" w:sz="0" w:space="0" w:color="auto"/>
                <w:bottom w:val="none" w:sz="0" w:space="0" w:color="auto"/>
                <w:right w:val="none" w:sz="0" w:space="0" w:color="auto"/>
              </w:divBdr>
            </w:div>
            <w:div w:id="18801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2096">
      <w:bodyDiv w:val="1"/>
      <w:marLeft w:val="0"/>
      <w:marRight w:val="0"/>
      <w:marTop w:val="0"/>
      <w:marBottom w:val="0"/>
      <w:divBdr>
        <w:top w:val="none" w:sz="0" w:space="0" w:color="auto"/>
        <w:left w:val="none" w:sz="0" w:space="0" w:color="auto"/>
        <w:bottom w:val="none" w:sz="0" w:space="0" w:color="auto"/>
        <w:right w:val="none" w:sz="0" w:space="0" w:color="auto"/>
      </w:divBdr>
    </w:div>
    <w:div w:id="1726945551">
      <w:bodyDiv w:val="1"/>
      <w:marLeft w:val="0"/>
      <w:marRight w:val="0"/>
      <w:marTop w:val="0"/>
      <w:marBottom w:val="0"/>
      <w:divBdr>
        <w:top w:val="none" w:sz="0" w:space="0" w:color="auto"/>
        <w:left w:val="none" w:sz="0" w:space="0" w:color="auto"/>
        <w:bottom w:val="none" w:sz="0" w:space="0" w:color="auto"/>
        <w:right w:val="none" w:sz="0" w:space="0" w:color="auto"/>
      </w:divBdr>
    </w:div>
    <w:div w:id="1732851283">
      <w:bodyDiv w:val="1"/>
      <w:marLeft w:val="0"/>
      <w:marRight w:val="0"/>
      <w:marTop w:val="0"/>
      <w:marBottom w:val="0"/>
      <w:divBdr>
        <w:top w:val="none" w:sz="0" w:space="0" w:color="auto"/>
        <w:left w:val="none" w:sz="0" w:space="0" w:color="auto"/>
        <w:bottom w:val="none" w:sz="0" w:space="0" w:color="auto"/>
        <w:right w:val="none" w:sz="0" w:space="0" w:color="auto"/>
      </w:divBdr>
    </w:div>
    <w:div w:id="1759979716">
      <w:bodyDiv w:val="1"/>
      <w:marLeft w:val="0"/>
      <w:marRight w:val="0"/>
      <w:marTop w:val="0"/>
      <w:marBottom w:val="0"/>
      <w:divBdr>
        <w:top w:val="none" w:sz="0" w:space="0" w:color="auto"/>
        <w:left w:val="none" w:sz="0" w:space="0" w:color="auto"/>
        <w:bottom w:val="none" w:sz="0" w:space="0" w:color="auto"/>
        <w:right w:val="none" w:sz="0" w:space="0" w:color="auto"/>
      </w:divBdr>
    </w:div>
    <w:div w:id="1763990602">
      <w:bodyDiv w:val="1"/>
      <w:marLeft w:val="0"/>
      <w:marRight w:val="0"/>
      <w:marTop w:val="0"/>
      <w:marBottom w:val="0"/>
      <w:divBdr>
        <w:top w:val="none" w:sz="0" w:space="0" w:color="auto"/>
        <w:left w:val="none" w:sz="0" w:space="0" w:color="auto"/>
        <w:bottom w:val="none" w:sz="0" w:space="0" w:color="auto"/>
        <w:right w:val="none" w:sz="0" w:space="0" w:color="auto"/>
      </w:divBdr>
    </w:div>
    <w:div w:id="1773209649">
      <w:bodyDiv w:val="1"/>
      <w:marLeft w:val="0"/>
      <w:marRight w:val="0"/>
      <w:marTop w:val="0"/>
      <w:marBottom w:val="0"/>
      <w:divBdr>
        <w:top w:val="none" w:sz="0" w:space="0" w:color="auto"/>
        <w:left w:val="none" w:sz="0" w:space="0" w:color="auto"/>
        <w:bottom w:val="none" w:sz="0" w:space="0" w:color="auto"/>
        <w:right w:val="none" w:sz="0" w:space="0" w:color="auto"/>
      </w:divBdr>
    </w:div>
    <w:div w:id="1800955765">
      <w:bodyDiv w:val="1"/>
      <w:marLeft w:val="0"/>
      <w:marRight w:val="0"/>
      <w:marTop w:val="0"/>
      <w:marBottom w:val="0"/>
      <w:divBdr>
        <w:top w:val="none" w:sz="0" w:space="0" w:color="auto"/>
        <w:left w:val="none" w:sz="0" w:space="0" w:color="auto"/>
        <w:bottom w:val="none" w:sz="0" w:space="0" w:color="auto"/>
        <w:right w:val="none" w:sz="0" w:space="0" w:color="auto"/>
      </w:divBdr>
      <w:divsChild>
        <w:div w:id="296104376">
          <w:marLeft w:val="0"/>
          <w:marRight w:val="0"/>
          <w:marTop w:val="0"/>
          <w:marBottom w:val="0"/>
          <w:divBdr>
            <w:top w:val="none" w:sz="0" w:space="0" w:color="auto"/>
            <w:left w:val="none" w:sz="0" w:space="0" w:color="auto"/>
            <w:bottom w:val="none" w:sz="0" w:space="0" w:color="auto"/>
            <w:right w:val="none" w:sz="0" w:space="0" w:color="auto"/>
          </w:divBdr>
        </w:div>
      </w:divsChild>
    </w:div>
    <w:div w:id="1821118174">
      <w:bodyDiv w:val="1"/>
      <w:marLeft w:val="0"/>
      <w:marRight w:val="0"/>
      <w:marTop w:val="0"/>
      <w:marBottom w:val="0"/>
      <w:divBdr>
        <w:top w:val="none" w:sz="0" w:space="0" w:color="auto"/>
        <w:left w:val="none" w:sz="0" w:space="0" w:color="auto"/>
        <w:bottom w:val="none" w:sz="0" w:space="0" w:color="auto"/>
        <w:right w:val="none" w:sz="0" w:space="0" w:color="auto"/>
      </w:divBdr>
      <w:divsChild>
        <w:div w:id="2121290374">
          <w:marLeft w:val="0"/>
          <w:marRight w:val="0"/>
          <w:marTop w:val="0"/>
          <w:marBottom w:val="0"/>
          <w:divBdr>
            <w:top w:val="none" w:sz="0" w:space="0" w:color="auto"/>
            <w:left w:val="none" w:sz="0" w:space="0" w:color="auto"/>
            <w:bottom w:val="none" w:sz="0" w:space="0" w:color="auto"/>
            <w:right w:val="none" w:sz="0" w:space="0" w:color="auto"/>
          </w:divBdr>
        </w:div>
      </w:divsChild>
    </w:div>
    <w:div w:id="1846436498">
      <w:bodyDiv w:val="1"/>
      <w:marLeft w:val="0"/>
      <w:marRight w:val="0"/>
      <w:marTop w:val="0"/>
      <w:marBottom w:val="0"/>
      <w:divBdr>
        <w:top w:val="none" w:sz="0" w:space="0" w:color="auto"/>
        <w:left w:val="none" w:sz="0" w:space="0" w:color="auto"/>
        <w:bottom w:val="none" w:sz="0" w:space="0" w:color="auto"/>
        <w:right w:val="none" w:sz="0" w:space="0" w:color="auto"/>
      </w:divBdr>
    </w:div>
    <w:div w:id="1860046589">
      <w:bodyDiv w:val="1"/>
      <w:marLeft w:val="0"/>
      <w:marRight w:val="0"/>
      <w:marTop w:val="0"/>
      <w:marBottom w:val="0"/>
      <w:divBdr>
        <w:top w:val="none" w:sz="0" w:space="0" w:color="auto"/>
        <w:left w:val="none" w:sz="0" w:space="0" w:color="auto"/>
        <w:bottom w:val="none" w:sz="0" w:space="0" w:color="auto"/>
        <w:right w:val="none" w:sz="0" w:space="0" w:color="auto"/>
      </w:divBdr>
      <w:divsChild>
        <w:div w:id="1289123047">
          <w:marLeft w:val="0"/>
          <w:marRight w:val="0"/>
          <w:marTop w:val="0"/>
          <w:marBottom w:val="0"/>
          <w:divBdr>
            <w:top w:val="none" w:sz="0" w:space="0" w:color="auto"/>
            <w:left w:val="none" w:sz="0" w:space="0" w:color="auto"/>
            <w:bottom w:val="none" w:sz="0" w:space="0" w:color="auto"/>
            <w:right w:val="none" w:sz="0" w:space="0" w:color="auto"/>
          </w:divBdr>
        </w:div>
        <w:div w:id="1289554436">
          <w:marLeft w:val="0"/>
          <w:marRight w:val="0"/>
          <w:marTop w:val="0"/>
          <w:marBottom w:val="0"/>
          <w:divBdr>
            <w:top w:val="none" w:sz="0" w:space="0" w:color="auto"/>
            <w:left w:val="none" w:sz="0" w:space="0" w:color="auto"/>
            <w:bottom w:val="none" w:sz="0" w:space="0" w:color="auto"/>
            <w:right w:val="none" w:sz="0" w:space="0" w:color="auto"/>
          </w:divBdr>
        </w:div>
      </w:divsChild>
    </w:div>
    <w:div w:id="1884056923">
      <w:bodyDiv w:val="1"/>
      <w:marLeft w:val="0"/>
      <w:marRight w:val="0"/>
      <w:marTop w:val="0"/>
      <w:marBottom w:val="0"/>
      <w:divBdr>
        <w:top w:val="none" w:sz="0" w:space="0" w:color="auto"/>
        <w:left w:val="none" w:sz="0" w:space="0" w:color="auto"/>
        <w:bottom w:val="none" w:sz="0" w:space="0" w:color="auto"/>
        <w:right w:val="none" w:sz="0" w:space="0" w:color="auto"/>
      </w:divBdr>
    </w:div>
    <w:div w:id="1895656078">
      <w:bodyDiv w:val="1"/>
      <w:marLeft w:val="0"/>
      <w:marRight w:val="0"/>
      <w:marTop w:val="0"/>
      <w:marBottom w:val="0"/>
      <w:divBdr>
        <w:top w:val="none" w:sz="0" w:space="0" w:color="auto"/>
        <w:left w:val="none" w:sz="0" w:space="0" w:color="auto"/>
        <w:bottom w:val="none" w:sz="0" w:space="0" w:color="auto"/>
        <w:right w:val="none" w:sz="0" w:space="0" w:color="auto"/>
      </w:divBdr>
      <w:divsChild>
        <w:div w:id="81420407">
          <w:marLeft w:val="0"/>
          <w:marRight w:val="0"/>
          <w:marTop w:val="0"/>
          <w:marBottom w:val="0"/>
          <w:divBdr>
            <w:top w:val="none" w:sz="0" w:space="0" w:color="auto"/>
            <w:left w:val="none" w:sz="0" w:space="0" w:color="auto"/>
            <w:bottom w:val="none" w:sz="0" w:space="0" w:color="auto"/>
            <w:right w:val="none" w:sz="0" w:space="0" w:color="auto"/>
          </w:divBdr>
        </w:div>
        <w:div w:id="215245031">
          <w:marLeft w:val="0"/>
          <w:marRight w:val="0"/>
          <w:marTop w:val="0"/>
          <w:marBottom w:val="0"/>
          <w:divBdr>
            <w:top w:val="none" w:sz="0" w:space="0" w:color="auto"/>
            <w:left w:val="none" w:sz="0" w:space="0" w:color="auto"/>
            <w:bottom w:val="none" w:sz="0" w:space="0" w:color="auto"/>
            <w:right w:val="none" w:sz="0" w:space="0" w:color="auto"/>
          </w:divBdr>
          <w:divsChild>
            <w:div w:id="248007300">
              <w:marLeft w:val="0"/>
              <w:marRight w:val="0"/>
              <w:marTop w:val="0"/>
              <w:marBottom w:val="0"/>
              <w:divBdr>
                <w:top w:val="none" w:sz="0" w:space="0" w:color="auto"/>
                <w:left w:val="none" w:sz="0" w:space="0" w:color="auto"/>
                <w:bottom w:val="none" w:sz="0" w:space="0" w:color="auto"/>
                <w:right w:val="none" w:sz="0" w:space="0" w:color="auto"/>
              </w:divBdr>
            </w:div>
            <w:div w:id="286663803">
              <w:marLeft w:val="0"/>
              <w:marRight w:val="0"/>
              <w:marTop w:val="0"/>
              <w:marBottom w:val="0"/>
              <w:divBdr>
                <w:top w:val="none" w:sz="0" w:space="0" w:color="auto"/>
                <w:left w:val="none" w:sz="0" w:space="0" w:color="auto"/>
                <w:bottom w:val="none" w:sz="0" w:space="0" w:color="auto"/>
                <w:right w:val="none" w:sz="0" w:space="0" w:color="auto"/>
              </w:divBdr>
            </w:div>
            <w:div w:id="599875305">
              <w:marLeft w:val="0"/>
              <w:marRight w:val="0"/>
              <w:marTop w:val="0"/>
              <w:marBottom w:val="0"/>
              <w:divBdr>
                <w:top w:val="none" w:sz="0" w:space="0" w:color="auto"/>
                <w:left w:val="none" w:sz="0" w:space="0" w:color="auto"/>
                <w:bottom w:val="none" w:sz="0" w:space="0" w:color="auto"/>
                <w:right w:val="none" w:sz="0" w:space="0" w:color="auto"/>
              </w:divBdr>
            </w:div>
            <w:div w:id="867451719">
              <w:marLeft w:val="0"/>
              <w:marRight w:val="0"/>
              <w:marTop w:val="0"/>
              <w:marBottom w:val="0"/>
              <w:divBdr>
                <w:top w:val="none" w:sz="0" w:space="0" w:color="auto"/>
                <w:left w:val="none" w:sz="0" w:space="0" w:color="auto"/>
                <w:bottom w:val="none" w:sz="0" w:space="0" w:color="auto"/>
                <w:right w:val="none" w:sz="0" w:space="0" w:color="auto"/>
              </w:divBdr>
            </w:div>
            <w:div w:id="1130127103">
              <w:marLeft w:val="0"/>
              <w:marRight w:val="0"/>
              <w:marTop w:val="0"/>
              <w:marBottom w:val="0"/>
              <w:divBdr>
                <w:top w:val="none" w:sz="0" w:space="0" w:color="auto"/>
                <w:left w:val="none" w:sz="0" w:space="0" w:color="auto"/>
                <w:bottom w:val="none" w:sz="0" w:space="0" w:color="auto"/>
                <w:right w:val="none" w:sz="0" w:space="0" w:color="auto"/>
              </w:divBdr>
            </w:div>
          </w:divsChild>
        </w:div>
        <w:div w:id="377903470">
          <w:marLeft w:val="0"/>
          <w:marRight w:val="0"/>
          <w:marTop w:val="0"/>
          <w:marBottom w:val="0"/>
          <w:divBdr>
            <w:top w:val="none" w:sz="0" w:space="0" w:color="auto"/>
            <w:left w:val="none" w:sz="0" w:space="0" w:color="auto"/>
            <w:bottom w:val="none" w:sz="0" w:space="0" w:color="auto"/>
            <w:right w:val="none" w:sz="0" w:space="0" w:color="auto"/>
          </w:divBdr>
          <w:divsChild>
            <w:div w:id="414981028">
              <w:marLeft w:val="0"/>
              <w:marRight w:val="0"/>
              <w:marTop w:val="0"/>
              <w:marBottom w:val="0"/>
              <w:divBdr>
                <w:top w:val="none" w:sz="0" w:space="0" w:color="auto"/>
                <w:left w:val="none" w:sz="0" w:space="0" w:color="auto"/>
                <w:bottom w:val="none" w:sz="0" w:space="0" w:color="auto"/>
                <w:right w:val="none" w:sz="0" w:space="0" w:color="auto"/>
              </w:divBdr>
            </w:div>
            <w:div w:id="606497889">
              <w:marLeft w:val="0"/>
              <w:marRight w:val="0"/>
              <w:marTop w:val="0"/>
              <w:marBottom w:val="0"/>
              <w:divBdr>
                <w:top w:val="none" w:sz="0" w:space="0" w:color="auto"/>
                <w:left w:val="none" w:sz="0" w:space="0" w:color="auto"/>
                <w:bottom w:val="none" w:sz="0" w:space="0" w:color="auto"/>
                <w:right w:val="none" w:sz="0" w:space="0" w:color="auto"/>
              </w:divBdr>
            </w:div>
            <w:div w:id="952908221">
              <w:marLeft w:val="0"/>
              <w:marRight w:val="0"/>
              <w:marTop w:val="0"/>
              <w:marBottom w:val="0"/>
              <w:divBdr>
                <w:top w:val="none" w:sz="0" w:space="0" w:color="auto"/>
                <w:left w:val="none" w:sz="0" w:space="0" w:color="auto"/>
                <w:bottom w:val="none" w:sz="0" w:space="0" w:color="auto"/>
                <w:right w:val="none" w:sz="0" w:space="0" w:color="auto"/>
              </w:divBdr>
            </w:div>
            <w:div w:id="988292998">
              <w:marLeft w:val="0"/>
              <w:marRight w:val="0"/>
              <w:marTop w:val="0"/>
              <w:marBottom w:val="0"/>
              <w:divBdr>
                <w:top w:val="none" w:sz="0" w:space="0" w:color="auto"/>
                <w:left w:val="none" w:sz="0" w:space="0" w:color="auto"/>
                <w:bottom w:val="none" w:sz="0" w:space="0" w:color="auto"/>
                <w:right w:val="none" w:sz="0" w:space="0" w:color="auto"/>
              </w:divBdr>
            </w:div>
            <w:div w:id="1527013828">
              <w:marLeft w:val="0"/>
              <w:marRight w:val="0"/>
              <w:marTop w:val="0"/>
              <w:marBottom w:val="0"/>
              <w:divBdr>
                <w:top w:val="none" w:sz="0" w:space="0" w:color="auto"/>
                <w:left w:val="none" w:sz="0" w:space="0" w:color="auto"/>
                <w:bottom w:val="none" w:sz="0" w:space="0" w:color="auto"/>
                <w:right w:val="none" w:sz="0" w:space="0" w:color="auto"/>
              </w:divBdr>
            </w:div>
          </w:divsChild>
        </w:div>
        <w:div w:id="797722671">
          <w:marLeft w:val="0"/>
          <w:marRight w:val="0"/>
          <w:marTop w:val="0"/>
          <w:marBottom w:val="0"/>
          <w:divBdr>
            <w:top w:val="none" w:sz="0" w:space="0" w:color="auto"/>
            <w:left w:val="none" w:sz="0" w:space="0" w:color="auto"/>
            <w:bottom w:val="none" w:sz="0" w:space="0" w:color="auto"/>
            <w:right w:val="none" w:sz="0" w:space="0" w:color="auto"/>
          </w:divBdr>
          <w:divsChild>
            <w:div w:id="146094044">
              <w:marLeft w:val="0"/>
              <w:marRight w:val="0"/>
              <w:marTop w:val="0"/>
              <w:marBottom w:val="0"/>
              <w:divBdr>
                <w:top w:val="none" w:sz="0" w:space="0" w:color="auto"/>
                <w:left w:val="none" w:sz="0" w:space="0" w:color="auto"/>
                <w:bottom w:val="none" w:sz="0" w:space="0" w:color="auto"/>
                <w:right w:val="none" w:sz="0" w:space="0" w:color="auto"/>
              </w:divBdr>
            </w:div>
            <w:div w:id="582034667">
              <w:marLeft w:val="0"/>
              <w:marRight w:val="0"/>
              <w:marTop w:val="0"/>
              <w:marBottom w:val="0"/>
              <w:divBdr>
                <w:top w:val="none" w:sz="0" w:space="0" w:color="auto"/>
                <w:left w:val="none" w:sz="0" w:space="0" w:color="auto"/>
                <w:bottom w:val="none" w:sz="0" w:space="0" w:color="auto"/>
                <w:right w:val="none" w:sz="0" w:space="0" w:color="auto"/>
              </w:divBdr>
            </w:div>
            <w:div w:id="1948003937">
              <w:marLeft w:val="0"/>
              <w:marRight w:val="0"/>
              <w:marTop w:val="0"/>
              <w:marBottom w:val="0"/>
              <w:divBdr>
                <w:top w:val="none" w:sz="0" w:space="0" w:color="auto"/>
                <w:left w:val="none" w:sz="0" w:space="0" w:color="auto"/>
                <w:bottom w:val="none" w:sz="0" w:space="0" w:color="auto"/>
                <w:right w:val="none" w:sz="0" w:space="0" w:color="auto"/>
              </w:divBdr>
            </w:div>
            <w:div w:id="2025201223">
              <w:marLeft w:val="0"/>
              <w:marRight w:val="0"/>
              <w:marTop w:val="0"/>
              <w:marBottom w:val="0"/>
              <w:divBdr>
                <w:top w:val="none" w:sz="0" w:space="0" w:color="auto"/>
                <w:left w:val="none" w:sz="0" w:space="0" w:color="auto"/>
                <w:bottom w:val="none" w:sz="0" w:space="0" w:color="auto"/>
                <w:right w:val="none" w:sz="0" w:space="0" w:color="auto"/>
              </w:divBdr>
            </w:div>
            <w:div w:id="2066445318">
              <w:marLeft w:val="0"/>
              <w:marRight w:val="0"/>
              <w:marTop w:val="0"/>
              <w:marBottom w:val="0"/>
              <w:divBdr>
                <w:top w:val="none" w:sz="0" w:space="0" w:color="auto"/>
                <w:left w:val="none" w:sz="0" w:space="0" w:color="auto"/>
                <w:bottom w:val="none" w:sz="0" w:space="0" w:color="auto"/>
                <w:right w:val="none" w:sz="0" w:space="0" w:color="auto"/>
              </w:divBdr>
            </w:div>
          </w:divsChild>
        </w:div>
        <w:div w:id="1163155535">
          <w:marLeft w:val="0"/>
          <w:marRight w:val="0"/>
          <w:marTop w:val="0"/>
          <w:marBottom w:val="0"/>
          <w:divBdr>
            <w:top w:val="none" w:sz="0" w:space="0" w:color="auto"/>
            <w:left w:val="none" w:sz="0" w:space="0" w:color="auto"/>
            <w:bottom w:val="none" w:sz="0" w:space="0" w:color="auto"/>
            <w:right w:val="none" w:sz="0" w:space="0" w:color="auto"/>
          </w:divBdr>
        </w:div>
        <w:div w:id="1215774853">
          <w:marLeft w:val="0"/>
          <w:marRight w:val="0"/>
          <w:marTop w:val="0"/>
          <w:marBottom w:val="0"/>
          <w:divBdr>
            <w:top w:val="none" w:sz="0" w:space="0" w:color="auto"/>
            <w:left w:val="none" w:sz="0" w:space="0" w:color="auto"/>
            <w:bottom w:val="none" w:sz="0" w:space="0" w:color="auto"/>
            <w:right w:val="none" w:sz="0" w:space="0" w:color="auto"/>
          </w:divBdr>
        </w:div>
        <w:div w:id="1358502632">
          <w:marLeft w:val="0"/>
          <w:marRight w:val="0"/>
          <w:marTop w:val="0"/>
          <w:marBottom w:val="0"/>
          <w:divBdr>
            <w:top w:val="none" w:sz="0" w:space="0" w:color="auto"/>
            <w:left w:val="none" w:sz="0" w:space="0" w:color="auto"/>
            <w:bottom w:val="none" w:sz="0" w:space="0" w:color="auto"/>
            <w:right w:val="none" w:sz="0" w:space="0" w:color="auto"/>
          </w:divBdr>
        </w:div>
        <w:div w:id="1492596521">
          <w:marLeft w:val="0"/>
          <w:marRight w:val="0"/>
          <w:marTop w:val="0"/>
          <w:marBottom w:val="0"/>
          <w:divBdr>
            <w:top w:val="none" w:sz="0" w:space="0" w:color="auto"/>
            <w:left w:val="none" w:sz="0" w:space="0" w:color="auto"/>
            <w:bottom w:val="none" w:sz="0" w:space="0" w:color="auto"/>
            <w:right w:val="none" w:sz="0" w:space="0" w:color="auto"/>
          </w:divBdr>
        </w:div>
        <w:div w:id="1631472408">
          <w:marLeft w:val="0"/>
          <w:marRight w:val="0"/>
          <w:marTop w:val="0"/>
          <w:marBottom w:val="0"/>
          <w:divBdr>
            <w:top w:val="none" w:sz="0" w:space="0" w:color="auto"/>
            <w:left w:val="none" w:sz="0" w:space="0" w:color="auto"/>
            <w:bottom w:val="none" w:sz="0" w:space="0" w:color="auto"/>
            <w:right w:val="none" w:sz="0" w:space="0" w:color="auto"/>
          </w:divBdr>
        </w:div>
        <w:div w:id="1829594353">
          <w:marLeft w:val="0"/>
          <w:marRight w:val="0"/>
          <w:marTop w:val="0"/>
          <w:marBottom w:val="0"/>
          <w:divBdr>
            <w:top w:val="none" w:sz="0" w:space="0" w:color="auto"/>
            <w:left w:val="none" w:sz="0" w:space="0" w:color="auto"/>
            <w:bottom w:val="none" w:sz="0" w:space="0" w:color="auto"/>
            <w:right w:val="none" w:sz="0" w:space="0" w:color="auto"/>
          </w:divBdr>
        </w:div>
      </w:divsChild>
    </w:div>
    <w:div w:id="1900558115">
      <w:bodyDiv w:val="1"/>
      <w:marLeft w:val="0"/>
      <w:marRight w:val="0"/>
      <w:marTop w:val="0"/>
      <w:marBottom w:val="0"/>
      <w:divBdr>
        <w:top w:val="none" w:sz="0" w:space="0" w:color="auto"/>
        <w:left w:val="none" w:sz="0" w:space="0" w:color="auto"/>
        <w:bottom w:val="none" w:sz="0" w:space="0" w:color="auto"/>
        <w:right w:val="none" w:sz="0" w:space="0" w:color="auto"/>
      </w:divBdr>
    </w:div>
    <w:div w:id="1907566287">
      <w:bodyDiv w:val="1"/>
      <w:marLeft w:val="0"/>
      <w:marRight w:val="0"/>
      <w:marTop w:val="0"/>
      <w:marBottom w:val="0"/>
      <w:divBdr>
        <w:top w:val="none" w:sz="0" w:space="0" w:color="auto"/>
        <w:left w:val="none" w:sz="0" w:space="0" w:color="auto"/>
        <w:bottom w:val="none" w:sz="0" w:space="0" w:color="auto"/>
        <w:right w:val="none" w:sz="0" w:space="0" w:color="auto"/>
      </w:divBdr>
    </w:div>
    <w:div w:id="1919436058">
      <w:bodyDiv w:val="1"/>
      <w:marLeft w:val="0"/>
      <w:marRight w:val="0"/>
      <w:marTop w:val="0"/>
      <w:marBottom w:val="0"/>
      <w:divBdr>
        <w:top w:val="none" w:sz="0" w:space="0" w:color="auto"/>
        <w:left w:val="none" w:sz="0" w:space="0" w:color="auto"/>
        <w:bottom w:val="none" w:sz="0" w:space="0" w:color="auto"/>
        <w:right w:val="none" w:sz="0" w:space="0" w:color="auto"/>
      </w:divBdr>
    </w:div>
    <w:div w:id="1933271398">
      <w:bodyDiv w:val="1"/>
      <w:marLeft w:val="0"/>
      <w:marRight w:val="0"/>
      <w:marTop w:val="0"/>
      <w:marBottom w:val="0"/>
      <w:divBdr>
        <w:top w:val="none" w:sz="0" w:space="0" w:color="auto"/>
        <w:left w:val="none" w:sz="0" w:space="0" w:color="auto"/>
        <w:bottom w:val="none" w:sz="0" w:space="0" w:color="auto"/>
        <w:right w:val="none" w:sz="0" w:space="0" w:color="auto"/>
      </w:divBdr>
    </w:div>
    <w:div w:id="1941718474">
      <w:bodyDiv w:val="1"/>
      <w:marLeft w:val="0"/>
      <w:marRight w:val="0"/>
      <w:marTop w:val="0"/>
      <w:marBottom w:val="0"/>
      <w:divBdr>
        <w:top w:val="none" w:sz="0" w:space="0" w:color="auto"/>
        <w:left w:val="none" w:sz="0" w:space="0" w:color="auto"/>
        <w:bottom w:val="none" w:sz="0" w:space="0" w:color="auto"/>
        <w:right w:val="none" w:sz="0" w:space="0" w:color="auto"/>
      </w:divBdr>
      <w:divsChild>
        <w:div w:id="69357114">
          <w:marLeft w:val="0"/>
          <w:marRight w:val="0"/>
          <w:marTop w:val="0"/>
          <w:marBottom w:val="0"/>
          <w:divBdr>
            <w:top w:val="none" w:sz="0" w:space="0" w:color="auto"/>
            <w:left w:val="none" w:sz="0" w:space="0" w:color="auto"/>
            <w:bottom w:val="none" w:sz="0" w:space="0" w:color="auto"/>
            <w:right w:val="none" w:sz="0" w:space="0" w:color="auto"/>
          </w:divBdr>
          <w:divsChild>
            <w:div w:id="1041394034">
              <w:marLeft w:val="0"/>
              <w:marRight w:val="0"/>
              <w:marTop w:val="0"/>
              <w:marBottom w:val="0"/>
              <w:divBdr>
                <w:top w:val="none" w:sz="0" w:space="0" w:color="auto"/>
                <w:left w:val="none" w:sz="0" w:space="0" w:color="auto"/>
                <w:bottom w:val="none" w:sz="0" w:space="0" w:color="auto"/>
                <w:right w:val="none" w:sz="0" w:space="0" w:color="auto"/>
              </w:divBdr>
            </w:div>
            <w:div w:id="1401362970">
              <w:marLeft w:val="0"/>
              <w:marRight w:val="0"/>
              <w:marTop w:val="0"/>
              <w:marBottom w:val="0"/>
              <w:divBdr>
                <w:top w:val="none" w:sz="0" w:space="0" w:color="auto"/>
                <w:left w:val="none" w:sz="0" w:space="0" w:color="auto"/>
                <w:bottom w:val="none" w:sz="0" w:space="0" w:color="auto"/>
                <w:right w:val="none" w:sz="0" w:space="0" w:color="auto"/>
              </w:divBdr>
            </w:div>
            <w:div w:id="1444226991">
              <w:marLeft w:val="0"/>
              <w:marRight w:val="0"/>
              <w:marTop w:val="0"/>
              <w:marBottom w:val="0"/>
              <w:divBdr>
                <w:top w:val="none" w:sz="0" w:space="0" w:color="auto"/>
                <w:left w:val="none" w:sz="0" w:space="0" w:color="auto"/>
                <w:bottom w:val="none" w:sz="0" w:space="0" w:color="auto"/>
                <w:right w:val="none" w:sz="0" w:space="0" w:color="auto"/>
              </w:divBdr>
            </w:div>
          </w:divsChild>
        </w:div>
        <w:div w:id="108743504">
          <w:marLeft w:val="0"/>
          <w:marRight w:val="0"/>
          <w:marTop w:val="0"/>
          <w:marBottom w:val="0"/>
          <w:divBdr>
            <w:top w:val="none" w:sz="0" w:space="0" w:color="auto"/>
            <w:left w:val="none" w:sz="0" w:space="0" w:color="auto"/>
            <w:bottom w:val="none" w:sz="0" w:space="0" w:color="auto"/>
            <w:right w:val="none" w:sz="0" w:space="0" w:color="auto"/>
          </w:divBdr>
          <w:divsChild>
            <w:div w:id="636691749">
              <w:marLeft w:val="0"/>
              <w:marRight w:val="0"/>
              <w:marTop w:val="0"/>
              <w:marBottom w:val="0"/>
              <w:divBdr>
                <w:top w:val="none" w:sz="0" w:space="0" w:color="auto"/>
                <w:left w:val="none" w:sz="0" w:space="0" w:color="auto"/>
                <w:bottom w:val="none" w:sz="0" w:space="0" w:color="auto"/>
                <w:right w:val="none" w:sz="0" w:space="0" w:color="auto"/>
              </w:divBdr>
            </w:div>
            <w:div w:id="899901357">
              <w:marLeft w:val="0"/>
              <w:marRight w:val="0"/>
              <w:marTop w:val="0"/>
              <w:marBottom w:val="0"/>
              <w:divBdr>
                <w:top w:val="none" w:sz="0" w:space="0" w:color="auto"/>
                <w:left w:val="none" w:sz="0" w:space="0" w:color="auto"/>
                <w:bottom w:val="none" w:sz="0" w:space="0" w:color="auto"/>
                <w:right w:val="none" w:sz="0" w:space="0" w:color="auto"/>
              </w:divBdr>
            </w:div>
            <w:div w:id="1103458132">
              <w:marLeft w:val="0"/>
              <w:marRight w:val="0"/>
              <w:marTop w:val="0"/>
              <w:marBottom w:val="0"/>
              <w:divBdr>
                <w:top w:val="none" w:sz="0" w:space="0" w:color="auto"/>
                <w:left w:val="none" w:sz="0" w:space="0" w:color="auto"/>
                <w:bottom w:val="none" w:sz="0" w:space="0" w:color="auto"/>
                <w:right w:val="none" w:sz="0" w:space="0" w:color="auto"/>
              </w:divBdr>
            </w:div>
            <w:div w:id="2108456820">
              <w:marLeft w:val="0"/>
              <w:marRight w:val="0"/>
              <w:marTop w:val="0"/>
              <w:marBottom w:val="0"/>
              <w:divBdr>
                <w:top w:val="none" w:sz="0" w:space="0" w:color="auto"/>
                <w:left w:val="none" w:sz="0" w:space="0" w:color="auto"/>
                <w:bottom w:val="none" w:sz="0" w:space="0" w:color="auto"/>
                <w:right w:val="none" w:sz="0" w:space="0" w:color="auto"/>
              </w:divBdr>
            </w:div>
          </w:divsChild>
        </w:div>
        <w:div w:id="1354766771">
          <w:marLeft w:val="0"/>
          <w:marRight w:val="0"/>
          <w:marTop w:val="0"/>
          <w:marBottom w:val="0"/>
          <w:divBdr>
            <w:top w:val="none" w:sz="0" w:space="0" w:color="auto"/>
            <w:left w:val="none" w:sz="0" w:space="0" w:color="auto"/>
            <w:bottom w:val="none" w:sz="0" w:space="0" w:color="auto"/>
            <w:right w:val="none" w:sz="0" w:space="0" w:color="auto"/>
          </w:divBdr>
          <w:divsChild>
            <w:div w:id="1499036733">
              <w:marLeft w:val="0"/>
              <w:marRight w:val="0"/>
              <w:marTop w:val="0"/>
              <w:marBottom w:val="0"/>
              <w:divBdr>
                <w:top w:val="none" w:sz="0" w:space="0" w:color="auto"/>
                <w:left w:val="none" w:sz="0" w:space="0" w:color="auto"/>
                <w:bottom w:val="none" w:sz="0" w:space="0" w:color="auto"/>
                <w:right w:val="none" w:sz="0" w:space="0" w:color="auto"/>
              </w:divBdr>
            </w:div>
            <w:div w:id="2061398183">
              <w:marLeft w:val="0"/>
              <w:marRight w:val="0"/>
              <w:marTop w:val="0"/>
              <w:marBottom w:val="0"/>
              <w:divBdr>
                <w:top w:val="none" w:sz="0" w:space="0" w:color="auto"/>
                <w:left w:val="none" w:sz="0" w:space="0" w:color="auto"/>
                <w:bottom w:val="none" w:sz="0" w:space="0" w:color="auto"/>
                <w:right w:val="none" w:sz="0" w:space="0" w:color="auto"/>
              </w:divBdr>
            </w:div>
          </w:divsChild>
        </w:div>
        <w:div w:id="1444375643">
          <w:marLeft w:val="0"/>
          <w:marRight w:val="0"/>
          <w:marTop w:val="0"/>
          <w:marBottom w:val="0"/>
          <w:divBdr>
            <w:top w:val="none" w:sz="0" w:space="0" w:color="auto"/>
            <w:left w:val="none" w:sz="0" w:space="0" w:color="auto"/>
            <w:bottom w:val="none" w:sz="0" w:space="0" w:color="auto"/>
            <w:right w:val="none" w:sz="0" w:space="0" w:color="auto"/>
          </w:divBdr>
          <w:divsChild>
            <w:div w:id="755831355">
              <w:marLeft w:val="0"/>
              <w:marRight w:val="0"/>
              <w:marTop w:val="0"/>
              <w:marBottom w:val="0"/>
              <w:divBdr>
                <w:top w:val="none" w:sz="0" w:space="0" w:color="auto"/>
                <w:left w:val="none" w:sz="0" w:space="0" w:color="auto"/>
                <w:bottom w:val="none" w:sz="0" w:space="0" w:color="auto"/>
                <w:right w:val="none" w:sz="0" w:space="0" w:color="auto"/>
              </w:divBdr>
            </w:div>
            <w:div w:id="1013921745">
              <w:marLeft w:val="0"/>
              <w:marRight w:val="0"/>
              <w:marTop w:val="0"/>
              <w:marBottom w:val="0"/>
              <w:divBdr>
                <w:top w:val="none" w:sz="0" w:space="0" w:color="auto"/>
                <w:left w:val="none" w:sz="0" w:space="0" w:color="auto"/>
                <w:bottom w:val="none" w:sz="0" w:space="0" w:color="auto"/>
                <w:right w:val="none" w:sz="0" w:space="0" w:color="auto"/>
              </w:divBdr>
            </w:div>
            <w:div w:id="1904680832">
              <w:marLeft w:val="0"/>
              <w:marRight w:val="0"/>
              <w:marTop w:val="0"/>
              <w:marBottom w:val="0"/>
              <w:divBdr>
                <w:top w:val="none" w:sz="0" w:space="0" w:color="auto"/>
                <w:left w:val="none" w:sz="0" w:space="0" w:color="auto"/>
                <w:bottom w:val="none" w:sz="0" w:space="0" w:color="auto"/>
                <w:right w:val="none" w:sz="0" w:space="0" w:color="auto"/>
              </w:divBdr>
            </w:div>
            <w:div w:id="2015298289">
              <w:marLeft w:val="0"/>
              <w:marRight w:val="0"/>
              <w:marTop w:val="0"/>
              <w:marBottom w:val="0"/>
              <w:divBdr>
                <w:top w:val="none" w:sz="0" w:space="0" w:color="auto"/>
                <w:left w:val="none" w:sz="0" w:space="0" w:color="auto"/>
                <w:bottom w:val="none" w:sz="0" w:space="0" w:color="auto"/>
                <w:right w:val="none" w:sz="0" w:space="0" w:color="auto"/>
              </w:divBdr>
            </w:div>
          </w:divsChild>
        </w:div>
        <w:div w:id="1663653194">
          <w:marLeft w:val="0"/>
          <w:marRight w:val="0"/>
          <w:marTop w:val="0"/>
          <w:marBottom w:val="0"/>
          <w:divBdr>
            <w:top w:val="none" w:sz="0" w:space="0" w:color="auto"/>
            <w:left w:val="none" w:sz="0" w:space="0" w:color="auto"/>
            <w:bottom w:val="none" w:sz="0" w:space="0" w:color="auto"/>
            <w:right w:val="none" w:sz="0" w:space="0" w:color="auto"/>
          </w:divBdr>
          <w:divsChild>
            <w:div w:id="937641055">
              <w:marLeft w:val="0"/>
              <w:marRight w:val="0"/>
              <w:marTop w:val="0"/>
              <w:marBottom w:val="0"/>
              <w:divBdr>
                <w:top w:val="none" w:sz="0" w:space="0" w:color="auto"/>
                <w:left w:val="none" w:sz="0" w:space="0" w:color="auto"/>
                <w:bottom w:val="none" w:sz="0" w:space="0" w:color="auto"/>
                <w:right w:val="none" w:sz="0" w:space="0" w:color="auto"/>
              </w:divBdr>
            </w:div>
            <w:div w:id="951522619">
              <w:marLeft w:val="0"/>
              <w:marRight w:val="0"/>
              <w:marTop w:val="0"/>
              <w:marBottom w:val="0"/>
              <w:divBdr>
                <w:top w:val="none" w:sz="0" w:space="0" w:color="auto"/>
                <w:left w:val="none" w:sz="0" w:space="0" w:color="auto"/>
                <w:bottom w:val="none" w:sz="0" w:space="0" w:color="auto"/>
                <w:right w:val="none" w:sz="0" w:space="0" w:color="auto"/>
              </w:divBdr>
            </w:div>
            <w:div w:id="1147943179">
              <w:marLeft w:val="0"/>
              <w:marRight w:val="0"/>
              <w:marTop w:val="0"/>
              <w:marBottom w:val="0"/>
              <w:divBdr>
                <w:top w:val="none" w:sz="0" w:space="0" w:color="auto"/>
                <w:left w:val="none" w:sz="0" w:space="0" w:color="auto"/>
                <w:bottom w:val="none" w:sz="0" w:space="0" w:color="auto"/>
                <w:right w:val="none" w:sz="0" w:space="0" w:color="auto"/>
              </w:divBdr>
            </w:div>
            <w:div w:id="2119329428">
              <w:marLeft w:val="0"/>
              <w:marRight w:val="0"/>
              <w:marTop w:val="0"/>
              <w:marBottom w:val="0"/>
              <w:divBdr>
                <w:top w:val="none" w:sz="0" w:space="0" w:color="auto"/>
                <w:left w:val="none" w:sz="0" w:space="0" w:color="auto"/>
                <w:bottom w:val="none" w:sz="0" w:space="0" w:color="auto"/>
                <w:right w:val="none" w:sz="0" w:space="0" w:color="auto"/>
              </w:divBdr>
            </w:div>
          </w:divsChild>
        </w:div>
        <w:div w:id="1772358164">
          <w:marLeft w:val="0"/>
          <w:marRight w:val="0"/>
          <w:marTop w:val="0"/>
          <w:marBottom w:val="0"/>
          <w:divBdr>
            <w:top w:val="none" w:sz="0" w:space="0" w:color="auto"/>
            <w:left w:val="none" w:sz="0" w:space="0" w:color="auto"/>
            <w:bottom w:val="none" w:sz="0" w:space="0" w:color="auto"/>
            <w:right w:val="none" w:sz="0" w:space="0" w:color="auto"/>
          </w:divBdr>
          <w:divsChild>
            <w:div w:id="263851619">
              <w:marLeft w:val="0"/>
              <w:marRight w:val="0"/>
              <w:marTop w:val="0"/>
              <w:marBottom w:val="0"/>
              <w:divBdr>
                <w:top w:val="none" w:sz="0" w:space="0" w:color="auto"/>
                <w:left w:val="none" w:sz="0" w:space="0" w:color="auto"/>
                <w:bottom w:val="none" w:sz="0" w:space="0" w:color="auto"/>
                <w:right w:val="none" w:sz="0" w:space="0" w:color="auto"/>
              </w:divBdr>
            </w:div>
            <w:div w:id="430666795">
              <w:marLeft w:val="0"/>
              <w:marRight w:val="0"/>
              <w:marTop w:val="0"/>
              <w:marBottom w:val="0"/>
              <w:divBdr>
                <w:top w:val="none" w:sz="0" w:space="0" w:color="auto"/>
                <w:left w:val="none" w:sz="0" w:space="0" w:color="auto"/>
                <w:bottom w:val="none" w:sz="0" w:space="0" w:color="auto"/>
                <w:right w:val="none" w:sz="0" w:space="0" w:color="auto"/>
              </w:divBdr>
            </w:div>
            <w:div w:id="1361973836">
              <w:marLeft w:val="0"/>
              <w:marRight w:val="0"/>
              <w:marTop w:val="0"/>
              <w:marBottom w:val="0"/>
              <w:divBdr>
                <w:top w:val="none" w:sz="0" w:space="0" w:color="auto"/>
                <w:left w:val="none" w:sz="0" w:space="0" w:color="auto"/>
                <w:bottom w:val="none" w:sz="0" w:space="0" w:color="auto"/>
                <w:right w:val="none" w:sz="0" w:space="0" w:color="auto"/>
              </w:divBdr>
            </w:div>
            <w:div w:id="2103723537">
              <w:marLeft w:val="0"/>
              <w:marRight w:val="0"/>
              <w:marTop w:val="0"/>
              <w:marBottom w:val="0"/>
              <w:divBdr>
                <w:top w:val="none" w:sz="0" w:space="0" w:color="auto"/>
                <w:left w:val="none" w:sz="0" w:space="0" w:color="auto"/>
                <w:bottom w:val="none" w:sz="0" w:space="0" w:color="auto"/>
                <w:right w:val="none" w:sz="0" w:space="0" w:color="auto"/>
              </w:divBdr>
            </w:div>
          </w:divsChild>
        </w:div>
        <w:div w:id="1970013721">
          <w:marLeft w:val="0"/>
          <w:marRight w:val="0"/>
          <w:marTop w:val="0"/>
          <w:marBottom w:val="0"/>
          <w:divBdr>
            <w:top w:val="none" w:sz="0" w:space="0" w:color="auto"/>
            <w:left w:val="none" w:sz="0" w:space="0" w:color="auto"/>
            <w:bottom w:val="none" w:sz="0" w:space="0" w:color="auto"/>
            <w:right w:val="none" w:sz="0" w:space="0" w:color="auto"/>
          </w:divBdr>
          <w:divsChild>
            <w:div w:id="15084144">
              <w:marLeft w:val="0"/>
              <w:marRight w:val="0"/>
              <w:marTop w:val="0"/>
              <w:marBottom w:val="0"/>
              <w:divBdr>
                <w:top w:val="none" w:sz="0" w:space="0" w:color="auto"/>
                <w:left w:val="none" w:sz="0" w:space="0" w:color="auto"/>
                <w:bottom w:val="none" w:sz="0" w:space="0" w:color="auto"/>
                <w:right w:val="none" w:sz="0" w:space="0" w:color="auto"/>
              </w:divBdr>
            </w:div>
            <w:div w:id="403843538">
              <w:marLeft w:val="0"/>
              <w:marRight w:val="0"/>
              <w:marTop w:val="0"/>
              <w:marBottom w:val="0"/>
              <w:divBdr>
                <w:top w:val="none" w:sz="0" w:space="0" w:color="auto"/>
                <w:left w:val="none" w:sz="0" w:space="0" w:color="auto"/>
                <w:bottom w:val="none" w:sz="0" w:space="0" w:color="auto"/>
                <w:right w:val="none" w:sz="0" w:space="0" w:color="auto"/>
              </w:divBdr>
            </w:div>
            <w:div w:id="947353078">
              <w:marLeft w:val="0"/>
              <w:marRight w:val="0"/>
              <w:marTop w:val="0"/>
              <w:marBottom w:val="0"/>
              <w:divBdr>
                <w:top w:val="none" w:sz="0" w:space="0" w:color="auto"/>
                <w:left w:val="none" w:sz="0" w:space="0" w:color="auto"/>
                <w:bottom w:val="none" w:sz="0" w:space="0" w:color="auto"/>
                <w:right w:val="none" w:sz="0" w:space="0" w:color="auto"/>
              </w:divBdr>
            </w:div>
            <w:div w:id="1340082376">
              <w:marLeft w:val="0"/>
              <w:marRight w:val="0"/>
              <w:marTop w:val="0"/>
              <w:marBottom w:val="0"/>
              <w:divBdr>
                <w:top w:val="none" w:sz="0" w:space="0" w:color="auto"/>
                <w:left w:val="none" w:sz="0" w:space="0" w:color="auto"/>
                <w:bottom w:val="none" w:sz="0" w:space="0" w:color="auto"/>
                <w:right w:val="none" w:sz="0" w:space="0" w:color="auto"/>
              </w:divBdr>
            </w:div>
            <w:div w:id="1695570075">
              <w:marLeft w:val="0"/>
              <w:marRight w:val="0"/>
              <w:marTop w:val="0"/>
              <w:marBottom w:val="0"/>
              <w:divBdr>
                <w:top w:val="none" w:sz="0" w:space="0" w:color="auto"/>
                <w:left w:val="none" w:sz="0" w:space="0" w:color="auto"/>
                <w:bottom w:val="none" w:sz="0" w:space="0" w:color="auto"/>
                <w:right w:val="none" w:sz="0" w:space="0" w:color="auto"/>
              </w:divBdr>
            </w:div>
          </w:divsChild>
        </w:div>
        <w:div w:id="2011372438">
          <w:marLeft w:val="0"/>
          <w:marRight w:val="0"/>
          <w:marTop w:val="0"/>
          <w:marBottom w:val="0"/>
          <w:divBdr>
            <w:top w:val="none" w:sz="0" w:space="0" w:color="auto"/>
            <w:left w:val="none" w:sz="0" w:space="0" w:color="auto"/>
            <w:bottom w:val="none" w:sz="0" w:space="0" w:color="auto"/>
            <w:right w:val="none" w:sz="0" w:space="0" w:color="auto"/>
          </w:divBdr>
          <w:divsChild>
            <w:div w:id="91321215">
              <w:marLeft w:val="0"/>
              <w:marRight w:val="0"/>
              <w:marTop w:val="0"/>
              <w:marBottom w:val="0"/>
              <w:divBdr>
                <w:top w:val="none" w:sz="0" w:space="0" w:color="auto"/>
                <w:left w:val="none" w:sz="0" w:space="0" w:color="auto"/>
                <w:bottom w:val="none" w:sz="0" w:space="0" w:color="auto"/>
                <w:right w:val="none" w:sz="0" w:space="0" w:color="auto"/>
              </w:divBdr>
            </w:div>
            <w:div w:id="171644833">
              <w:marLeft w:val="0"/>
              <w:marRight w:val="0"/>
              <w:marTop w:val="0"/>
              <w:marBottom w:val="0"/>
              <w:divBdr>
                <w:top w:val="none" w:sz="0" w:space="0" w:color="auto"/>
                <w:left w:val="none" w:sz="0" w:space="0" w:color="auto"/>
                <w:bottom w:val="none" w:sz="0" w:space="0" w:color="auto"/>
                <w:right w:val="none" w:sz="0" w:space="0" w:color="auto"/>
              </w:divBdr>
            </w:div>
            <w:div w:id="1100488352">
              <w:marLeft w:val="0"/>
              <w:marRight w:val="0"/>
              <w:marTop w:val="0"/>
              <w:marBottom w:val="0"/>
              <w:divBdr>
                <w:top w:val="none" w:sz="0" w:space="0" w:color="auto"/>
                <w:left w:val="none" w:sz="0" w:space="0" w:color="auto"/>
                <w:bottom w:val="none" w:sz="0" w:space="0" w:color="auto"/>
                <w:right w:val="none" w:sz="0" w:space="0" w:color="auto"/>
              </w:divBdr>
            </w:div>
            <w:div w:id="21355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1416">
      <w:bodyDiv w:val="1"/>
      <w:marLeft w:val="0"/>
      <w:marRight w:val="0"/>
      <w:marTop w:val="0"/>
      <w:marBottom w:val="0"/>
      <w:divBdr>
        <w:top w:val="none" w:sz="0" w:space="0" w:color="auto"/>
        <w:left w:val="none" w:sz="0" w:space="0" w:color="auto"/>
        <w:bottom w:val="none" w:sz="0" w:space="0" w:color="auto"/>
        <w:right w:val="none" w:sz="0" w:space="0" w:color="auto"/>
      </w:divBdr>
      <w:divsChild>
        <w:div w:id="165900200">
          <w:marLeft w:val="0"/>
          <w:marRight w:val="0"/>
          <w:marTop w:val="0"/>
          <w:marBottom w:val="0"/>
          <w:divBdr>
            <w:top w:val="none" w:sz="0" w:space="0" w:color="auto"/>
            <w:left w:val="none" w:sz="0" w:space="0" w:color="auto"/>
            <w:bottom w:val="none" w:sz="0" w:space="0" w:color="auto"/>
            <w:right w:val="none" w:sz="0" w:space="0" w:color="auto"/>
          </w:divBdr>
        </w:div>
        <w:div w:id="667560178">
          <w:marLeft w:val="0"/>
          <w:marRight w:val="0"/>
          <w:marTop w:val="0"/>
          <w:marBottom w:val="0"/>
          <w:divBdr>
            <w:top w:val="none" w:sz="0" w:space="0" w:color="auto"/>
            <w:left w:val="none" w:sz="0" w:space="0" w:color="auto"/>
            <w:bottom w:val="none" w:sz="0" w:space="0" w:color="auto"/>
            <w:right w:val="none" w:sz="0" w:space="0" w:color="auto"/>
          </w:divBdr>
        </w:div>
        <w:div w:id="746918849">
          <w:marLeft w:val="0"/>
          <w:marRight w:val="0"/>
          <w:marTop w:val="0"/>
          <w:marBottom w:val="0"/>
          <w:divBdr>
            <w:top w:val="none" w:sz="0" w:space="0" w:color="auto"/>
            <w:left w:val="none" w:sz="0" w:space="0" w:color="auto"/>
            <w:bottom w:val="none" w:sz="0" w:space="0" w:color="auto"/>
            <w:right w:val="none" w:sz="0" w:space="0" w:color="auto"/>
          </w:divBdr>
        </w:div>
        <w:div w:id="842476939">
          <w:marLeft w:val="0"/>
          <w:marRight w:val="0"/>
          <w:marTop w:val="0"/>
          <w:marBottom w:val="0"/>
          <w:divBdr>
            <w:top w:val="none" w:sz="0" w:space="0" w:color="auto"/>
            <w:left w:val="none" w:sz="0" w:space="0" w:color="auto"/>
            <w:bottom w:val="none" w:sz="0" w:space="0" w:color="auto"/>
            <w:right w:val="none" w:sz="0" w:space="0" w:color="auto"/>
          </w:divBdr>
        </w:div>
        <w:div w:id="888538899">
          <w:marLeft w:val="0"/>
          <w:marRight w:val="0"/>
          <w:marTop w:val="0"/>
          <w:marBottom w:val="0"/>
          <w:divBdr>
            <w:top w:val="none" w:sz="0" w:space="0" w:color="auto"/>
            <w:left w:val="none" w:sz="0" w:space="0" w:color="auto"/>
            <w:bottom w:val="none" w:sz="0" w:space="0" w:color="auto"/>
            <w:right w:val="none" w:sz="0" w:space="0" w:color="auto"/>
          </w:divBdr>
        </w:div>
        <w:div w:id="925697705">
          <w:marLeft w:val="0"/>
          <w:marRight w:val="0"/>
          <w:marTop w:val="0"/>
          <w:marBottom w:val="0"/>
          <w:divBdr>
            <w:top w:val="none" w:sz="0" w:space="0" w:color="auto"/>
            <w:left w:val="none" w:sz="0" w:space="0" w:color="auto"/>
            <w:bottom w:val="none" w:sz="0" w:space="0" w:color="auto"/>
            <w:right w:val="none" w:sz="0" w:space="0" w:color="auto"/>
          </w:divBdr>
        </w:div>
        <w:div w:id="1348631320">
          <w:marLeft w:val="0"/>
          <w:marRight w:val="0"/>
          <w:marTop w:val="0"/>
          <w:marBottom w:val="0"/>
          <w:divBdr>
            <w:top w:val="none" w:sz="0" w:space="0" w:color="auto"/>
            <w:left w:val="none" w:sz="0" w:space="0" w:color="auto"/>
            <w:bottom w:val="none" w:sz="0" w:space="0" w:color="auto"/>
            <w:right w:val="none" w:sz="0" w:space="0" w:color="auto"/>
          </w:divBdr>
        </w:div>
        <w:div w:id="1550220783">
          <w:marLeft w:val="0"/>
          <w:marRight w:val="0"/>
          <w:marTop w:val="0"/>
          <w:marBottom w:val="0"/>
          <w:divBdr>
            <w:top w:val="none" w:sz="0" w:space="0" w:color="auto"/>
            <w:left w:val="none" w:sz="0" w:space="0" w:color="auto"/>
            <w:bottom w:val="none" w:sz="0" w:space="0" w:color="auto"/>
            <w:right w:val="none" w:sz="0" w:space="0" w:color="auto"/>
          </w:divBdr>
        </w:div>
        <w:div w:id="1553154897">
          <w:marLeft w:val="0"/>
          <w:marRight w:val="0"/>
          <w:marTop w:val="0"/>
          <w:marBottom w:val="0"/>
          <w:divBdr>
            <w:top w:val="none" w:sz="0" w:space="0" w:color="auto"/>
            <w:left w:val="none" w:sz="0" w:space="0" w:color="auto"/>
            <w:bottom w:val="none" w:sz="0" w:space="0" w:color="auto"/>
            <w:right w:val="none" w:sz="0" w:space="0" w:color="auto"/>
          </w:divBdr>
        </w:div>
        <w:div w:id="1610971744">
          <w:marLeft w:val="0"/>
          <w:marRight w:val="0"/>
          <w:marTop w:val="0"/>
          <w:marBottom w:val="0"/>
          <w:divBdr>
            <w:top w:val="none" w:sz="0" w:space="0" w:color="auto"/>
            <w:left w:val="none" w:sz="0" w:space="0" w:color="auto"/>
            <w:bottom w:val="none" w:sz="0" w:space="0" w:color="auto"/>
            <w:right w:val="none" w:sz="0" w:space="0" w:color="auto"/>
          </w:divBdr>
        </w:div>
        <w:div w:id="1707369919">
          <w:marLeft w:val="0"/>
          <w:marRight w:val="0"/>
          <w:marTop w:val="0"/>
          <w:marBottom w:val="0"/>
          <w:divBdr>
            <w:top w:val="none" w:sz="0" w:space="0" w:color="auto"/>
            <w:left w:val="none" w:sz="0" w:space="0" w:color="auto"/>
            <w:bottom w:val="none" w:sz="0" w:space="0" w:color="auto"/>
            <w:right w:val="none" w:sz="0" w:space="0" w:color="auto"/>
          </w:divBdr>
        </w:div>
        <w:div w:id="1862284417">
          <w:marLeft w:val="0"/>
          <w:marRight w:val="0"/>
          <w:marTop w:val="0"/>
          <w:marBottom w:val="0"/>
          <w:divBdr>
            <w:top w:val="none" w:sz="0" w:space="0" w:color="auto"/>
            <w:left w:val="none" w:sz="0" w:space="0" w:color="auto"/>
            <w:bottom w:val="none" w:sz="0" w:space="0" w:color="auto"/>
            <w:right w:val="none" w:sz="0" w:space="0" w:color="auto"/>
          </w:divBdr>
        </w:div>
        <w:div w:id="1880123397">
          <w:marLeft w:val="0"/>
          <w:marRight w:val="0"/>
          <w:marTop w:val="0"/>
          <w:marBottom w:val="0"/>
          <w:divBdr>
            <w:top w:val="none" w:sz="0" w:space="0" w:color="auto"/>
            <w:left w:val="none" w:sz="0" w:space="0" w:color="auto"/>
            <w:bottom w:val="none" w:sz="0" w:space="0" w:color="auto"/>
            <w:right w:val="none" w:sz="0" w:space="0" w:color="auto"/>
          </w:divBdr>
        </w:div>
        <w:div w:id="2034112495">
          <w:marLeft w:val="0"/>
          <w:marRight w:val="0"/>
          <w:marTop w:val="0"/>
          <w:marBottom w:val="0"/>
          <w:divBdr>
            <w:top w:val="none" w:sz="0" w:space="0" w:color="auto"/>
            <w:left w:val="none" w:sz="0" w:space="0" w:color="auto"/>
            <w:bottom w:val="none" w:sz="0" w:space="0" w:color="auto"/>
            <w:right w:val="none" w:sz="0" w:space="0" w:color="auto"/>
          </w:divBdr>
        </w:div>
        <w:div w:id="2041347728">
          <w:marLeft w:val="0"/>
          <w:marRight w:val="0"/>
          <w:marTop w:val="0"/>
          <w:marBottom w:val="0"/>
          <w:divBdr>
            <w:top w:val="none" w:sz="0" w:space="0" w:color="auto"/>
            <w:left w:val="none" w:sz="0" w:space="0" w:color="auto"/>
            <w:bottom w:val="none" w:sz="0" w:space="0" w:color="auto"/>
            <w:right w:val="none" w:sz="0" w:space="0" w:color="auto"/>
          </w:divBdr>
        </w:div>
        <w:div w:id="2057585621">
          <w:marLeft w:val="0"/>
          <w:marRight w:val="0"/>
          <w:marTop w:val="0"/>
          <w:marBottom w:val="0"/>
          <w:divBdr>
            <w:top w:val="none" w:sz="0" w:space="0" w:color="auto"/>
            <w:left w:val="none" w:sz="0" w:space="0" w:color="auto"/>
            <w:bottom w:val="none" w:sz="0" w:space="0" w:color="auto"/>
            <w:right w:val="none" w:sz="0" w:space="0" w:color="auto"/>
          </w:divBdr>
        </w:div>
      </w:divsChild>
    </w:div>
    <w:div w:id="1953780917">
      <w:bodyDiv w:val="1"/>
      <w:marLeft w:val="0"/>
      <w:marRight w:val="0"/>
      <w:marTop w:val="0"/>
      <w:marBottom w:val="0"/>
      <w:divBdr>
        <w:top w:val="none" w:sz="0" w:space="0" w:color="auto"/>
        <w:left w:val="none" w:sz="0" w:space="0" w:color="auto"/>
        <w:bottom w:val="none" w:sz="0" w:space="0" w:color="auto"/>
        <w:right w:val="none" w:sz="0" w:space="0" w:color="auto"/>
      </w:divBdr>
      <w:divsChild>
        <w:div w:id="14623852">
          <w:marLeft w:val="0"/>
          <w:marRight w:val="0"/>
          <w:marTop w:val="0"/>
          <w:marBottom w:val="0"/>
          <w:divBdr>
            <w:top w:val="none" w:sz="0" w:space="0" w:color="auto"/>
            <w:left w:val="none" w:sz="0" w:space="0" w:color="auto"/>
            <w:bottom w:val="none" w:sz="0" w:space="0" w:color="auto"/>
            <w:right w:val="none" w:sz="0" w:space="0" w:color="auto"/>
          </w:divBdr>
          <w:divsChild>
            <w:div w:id="1397630909">
              <w:marLeft w:val="0"/>
              <w:marRight w:val="0"/>
              <w:marTop w:val="0"/>
              <w:marBottom w:val="0"/>
              <w:divBdr>
                <w:top w:val="none" w:sz="0" w:space="0" w:color="auto"/>
                <w:left w:val="none" w:sz="0" w:space="0" w:color="auto"/>
                <w:bottom w:val="none" w:sz="0" w:space="0" w:color="auto"/>
                <w:right w:val="none" w:sz="0" w:space="0" w:color="auto"/>
              </w:divBdr>
            </w:div>
          </w:divsChild>
        </w:div>
        <w:div w:id="33116149">
          <w:marLeft w:val="0"/>
          <w:marRight w:val="0"/>
          <w:marTop w:val="0"/>
          <w:marBottom w:val="0"/>
          <w:divBdr>
            <w:top w:val="none" w:sz="0" w:space="0" w:color="auto"/>
            <w:left w:val="none" w:sz="0" w:space="0" w:color="auto"/>
            <w:bottom w:val="none" w:sz="0" w:space="0" w:color="auto"/>
            <w:right w:val="none" w:sz="0" w:space="0" w:color="auto"/>
          </w:divBdr>
          <w:divsChild>
            <w:div w:id="1912740395">
              <w:marLeft w:val="0"/>
              <w:marRight w:val="0"/>
              <w:marTop w:val="0"/>
              <w:marBottom w:val="0"/>
              <w:divBdr>
                <w:top w:val="none" w:sz="0" w:space="0" w:color="auto"/>
                <w:left w:val="none" w:sz="0" w:space="0" w:color="auto"/>
                <w:bottom w:val="none" w:sz="0" w:space="0" w:color="auto"/>
                <w:right w:val="none" w:sz="0" w:space="0" w:color="auto"/>
              </w:divBdr>
            </w:div>
          </w:divsChild>
        </w:div>
        <w:div w:id="56905456">
          <w:marLeft w:val="0"/>
          <w:marRight w:val="0"/>
          <w:marTop w:val="0"/>
          <w:marBottom w:val="0"/>
          <w:divBdr>
            <w:top w:val="none" w:sz="0" w:space="0" w:color="auto"/>
            <w:left w:val="none" w:sz="0" w:space="0" w:color="auto"/>
            <w:bottom w:val="none" w:sz="0" w:space="0" w:color="auto"/>
            <w:right w:val="none" w:sz="0" w:space="0" w:color="auto"/>
          </w:divBdr>
          <w:divsChild>
            <w:div w:id="1678651515">
              <w:marLeft w:val="0"/>
              <w:marRight w:val="0"/>
              <w:marTop w:val="0"/>
              <w:marBottom w:val="0"/>
              <w:divBdr>
                <w:top w:val="none" w:sz="0" w:space="0" w:color="auto"/>
                <w:left w:val="none" w:sz="0" w:space="0" w:color="auto"/>
                <w:bottom w:val="none" w:sz="0" w:space="0" w:color="auto"/>
                <w:right w:val="none" w:sz="0" w:space="0" w:color="auto"/>
              </w:divBdr>
            </w:div>
          </w:divsChild>
        </w:div>
        <w:div w:id="66852767">
          <w:marLeft w:val="0"/>
          <w:marRight w:val="0"/>
          <w:marTop w:val="0"/>
          <w:marBottom w:val="0"/>
          <w:divBdr>
            <w:top w:val="none" w:sz="0" w:space="0" w:color="auto"/>
            <w:left w:val="none" w:sz="0" w:space="0" w:color="auto"/>
            <w:bottom w:val="none" w:sz="0" w:space="0" w:color="auto"/>
            <w:right w:val="none" w:sz="0" w:space="0" w:color="auto"/>
          </w:divBdr>
          <w:divsChild>
            <w:div w:id="2042170856">
              <w:marLeft w:val="0"/>
              <w:marRight w:val="0"/>
              <w:marTop w:val="0"/>
              <w:marBottom w:val="0"/>
              <w:divBdr>
                <w:top w:val="none" w:sz="0" w:space="0" w:color="auto"/>
                <w:left w:val="none" w:sz="0" w:space="0" w:color="auto"/>
                <w:bottom w:val="none" w:sz="0" w:space="0" w:color="auto"/>
                <w:right w:val="none" w:sz="0" w:space="0" w:color="auto"/>
              </w:divBdr>
            </w:div>
          </w:divsChild>
        </w:div>
        <w:div w:id="69085332">
          <w:marLeft w:val="0"/>
          <w:marRight w:val="0"/>
          <w:marTop w:val="0"/>
          <w:marBottom w:val="0"/>
          <w:divBdr>
            <w:top w:val="none" w:sz="0" w:space="0" w:color="auto"/>
            <w:left w:val="none" w:sz="0" w:space="0" w:color="auto"/>
            <w:bottom w:val="none" w:sz="0" w:space="0" w:color="auto"/>
            <w:right w:val="none" w:sz="0" w:space="0" w:color="auto"/>
          </w:divBdr>
          <w:divsChild>
            <w:div w:id="938097778">
              <w:marLeft w:val="0"/>
              <w:marRight w:val="0"/>
              <w:marTop w:val="0"/>
              <w:marBottom w:val="0"/>
              <w:divBdr>
                <w:top w:val="none" w:sz="0" w:space="0" w:color="auto"/>
                <w:left w:val="none" w:sz="0" w:space="0" w:color="auto"/>
                <w:bottom w:val="none" w:sz="0" w:space="0" w:color="auto"/>
                <w:right w:val="none" w:sz="0" w:space="0" w:color="auto"/>
              </w:divBdr>
            </w:div>
          </w:divsChild>
        </w:div>
        <w:div w:id="132991217">
          <w:marLeft w:val="0"/>
          <w:marRight w:val="0"/>
          <w:marTop w:val="0"/>
          <w:marBottom w:val="0"/>
          <w:divBdr>
            <w:top w:val="none" w:sz="0" w:space="0" w:color="auto"/>
            <w:left w:val="none" w:sz="0" w:space="0" w:color="auto"/>
            <w:bottom w:val="none" w:sz="0" w:space="0" w:color="auto"/>
            <w:right w:val="none" w:sz="0" w:space="0" w:color="auto"/>
          </w:divBdr>
          <w:divsChild>
            <w:div w:id="309405766">
              <w:marLeft w:val="0"/>
              <w:marRight w:val="0"/>
              <w:marTop w:val="0"/>
              <w:marBottom w:val="0"/>
              <w:divBdr>
                <w:top w:val="none" w:sz="0" w:space="0" w:color="auto"/>
                <w:left w:val="none" w:sz="0" w:space="0" w:color="auto"/>
                <w:bottom w:val="none" w:sz="0" w:space="0" w:color="auto"/>
                <w:right w:val="none" w:sz="0" w:space="0" w:color="auto"/>
              </w:divBdr>
            </w:div>
          </w:divsChild>
        </w:div>
        <w:div w:id="136723252">
          <w:marLeft w:val="0"/>
          <w:marRight w:val="0"/>
          <w:marTop w:val="0"/>
          <w:marBottom w:val="0"/>
          <w:divBdr>
            <w:top w:val="none" w:sz="0" w:space="0" w:color="auto"/>
            <w:left w:val="none" w:sz="0" w:space="0" w:color="auto"/>
            <w:bottom w:val="none" w:sz="0" w:space="0" w:color="auto"/>
            <w:right w:val="none" w:sz="0" w:space="0" w:color="auto"/>
          </w:divBdr>
          <w:divsChild>
            <w:div w:id="1291208449">
              <w:marLeft w:val="0"/>
              <w:marRight w:val="0"/>
              <w:marTop w:val="0"/>
              <w:marBottom w:val="0"/>
              <w:divBdr>
                <w:top w:val="none" w:sz="0" w:space="0" w:color="auto"/>
                <w:left w:val="none" w:sz="0" w:space="0" w:color="auto"/>
                <w:bottom w:val="none" w:sz="0" w:space="0" w:color="auto"/>
                <w:right w:val="none" w:sz="0" w:space="0" w:color="auto"/>
              </w:divBdr>
            </w:div>
          </w:divsChild>
        </w:div>
        <w:div w:id="143398380">
          <w:marLeft w:val="0"/>
          <w:marRight w:val="0"/>
          <w:marTop w:val="0"/>
          <w:marBottom w:val="0"/>
          <w:divBdr>
            <w:top w:val="none" w:sz="0" w:space="0" w:color="auto"/>
            <w:left w:val="none" w:sz="0" w:space="0" w:color="auto"/>
            <w:bottom w:val="none" w:sz="0" w:space="0" w:color="auto"/>
            <w:right w:val="none" w:sz="0" w:space="0" w:color="auto"/>
          </w:divBdr>
          <w:divsChild>
            <w:div w:id="397898103">
              <w:marLeft w:val="0"/>
              <w:marRight w:val="0"/>
              <w:marTop w:val="0"/>
              <w:marBottom w:val="0"/>
              <w:divBdr>
                <w:top w:val="none" w:sz="0" w:space="0" w:color="auto"/>
                <w:left w:val="none" w:sz="0" w:space="0" w:color="auto"/>
                <w:bottom w:val="none" w:sz="0" w:space="0" w:color="auto"/>
                <w:right w:val="none" w:sz="0" w:space="0" w:color="auto"/>
              </w:divBdr>
            </w:div>
          </w:divsChild>
        </w:div>
        <w:div w:id="159320613">
          <w:marLeft w:val="0"/>
          <w:marRight w:val="0"/>
          <w:marTop w:val="0"/>
          <w:marBottom w:val="0"/>
          <w:divBdr>
            <w:top w:val="none" w:sz="0" w:space="0" w:color="auto"/>
            <w:left w:val="none" w:sz="0" w:space="0" w:color="auto"/>
            <w:bottom w:val="none" w:sz="0" w:space="0" w:color="auto"/>
            <w:right w:val="none" w:sz="0" w:space="0" w:color="auto"/>
          </w:divBdr>
          <w:divsChild>
            <w:div w:id="1991248613">
              <w:marLeft w:val="0"/>
              <w:marRight w:val="0"/>
              <w:marTop w:val="0"/>
              <w:marBottom w:val="0"/>
              <w:divBdr>
                <w:top w:val="none" w:sz="0" w:space="0" w:color="auto"/>
                <w:left w:val="none" w:sz="0" w:space="0" w:color="auto"/>
                <w:bottom w:val="none" w:sz="0" w:space="0" w:color="auto"/>
                <w:right w:val="none" w:sz="0" w:space="0" w:color="auto"/>
              </w:divBdr>
            </w:div>
          </w:divsChild>
        </w:div>
        <w:div w:id="159395789">
          <w:marLeft w:val="0"/>
          <w:marRight w:val="0"/>
          <w:marTop w:val="0"/>
          <w:marBottom w:val="0"/>
          <w:divBdr>
            <w:top w:val="none" w:sz="0" w:space="0" w:color="auto"/>
            <w:left w:val="none" w:sz="0" w:space="0" w:color="auto"/>
            <w:bottom w:val="none" w:sz="0" w:space="0" w:color="auto"/>
            <w:right w:val="none" w:sz="0" w:space="0" w:color="auto"/>
          </w:divBdr>
          <w:divsChild>
            <w:div w:id="2111075039">
              <w:marLeft w:val="0"/>
              <w:marRight w:val="0"/>
              <w:marTop w:val="0"/>
              <w:marBottom w:val="0"/>
              <w:divBdr>
                <w:top w:val="none" w:sz="0" w:space="0" w:color="auto"/>
                <w:left w:val="none" w:sz="0" w:space="0" w:color="auto"/>
                <w:bottom w:val="none" w:sz="0" w:space="0" w:color="auto"/>
                <w:right w:val="none" w:sz="0" w:space="0" w:color="auto"/>
              </w:divBdr>
            </w:div>
          </w:divsChild>
        </w:div>
        <w:div w:id="162010154">
          <w:marLeft w:val="0"/>
          <w:marRight w:val="0"/>
          <w:marTop w:val="0"/>
          <w:marBottom w:val="0"/>
          <w:divBdr>
            <w:top w:val="none" w:sz="0" w:space="0" w:color="auto"/>
            <w:left w:val="none" w:sz="0" w:space="0" w:color="auto"/>
            <w:bottom w:val="none" w:sz="0" w:space="0" w:color="auto"/>
            <w:right w:val="none" w:sz="0" w:space="0" w:color="auto"/>
          </w:divBdr>
          <w:divsChild>
            <w:div w:id="350645816">
              <w:marLeft w:val="0"/>
              <w:marRight w:val="0"/>
              <w:marTop w:val="0"/>
              <w:marBottom w:val="0"/>
              <w:divBdr>
                <w:top w:val="none" w:sz="0" w:space="0" w:color="auto"/>
                <w:left w:val="none" w:sz="0" w:space="0" w:color="auto"/>
                <w:bottom w:val="none" w:sz="0" w:space="0" w:color="auto"/>
                <w:right w:val="none" w:sz="0" w:space="0" w:color="auto"/>
              </w:divBdr>
            </w:div>
          </w:divsChild>
        </w:div>
        <w:div w:id="168567070">
          <w:marLeft w:val="0"/>
          <w:marRight w:val="0"/>
          <w:marTop w:val="0"/>
          <w:marBottom w:val="0"/>
          <w:divBdr>
            <w:top w:val="none" w:sz="0" w:space="0" w:color="auto"/>
            <w:left w:val="none" w:sz="0" w:space="0" w:color="auto"/>
            <w:bottom w:val="none" w:sz="0" w:space="0" w:color="auto"/>
            <w:right w:val="none" w:sz="0" w:space="0" w:color="auto"/>
          </w:divBdr>
          <w:divsChild>
            <w:div w:id="1228615950">
              <w:marLeft w:val="0"/>
              <w:marRight w:val="0"/>
              <w:marTop w:val="0"/>
              <w:marBottom w:val="0"/>
              <w:divBdr>
                <w:top w:val="none" w:sz="0" w:space="0" w:color="auto"/>
                <w:left w:val="none" w:sz="0" w:space="0" w:color="auto"/>
                <w:bottom w:val="none" w:sz="0" w:space="0" w:color="auto"/>
                <w:right w:val="none" w:sz="0" w:space="0" w:color="auto"/>
              </w:divBdr>
            </w:div>
          </w:divsChild>
        </w:div>
        <w:div w:id="189998506">
          <w:marLeft w:val="0"/>
          <w:marRight w:val="0"/>
          <w:marTop w:val="0"/>
          <w:marBottom w:val="0"/>
          <w:divBdr>
            <w:top w:val="none" w:sz="0" w:space="0" w:color="auto"/>
            <w:left w:val="none" w:sz="0" w:space="0" w:color="auto"/>
            <w:bottom w:val="none" w:sz="0" w:space="0" w:color="auto"/>
            <w:right w:val="none" w:sz="0" w:space="0" w:color="auto"/>
          </w:divBdr>
          <w:divsChild>
            <w:div w:id="270091018">
              <w:marLeft w:val="0"/>
              <w:marRight w:val="0"/>
              <w:marTop w:val="0"/>
              <w:marBottom w:val="0"/>
              <w:divBdr>
                <w:top w:val="none" w:sz="0" w:space="0" w:color="auto"/>
                <w:left w:val="none" w:sz="0" w:space="0" w:color="auto"/>
                <w:bottom w:val="none" w:sz="0" w:space="0" w:color="auto"/>
                <w:right w:val="none" w:sz="0" w:space="0" w:color="auto"/>
              </w:divBdr>
            </w:div>
            <w:div w:id="1805080312">
              <w:marLeft w:val="0"/>
              <w:marRight w:val="0"/>
              <w:marTop w:val="0"/>
              <w:marBottom w:val="0"/>
              <w:divBdr>
                <w:top w:val="none" w:sz="0" w:space="0" w:color="auto"/>
                <w:left w:val="none" w:sz="0" w:space="0" w:color="auto"/>
                <w:bottom w:val="none" w:sz="0" w:space="0" w:color="auto"/>
                <w:right w:val="none" w:sz="0" w:space="0" w:color="auto"/>
              </w:divBdr>
            </w:div>
          </w:divsChild>
        </w:div>
        <w:div w:id="204801904">
          <w:marLeft w:val="0"/>
          <w:marRight w:val="0"/>
          <w:marTop w:val="0"/>
          <w:marBottom w:val="0"/>
          <w:divBdr>
            <w:top w:val="none" w:sz="0" w:space="0" w:color="auto"/>
            <w:left w:val="none" w:sz="0" w:space="0" w:color="auto"/>
            <w:bottom w:val="none" w:sz="0" w:space="0" w:color="auto"/>
            <w:right w:val="none" w:sz="0" w:space="0" w:color="auto"/>
          </w:divBdr>
          <w:divsChild>
            <w:div w:id="801310564">
              <w:marLeft w:val="0"/>
              <w:marRight w:val="0"/>
              <w:marTop w:val="0"/>
              <w:marBottom w:val="0"/>
              <w:divBdr>
                <w:top w:val="none" w:sz="0" w:space="0" w:color="auto"/>
                <w:left w:val="none" w:sz="0" w:space="0" w:color="auto"/>
                <w:bottom w:val="none" w:sz="0" w:space="0" w:color="auto"/>
                <w:right w:val="none" w:sz="0" w:space="0" w:color="auto"/>
              </w:divBdr>
            </w:div>
            <w:div w:id="2142577043">
              <w:marLeft w:val="0"/>
              <w:marRight w:val="0"/>
              <w:marTop w:val="0"/>
              <w:marBottom w:val="0"/>
              <w:divBdr>
                <w:top w:val="none" w:sz="0" w:space="0" w:color="auto"/>
                <w:left w:val="none" w:sz="0" w:space="0" w:color="auto"/>
                <w:bottom w:val="none" w:sz="0" w:space="0" w:color="auto"/>
                <w:right w:val="none" w:sz="0" w:space="0" w:color="auto"/>
              </w:divBdr>
            </w:div>
          </w:divsChild>
        </w:div>
        <w:div w:id="215169810">
          <w:marLeft w:val="0"/>
          <w:marRight w:val="0"/>
          <w:marTop w:val="0"/>
          <w:marBottom w:val="0"/>
          <w:divBdr>
            <w:top w:val="none" w:sz="0" w:space="0" w:color="auto"/>
            <w:left w:val="none" w:sz="0" w:space="0" w:color="auto"/>
            <w:bottom w:val="none" w:sz="0" w:space="0" w:color="auto"/>
            <w:right w:val="none" w:sz="0" w:space="0" w:color="auto"/>
          </w:divBdr>
          <w:divsChild>
            <w:div w:id="1563639092">
              <w:marLeft w:val="0"/>
              <w:marRight w:val="0"/>
              <w:marTop w:val="0"/>
              <w:marBottom w:val="0"/>
              <w:divBdr>
                <w:top w:val="none" w:sz="0" w:space="0" w:color="auto"/>
                <w:left w:val="none" w:sz="0" w:space="0" w:color="auto"/>
                <w:bottom w:val="none" w:sz="0" w:space="0" w:color="auto"/>
                <w:right w:val="none" w:sz="0" w:space="0" w:color="auto"/>
              </w:divBdr>
            </w:div>
          </w:divsChild>
        </w:div>
        <w:div w:id="218827730">
          <w:marLeft w:val="0"/>
          <w:marRight w:val="0"/>
          <w:marTop w:val="0"/>
          <w:marBottom w:val="0"/>
          <w:divBdr>
            <w:top w:val="none" w:sz="0" w:space="0" w:color="auto"/>
            <w:left w:val="none" w:sz="0" w:space="0" w:color="auto"/>
            <w:bottom w:val="none" w:sz="0" w:space="0" w:color="auto"/>
            <w:right w:val="none" w:sz="0" w:space="0" w:color="auto"/>
          </w:divBdr>
          <w:divsChild>
            <w:div w:id="539241585">
              <w:marLeft w:val="0"/>
              <w:marRight w:val="0"/>
              <w:marTop w:val="0"/>
              <w:marBottom w:val="0"/>
              <w:divBdr>
                <w:top w:val="none" w:sz="0" w:space="0" w:color="auto"/>
                <w:left w:val="none" w:sz="0" w:space="0" w:color="auto"/>
                <w:bottom w:val="none" w:sz="0" w:space="0" w:color="auto"/>
                <w:right w:val="none" w:sz="0" w:space="0" w:color="auto"/>
              </w:divBdr>
            </w:div>
            <w:div w:id="885878038">
              <w:marLeft w:val="0"/>
              <w:marRight w:val="0"/>
              <w:marTop w:val="0"/>
              <w:marBottom w:val="0"/>
              <w:divBdr>
                <w:top w:val="none" w:sz="0" w:space="0" w:color="auto"/>
                <w:left w:val="none" w:sz="0" w:space="0" w:color="auto"/>
                <w:bottom w:val="none" w:sz="0" w:space="0" w:color="auto"/>
                <w:right w:val="none" w:sz="0" w:space="0" w:color="auto"/>
              </w:divBdr>
            </w:div>
          </w:divsChild>
        </w:div>
        <w:div w:id="224267075">
          <w:marLeft w:val="0"/>
          <w:marRight w:val="0"/>
          <w:marTop w:val="0"/>
          <w:marBottom w:val="0"/>
          <w:divBdr>
            <w:top w:val="none" w:sz="0" w:space="0" w:color="auto"/>
            <w:left w:val="none" w:sz="0" w:space="0" w:color="auto"/>
            <w:bottom w:val="none" w:sz="0" w:space="0" w:color="auto"/>
            <w:right w:val="none" w:sz="0" w:space="0" w:color="auto"/>
          </w:divBdr>
          <w:divsChild>
            <w:div w:id="213784464">
              <w:marLeft w:val="0"/>
              <w:marRight w:val="0"/>
              <w:marTop w:val="0"/>
              <w:marBottom w:val="0"/>
              <w:divBdr>
                <w:top w:val="none" w:sz="0" w:space="0" w:color="auto"/>
                <w:left w:val="none" w:sz="0" w:space="0" w:color="auto"/>
                <w:bottom w:val="none" w:sz="0" w:space="0" w:color="auto"/>
                <w:right w:val="none" w:sz="0" w:space="0" w:color="auto"/>
              </w:divBdr>
            </w:div>
            <w:div w:id="2100250736">
              <w:marLeft w:val="0"/>
              <w:marRight w:val="0"/>
              <w:marTop w:val="0"/>
              <w:marBottom w:val="0"/>
              <w:divBdr>
                <w:top w:val="none" w:sz="0" w:space="0" w:color="auto"/>
                <w:left w:val="none" w:sz="0" w:space="0" w:color="auto"/>
                <w:bottom w:val="none" w:sz="0" w:space="0" w:color="auto"/>
                <w:right w:val="none" w:sz="0" w:space="0" w:color="auto"/>
              </w:divBdr>
            </w:div>
          </w:divsChild>
        </w:div>
        <w:div w:id="226961095">
          <w:marLeft w:val="0"/>
          <w:marRight w:val="0"/>
          <w:marTop w:val="0"/>
          <w:marBottom w:val="0"/>
          <w:divBdr>
            <w:top w:val="none" w:sz="0" w:space="0" w:color="auto"/>
            <w:left w:val="none" w:sz="0" w:space="0" w:color="auto"/>
            <w:bottom w:val="none" w:sz="0" w:space="0" w:color="auto"/>
            <w:right w:val="none" w:sz="0" w:space="0" w:color="auto"/>
          </w:divBdr>
          <w:divsChild>
            <w:div w:id="1558928547">
              <w:marLeft w:val="0"/>
              <w:marRight w:val="0"/>
              <w:marTop w:val="0"/>
              <w:marBottom w:val="0"/>
              <w:divBdr>
                <w:top w:val="none" w:sz="0" w:space="0" w:color="auto"/>
                <w:left w:val="none" w:sz="0" w:space="0" w:color="auto"/>
                <w:bottom w:val="none" w:sz="0" w:space="0" w:color="auto"/>
                <w:right w:val="none" w:sz="0" w:space="0" w:color="auto"/>
              </w:divBdr>
            </w:div>
          </w:divsChild>
        </w:div>
        <w:div w:id="246036988">
          <w:marLeft w:val="0"/>
          <w:marRight w:val="0"/>
          <w:marTop w:val="0"/>
          <w:marBottom w:val="0"/>
          <w:divBdr>
            <w:top w:val="none" w:sz="0" w:space="0" w:color="auto"/>
            <w:left w:val="none" w:sz="0" w:space="0" w:color="auto"/>
            <w:bottom w:val="none" w:sz="0" w:space="0" w:color="auto"/>
            <w:right w:val="none" w:sz="0" w:space="0" w:color="auto"/>
          </w:divBdr>
          <w:divsChild>
            <w:div w:id="231963674">
              <w:marLeft w:val="0"/>
              <w:marRight w:val="0"/>
              <w:marTop w:val="0"/>
              <w:marBottom w:val="0"/>
              <w:divBdr>
                <w:top w:val="none" w:sz="0" w:space="0" w:color="auto"/>
                <w:left w:val="none" w:sz="0" w:space="0" w:color="auto"/>
                <w:bottom w:val="none" w:sz="0" w:space="0" w:color="auto"/>
                <w:right w:val="none" w:sz="0" w:space="0" w:color="auto"/>
              </w:divBdr>
            </w:div>
          </w:divsChild>
        </w:div>
        <w:div w:id="282463948">
          <w:marLeft w:val="0"/>
          <w:marRight w:val="0"/>
          <w:marTop w:val="0"/>
          <w:marBottom w:val="0"/>
          <w:divBdr>
            <w:top w:val="none" w:sz="0" w:space="0" w:color="auto"/>
            <w:left w:val="none" w:sz="0" w:space="0" w:color="auto"/>
            <w:bottom w:val="none" w:sz="0" w:space="0" w:color="auto"/>
            <w:right w:val="none" w:sz="0" w:space="0" w:color="auto"/>
          </w:divBdr>
          <w:divsChild>
            <w:div w:id="571937677">
              <w:marLeft w:val="0"/>
              <w:marRight w:val="0"/>
              <w:marTop w:val="0"/>
              <w:marBottom w:val="0"/>
              <w:divBdr>
                <w:top w:val="none" w:sz="0" w:space="0" w:color="auto"/>
                <w:left w:val="none" w:sz="0" w:space="0" w:color="auto"/>
                <w:bottom w:val="none" w:sz="0" w:space="0" w:color="auto"/>
                <w:right w:val="none" w:sz="0" w:space="0" w:color="auto"/>
              </w:divBdr>
            </w:div>
          </w:divsChild>
        </w:div>
        <w:div w:id="292180719">
          <w:marLeft w:val="0"/>
          <w:marRight w:val="0"/>
          <w:marTop w:val="0"/>
          <w:marBottom w:val="0"/>
          <w:divBdr>
            <w:top w:val="none" w:sz="0" w:space="0" w:color="auto"/>
            <w:left w:val="none" w:sz="0" w:space="0" w:color="auto"/>
            <w:bottom w:val="none" w:sz="0" w:space="0" w:color="auto"/>
            <w:right w:val="none" w:sz="0" w:space="0" w:color="auto"/>
          </w:divBdr>
          <w:divsChild>
            <w:div w:id="505173028">
              <w:marLeft w:val="0"/>
              <w:marRight w:val="0"/>
              <w:marTop w:val="0"/>
              <w:marBottom w:val="0"/>
              <w:divBdr>
                <w:top w:val="none" w:sz="0" w:space="0" w:color="auto"/>
                <w:left w:val="none" w:sz="0" w:space="0" w:color="auto"/>
                <w:bottom w:val="none" w:sz="0" w:space="0" w:color="auto"/>
                <w:right w:val="none" w:sz="0" w:space="0" w:color="auto"/>
              </w:divBdr>
            </w:div>
          </w:divsChild>
        </w:div>
        <w:div w:id="296841234">
          <w:marLeft w:val="0"/>
          <w:marRight w:val="0"/>
          <w:marTop w:val="0"/>
          <w:marBottom w:val="0"/>
          <w:divBdr>
            <w:top w:val="none" w:sz="0" w:space="0" w:color="auto"/>
            <w:left w:val="none" w:sz="0" w:space="0" w:color="auto"/>
            <w:bottom w:val="none" w:sz="0" w:space="0" w:color="auto"/>
            <w:right w:val="none" w:sz="0" w:space="0" w:color="auto"/>
          </w:divBdr>
          <w:divsChild>
            <w:div w:id="752629374">
              <w:marLeft w:val="0"/>
              <w:marRight w:val="0"/>
              <w:marTop w:val="0"/>
              <w:marBottom w:val="0"/>
              <w:divBdr>
                <w:top w:val="none" w:sz="0" w:space="0" w:color="auto"/>
                <w:left w:val="none" w:sz="0" w:space="0" w:color="auto"/>
                <w:bottom w:val="none" w:sz="0" w:space="0" w:color="auto"/>
                <w:right w:val="none" w:sz="0" w:space="0" w:color="auto"/>
              </w:divBdr>
            </w:div>
          </w:divsChild>
        </w:div>
        <w:div w:id="300622388">
          <w:marLeft w:val="0"/>
          <w:marRight w:val="0"/>
          <w:marTop w:val="0"/>
          <w:marBottom w:val="0"/>
          <w:divBdr>
            <w:top w:val="none" w:sz="0" w:space="0" w:color="auto"/>
            <w:left w:val="none" w:sz="0" w:space="0" w:color="auto"/>
            <w:bottom w:val="none" w:sz="0" w:space="0" w:color="auto"/>
            <w:right w:val="none" w:sz="0" w:space="0" w:color="auto"/>
          </w:divBdr>
          <w:divsChild>
            <w:div w:id="1569463392">
              <w:marLeft w:val="0"/>
              <w:marRight w:val="0"/>
              <w:marTop w:val="0"/>
              <w:marBottom w:val="0"/>
              <w:divBdr>
                <w:top w:val="none" w:sz="0" w:space="0" w:color="auto"/>
                <w:left w:val="none" w:sz="0" w:space="0" w:color="auto"/>
                <w:bottom w:val="none" w:sz="0" w:space="0" w:color="auto"/>
                <w:right w:val="none" w:sz="0" w:space="0" w:color="auto"/>
              </w:divBdr>
            </w:div>
          </w:divsChild>
        </w:div>
        <w:div w:id="302278629">
          <w:marLeft w:val="0"/>
          <w:marRight w:val="0"/>
          <w:marTop w:val="0"/>
          <w:marBottom w:val="0"/>
          <w:divBdr>
            <w:top w:val="none" w:sz="0" w:space="0" w:color="auto"/>
            <w:left w:val="none" w:sz="0" w:space="0" w:color="auto"/>
            <w:bottom w:val="none" w:sz="0" w:space="0" w:color="auto"/>
            <w:right w:val="none" w:sz="0" w:space="0" w:color="auto"/>
          </w:divBdr>
          <w:divsChild>
            <w:div w:id="1048920082">
              <w:marLeft w:val="0"/>
              <w:marRight w:val="0"/>
              <w:marTop w:val="0"/>
              <w:marBottom w:val="0"/>
              <w:divBdr>
                <w:top w:val="none" w:sz="0" w:space="0" w:color="auto"/>
                <w:left w:val="none" w:sz="0" w:space="0" w:color="auto"/>
                <w:bottom w:val="none" w:sz="0" w:space="0" w:color="auto"/>
                <w:right w:val="none" w:sz="0" w:space="0" w:color="auto"/>
              </w:divBdr>
            </w:div>
          </w:divsChild>
        </w:div>
        <w:div w:id="341206364">
          <w:marLeft w:val="0"/>
          <w:marRight w:val="0"/>
          <w:marTop w:val="0"/>
          <w:marBottom w:val="0"/>
          <w:divBdr>
            <w:top w:val="none" w:sz="0" w:space="0" w:color="auto"/>
            <w:left w:val="none" w:sz="0" w:space="0" w:color="auto"/>
            <w:bottom w:val="none" w:sz="0" w:space="0" w:color="auto"/>
            <w:right w:val="none" w:sz="0" w:space="0" w:color="auto"/>
          </w:divBdr>
          <w:divsChild>
            <w:div w:id="1660380674">
              <w:marLeft w:val="0"/>
              <w:marRight w:val="0"/>
              <w:marTop w:val="0"/>
              <w:marBottom w:val="0"/>
              <w:divBdr>
                <w:top w:val="none" w:sz="0" w:space="0" w:color="auto"/>
                <w:left w:val="none" w:sz="0" w:space="0" w:color="auto"/>
                <w:bottom w:val="none" w:sz="0" w:space="0" w:color="auto"/>
                <w:right w:val="none" w:sz="0" w:space="0" w:color="auto"/>
              </w:divBdr>
            </w:div>
          </w:divsChild>
        </w:div>
        <w:div w:id="346952911">
          <w:marLeft w:val="0"/>
          <w:marRight w:val="0"/>
          <w:marTop w:val="0"/>
          <w:marBottom w:val="0"/>
          <w:divBdr>
            <w:top w:val="none" w:sz="0" w:space="0" w:color="auto"/>
            <w:left w:val="none" w:sz="0" w:space="0" w:color="auto"/>
            <w:bottom w:val="none" w:sz="0" w:space="0" w:color="auto"/>
            <w:right w:val="none" w:sz="0" w:space="0" w:color="auto"/>
          </w:divBdr>
          <w:divsChild>
            <w:div w:id="1674722572">
              <w:marLeft w:val="0"/>
              <w:marRight w:val="0"/>
              <w:marTop w:val="0"/>
              <w:marBottom w:val="0"/>
              <w:divBdr>
                <w:top w:val="none" w:sz="0" w:space="0" w:color="auto"/>
                <w:left w:val="none" w:sz="0" w:space="0" w:color="auto"/>
                <w:bottom w:val="none" w:sz="0" w:space="0" w:color="auto"/>
                <w:right w:val="none" w:sz="0" w:space="0" w:color="auto"/>
              </w:divBdr>
            </w:div>
          </w:divsChild>
        </w:div>
        <w:div w:id="380323333">
          <w:marLeft w:val="0"/>
          <w:marRight w:val="0"/>
          <w:marTop w:val="0"/>
          <w:marBottom w:val="0"/>
          <w:divBdr>
            <w:top w:val="none" w:sz="0" w:space="0" w:color="auto"/>
            <w:left w:val="none" w:sz="0" w:space="0" w:color="auto"/>
            <w:bottom w:val="none" w:sz="0" w:space="0" w:color="auto"/>
            <w:right w:val="none" w:sz="0" w:space="0" w:color="auto"/>
          </w:divBdr>
          <w:divsChild>
            <w:div w:id="824979176">
              <w:marLeft w:val="0"/>
              <w:marRight w:val="0"/>
              <w:marTop w:val="0"/>
              <w:marBottom w:val="0"/>
              <w:divBdr>
                <w:top w:val="none" w:sz="0" w:space="0" w:color="auto"/>
                <w:left w:val="none" w:sz="0" w:space="0" w:color="auto"/>
                <w:bottom w:val="none" w:sz="0" w:space="0" w:color="auto"/>
                <w:right w:val="none" w:sz="0" w:space="0" w:color="auto"/>
              </w:divBdr>
            </w:div>
            <w:div w:id="1325474616">
              <w:marLeft w:val="0"/>
              <w:marRight w:val="0"/>
              <w:marTop w:val="0"/>
              <w:marBottom w:val="0"/>
              <w:divBdr>
                <w:top w:val="none" w:sz="0" w:space="0" w:color="auto"/>
                <w:left w:val="none" w:sz="0" w:space="0" w:color="auto"/>
                <w:bottom w:val="none" w:sz="0" w:space="0" w:color="auto"/>
                <w:right w:val="none" w:sz="0" w:space="0" w:color="auto"/>
              </w:divBdr>
            </w:div>
          </w:divsChild>
        </w:div>
        <w:div w:id="380439981">
          <w:marLeft w:val="0"/>
          <w:marRight w:val="0"/>
          <w:marTop w:val="0"/>
          <w:marBottom w:val="0"/>
          <w:divBdr>
            <w:top w:val="none" w:sz="0" w:space="0" w:color="auto"/>
            <w:left w:val="none" w:sz="0" w:space="0" w:color="auto"/>
            <w:bottom w:val="none" w:sz="0" w:space="0" w:color="auto"/>
            <w:right w:val="none" w:sz="0" w:space="0" w:color="auto"/>
          </w:divBdr>
          <w:divsChild>
            <w:div w:id="1577786270">
              <w:marLeft w:val="0"/>
              <w:marRight w:val="0"/>
              <w:marTop w:val="0"/>
              <w:marBottom w:val="0"/>
              <w:divBdr>
                <w:top w:val="none" w:sz="0" w:space="0" w:color="auto"/>
                <w:left w:val="none" w:sz="0" w:space="0" w:color="auto"/>
                <w:bottom w:val="none" w:sz="0" w:space="0" w:color="auto"/>
                <w:right w:val="none" w:sz="0" w:space="0" w:color="auto"/>
              </w:divBdr>
            </w:div>
          </w:divsChild>
        </w:div>
        <w:div w:id="384840568">
          <w:marLeft w:val="0"/>
          <w:marRight w:val="0"/>
          <w:marTop w:val="0"/>
          <w:marBottom w:val="0"/>
          <w:divBdr>
            <w:top w:val="none" w:sz="0" w:space="0" w:color="auto"/>
            <w:left w:val="none" w:sz="0" w:space="0" w:color="auto"/>
            <w:bottom w:val="none" w:sz="0" w:space="0" w:color="auto"/>
            <w:right w:val="none" w:sz="0" w:space="0" w:color="auto"/>
          </w:divBdr>
          <w:divsChild>
            <w:div w:id="1599751727">
              <w:marLeft w:val="0"/>
              <w:marRight w:val="0"/>
              <w:marTop w:val="0"/>
              <w:marBottom w:val="0"/>
              <w:divBdr>
                <w:top w:val="none" w:sz="0" w:space="0" w:color="auto"/>
                <w:left w:val="none" w:sz="0" w:space="0" w:color="auto"/>
                <w:bottom w:val="none" w:sz="0" w:space="0" w:color="auto"/>
                <w:right w:val="none" w:sz="0" w:space="0" w:color="auto"/>
              </w:divBdr>
            </w:div>
          </w:divsChild>
        </w:div>
        <w:div w:id="430900765">
          <w:marLeft w:val="0"/>
          <w:marRight w:val="0"/>
          <w:marTop w:val="0"/>
          <w:marBottom w:val="0"/>
          <w:divBdr>
            <w:top w:val="none" w:sz="0" w:space="0" w:color="auto"/>
            <w:left w:val="none" w:sz="0" w:space="0" w:color="auto"/>
            <w:bottom w:val="none" w:sz="0" w:space="0" w:color="auto"/>
            <w:right w:val="none" w:sz="0" w:space="0" w:color="auto"/>
          </w:divBdr>
          <w:divsChild>
            <w:div w:id="1586496459">
              <w:marLeft w:val="0"/>
              <w:marRight w:val="0"/>
              <w:marTop w:val="0"/>
              <w:marBottom w:val="0"/>
              <w:divBdr>
                <w:top w:val="none" w:sz="0" w:space="0" w:color="auto"/>
                <w:left w:val="none" w:sz="0" w:space="0" w:color="auto"/>
                <w:bottom w:val="none" w:sz="0" w:space="0" w:color="auto"/>
                <w:right w:val="none" w:sz="0" w:space="0" w:color="auto"/>
              </w:divBdr>
            </w:div>
          </w:divsChild>
        </w:div>
        <w:div w:id="436485438">
          <w:marLeft w:val="0"/>
          <w:marRight w:val="0"/>
          <w:marTop w:val="0"/>
          <w:marBottom w:val="0"/>
          <w:divBdr>
            <w:top w:val="none" w:sz="0" w:space="0" w:color="auto"/>
            <w:left w:val="none" w:sz="0" w:space="0" w:color="auto"/>
            <w:bottom w:val="none" w:sz="0" w:space="0" w:color="auto"/>
            <w:right w:val="none" w:sz="0" w:space="0" w:color="auto"/>
          </w:divBdr>
          <w:divsChild>
            <w:div w:id="1112937808">
              <w:marLeft w:val="0"/>
              <w:marRight w:val="0"/>
              <w:marTop w:val="0"/>
              <w:marBottom w:val="0"/>
              <w:divBdr>
                <w:top w:val="none" w:sz="0" w:space="0" w:color="auto"/>
                <w:left w:val="none" w:sz="0" w:space="0" w:color="auto"/>
                <w:bottom w:val="none" w:sz="0" w:space="0" w:color="auto"/>
                <w:right w:val="none" w:sz="0" w:space="0" w:color="auto"/>
              </w:divBdr>
            </w:div>
            <w:div w:id="1257207538">
              <w:marLeft w:val="0"/>
              <w:marRight w:val="0"/>
              <w:marTop w:val="0"/>
              <w:marBottom w:val="0"/>
              <w:divBdr>
                <w:top w:val="none" w:sz="0" w:space="0" w:color="auto"/>
                <w:left w:val="none" w:sz="0" w:space="0" w:color="auto"/>
                <w:bottom w:val="none" w:sz="0" w:space="0" w:color="auto"/>
                <w:right w:val="none" w:sz="0" w:space="0" w:color="auto"/>
              </w:divBdr>
            </w:div>
          </w:divsChild>
        </w:div>
        <w:div w:id="445925732">
          <w:marLeft w:val="0"/>
          <w:marRight w:val="0"/>
          <w:marTop w:val="0"/>
          <w:marBottom w:val="0"/>
          <w:divBdr>
            <w:top w:val="none" w:sz="0" w:space="0" w:color="auto"/>
            <w:left w:val="none" w:sz="0" w:space="0" w:color="auto"/>
            <w:bottom w:val="none" w:sz="0" w:space="0" w:color="auto"/>
            <w:right w:val="none" w:sz="0" w:space="0" w:color="auto"/>
          </w:divBdr>
          <w:divsChild>
            <w:div w:id="1872067436">
              <w:marLeft w:val="0"/>
              <w:marRight w:val="0"/>
              <w:marTop w:val="0"/>
              <w:marBottom w:val="0"/>
              <w:divBdr>
                <w:top w:val="none" w:sz="0" w:space="0" w:color="auto"/>
                <w:left w:val="none" w:sz="0" w:space="0" w:color="auto"/>
                <w:bottom w:val="none" w:sz="0" w:space="0" w:color="auto"/>
                <w:right w:val="none" w:sz="0" w:space="0" w:color="auto"/>
              </w:divBdr>
            </w:div>
            <w:div w:id="2102291323">
              <w:marLeft w:val="0"/>
              <w:marRight w:val="0"/>
              <w:marTop w:val="0"/>
              <w:marBottom w:val="0"/>
              <w:divBdr>
                <w:top w:val="none" w:sz="0" w:space="0" w:color="auto"/>
                <w:left w:val="none" w:sz="0" w:space="0" w:color="auto"/>
                <w:bottom w:val="none" w:sz="0" w:space="0" w:color="auto"/>
                <w:right w:val="none" w:sz="0" w:space="0" w:color="auto"/>
              </w:divBdr>
            </w:div>
          </w:divsChild>
        </w:div>
        <w:div w:id="470098495">
          <w:marLeft w:val="0"/>
          <w:marRight w:val="0"/>
          <w:marTop w:val="0"/>
          <w:marBottom w:val="0"/>
          <w:divBdr>
            <w:top w:val="none" w:sz="0" w:space="0" w:color="auto"/>
            <w:left w:val="none" w:sz="0" w:space="0" w:color="auto"/>
            <w:bottom w:val="none" w:sz="0" w:space="0" w:color="auto"/>
            <w:right w:val="none" w:sz="0" w:space="0" w:color="auto"/>
          </w:divBdr>
          <w:divsChild>
            <w:div w:id="1142387714">
              <w:marLeft w:val="0"/>
              <w:marRight w:val="0"/>
              <w:marTop w:val="0"/>
              <w:marBottom w:val="0"/>
              <w:divBdr>
                <w:top w:val="none" w:sz="0" w:space="0" w:color="auto"/>
                <w:left w:val="none" w:sz="0" w:space="0" w:color="auto"/>
                <w:bottom w:val="none" w:sz="0" w:space="0" w:color="auto"/>
                <w:right w:val="none" w:sz="0" w:space="0" w:color="auto"/>
              </w:divBdr>
            </w:div>
          </w:divsChild>
        </w:div>
        <w:div w:id="497039549">
          <w:marLeft w:val="0"/>
          <w:marRight w:val="0"/>
          <w:marTop w:val="0"/>
          <w:marBottom w:val="0"/>
          <w:divBdr>
            <w:top w:val="none" w:sz="0" w:space="0" w:color="auto"/>
            <w:left w:val="none" w:sz="0" w:space="0" w:color="auto"/>
            <w:bottom w:val="none" w:sz="0" w:space="0" w:color="auto"/>
            <w:right w:val="none" w:sz="0" w:space="0" w:color="auto"/>
          </w:divBdr>
          <w:divsChild>
            <w:div w:id="1789931828">
              <w:marLeft w:val="0"/>
              <w:marRight w:val="0"/>
              <w:marTop w:val="0"/>
              <w:marBottom w:val="0"/>
              <w:divBdr>
                <w:top w:val="none" w:sz="0" w:space="0" w:color="auto"/>
                <w:left w:val="none" w:sz="0" w:space="0" w:color="auto"/>
                <w:bottom w:val="none" w:sz="0" w:space="0" w:color="auto"/>
                <w:right w:val="none" w:sz="0" w:space="0" w:color="auto"/>
              </w:divBdr>
            </w:div>
          </w:divsChild>
        </w:div>
        <w:div w:id="528378037">
          <w:marLeft w:val="0"/>
          <w:marRight w:val="0"/>
          <w:marTop w:val="0"/>
          <w:marBottom w:val="0"/>
          <w:divBdr>
            <w:top w:val="none" w:sz="0" w:space="0" w:color="auto"/>
            <w:left w:val="none" w:sz="0" w:space="0" w:color="auto"/>
            <w:bottom w:val="none" w:sz="0" w:space="0" w:color="auto"/>
            <w:right w:val="none" w:sz="0" w:space="0" w:color="auto"/>
          </w:divBdr>
          <w:divsChild>
            <w:div w:id="1400400624">
              <w:marLeft w:val="0"/>
              <w:marRight w:val="0"/>
              <w:marTop w:val="0"/>
              <w:marBottom w:val="0"/>
              <w:divBdr>
                <w:top w:val="none" w:sz="0" w:space="0" w:color="auto"/>
                <w:left w:val="none" w:sz="0" w:space="0" w:color="auto"/>
                <w:bottom w:val="none" w:sz="0" w:space="0" w:color="auto"/>
                <w:right w:val="none" w:sz="0" w:space="0" w:color="auto"/>
              </w:divBdr>
            </w:div>
          </w:divsChild>
        </w:div>
        <w:div w:id="534008271">
          <w:marLeft w:val="0"/>
          <w:marRight w:val="0"/>
          <w:marTop w:val="0"/>
          <w:marBottom w:val="0"/>
          <w:divBdr>
            <w:top w:val="none" w:sz="0" w:space="0" w:color="auto"/>
            <w:left w:val="none" w:sz="0" w:space="0" w:color="auto"/>
            <w:bottom w:val="none" w:sz="0" w:space="0" w:color="auto"/>
            <w:right w:val="none" w:sz="0" w:space="0" w:color="auto"/>
          </w:divBdr>
          <w:divsChild>
            <w:div w:id="690373544">
              <w:marLeft w:val="0"/>
              <w:marRight w:val="0"/>
              <w:marTop w:val="0"/>
              <w:marBottom w:val="0"/>
              <w:divBdr>
                <w:top w:val="none" w:sz="0" w:space="0" w:color="auto"/>
                <w:left w:val="none" w:sz="0" w:space="0" w:color="auto"/>
                <w:bottom w:val="none" w:sz="0" w:space="0" w:color="auto"/>
                <w:right w:val="none" w:sz="0" w:space="0" w:color="auto"/>
              </w:divBdr>
            </w:div>
          </w:divsChild>
        </w:div>
        <w:div w:id="538977743">
          <w:marLeft w:val="0"/>
          <w:marRight w:val="0"/>
          <w:marTop w:val="0"/>
          <w:marBottom w:val="0"/>
          <w:divBdr>
            <w:top w:val="none" w:sz="0" w:space="0" w:color="auto"/>
            <w:left w:val="none" w:sz="0" w:space="0" w:color="auto"/>
            <w:bottom w:val="none" w:sz="0" w:space="0" w:color="auto"/>
            <w:right w:val="none" w:sz="0" w:space="0" w:color="auto"/>
          </w:divBdr>
          <w:divsChild>
            <w:div w:id="853954859">
              <w:marLeft w:val="0"/>
              <w:marRight w:val="0"/>
              <w:marTop w:val="0"/>
              <w:marBottom w:val="0"/>
              <w:divBdr>
                <w:top w:val="none" w:sz="0" w:space="0" w:color="auto"/>
                <w:left w:val="none" w:sz="0" w:space="0" w:color="auto"/>
                <w:bottom w:val="none" w:sz="0" w:space="0" w:color="auto"/>
                <w:right w:val="none" w:sz="0" w:space="0" w:color="auto"/>
              </w:divBdr>
            </w:div>
            <w:div w:id="2060547461">
              <w:marLeft w:val="0"/>
              <w:marRight w:val="0"/>
              <w:marTop w:val="0"/>
              <w:marBottom w:val="0"/>
              <w:divBdr>
                <w:top w:val="none" w:sz="0" w:space="0" w:color="auto"/>
                <w:left w:val="none" w:sz="0" w:space="0" w:color="auto"/>
                <w:bottom w:val="none" w:sz="0" w:space="0" w:color="auto"/>
                <w:right w:val="none" w:sz="0" w:space="0" w:color="auto"/>
              </w:divBdr>
            </w:div>
          </w:divsChild>
        </w:div>
        <w:div w:id="554389032">
          <w:marLeft w:val="0"/>
          <w:marRight w:val="0"/>
          <w:marTop w:val="0"/>
          <w:marBottom w:val="0"/>
          <w:divBdr>
            <w:top w:val="none" w:sz="0" w:space="0" w:color="auto"/>
            <w:left w:val="none" w:sz="0" w:space="0" w:color="auto"/>
            <w:bottom w:val="none" w:sz="0" w:space="0" w:color="auto"/>
            <w:right w:val="none" w:sz="0" w:space="0" w:color="auto"/>
          </w:divBdr>
          <w:divsChild>
            <w:div w:id="169804007">
              <w:marLeft w:val="0"/>
              <w:marRight w:val="0"/>
              <w:marTop w:val="0"/>
              <w:marBottom w:val="0"/>
              <w:divBdr>
                <w:top w:val="none" w:sz="0" w:space="0" w:color="auto"/>
                <w:left w:val="none" w:sz="0" w:space="0" w:color="auto"/>
                <w:bottom w:val="none" w:sz="0" w:space="0" w:color="auto"/>
                <w:right w:val="none" w:sz="0" w:space="0" w:color="auto"/>
              </w:divBdr>
            </w:div>
          </w:divsChild>
        </w:div>
        <w:div w:id="555119175">
          <w:marLeft w:val="0"/>
          <w:marRight w:val="0"/>
          <w:marTop w:val="0"/>
          <w:marBottom w:val="0"/>
          <w:divBdr>
            <w:top w:val="none" w:sz="0" w:space="0" w:color="auto"/>
            <w:left w:val="none" w:sz="0" w:space="0" w:color="auto"/>
            <w:bottom w:val="none" w:sz="0" w:space="0" w:color="auto"/>
            <w:right w:val="none" w:sz="0" w:space="0" w:color="auto"/>
          </w:divBdr>
          <w:divsChild>
            <w:div w:id="1287538847">
              <w:marLeft w:val="0"/>
              <w:marRight w:val="0"/>
              <w:marTop w:val="0"/>
              <w:marBottom w:val="0"/>
              <w:divBdr>
                <w:top w:val="none" w:sz="0" w:space="0" w:color="auto"/>
                <w:left w:val="none" w:sz="0" w:space="0" w:color="auto"/>
                <w:bottom w:val="none" w:sz="0" w:space="0" w:color="auto"/>
                <w:right w:val="none" w:sz="0" w:space="0" w:color="auto"/>
              </w:divBdr>
            </w:div>
          </w:divsChild>
        </w:div>
        <w:div w:id="557939158">
          <w:marLeft w:val="0"/>
          <w:marRight w:val="0"/>
          <w:marTop w:val="0"/>
          <w:marBottom w:val="0"/>
          <w:divBdr>
            <w:top w:val="none" w:sz="0" w:space="0" w:color="auto"/>
            <w:left w:val="none" w:sz="0" w:space="0" w:color="auto"/>
            <w:bottom w:val="none" w:sz="0" w:space="0" w:color="auto"/>
            <w:right w:val="none" w:sz="0" w:space="0" w:color="auto"/>
          </w:divBdr>
          <w:divsChild>
            <w:div w:id="1486780355">
              <w:marLeft w:val="0"/>
              <w:marRight w:val="0"/>
              <w:marTop w:val="0"/>
              <w:marBottom w:val="0"/>
              <w:divBdr>
                <w:top w:val="none" w:sz="0" w:space="0" w:color="auto"/>
                <w:left w:val="none" w:sz="0" w:space="0" w:color="auto"/>
                <w:bottom w:val="none" w:sz="0" w:space="0" w:color="auto"/>
                <w:right w:val="none" w:sz="0" w:space="0" w:color="auto"/>
              </w:divBdr>
            </w:div>
          </w:divsChild>
        </w:div>
        <w:div w:id="567154956">
          <w:marLeft w:val="0"/>
          <w:marRight w:val="0"/>
          <w:marTop w:val="0"/>
          <w:marBottom w:val="0"/>
          <w:divBdr>
            <w:top w:val="none" w:sz="0" w:space="0" w:color="auto"/>
            <w:left w:val="none" w:sz="0" w:space="0" w:color="auto"/>
            <w:bottom w:val="none" w:sz="0" w:space="0" w:color="auto"/>
            <w:right w:val="none" w:sz="0" w:space="0" w:color="auto"/>
          </w:divBdr>
          <w:divsChild>
            <w:div w:id="877543806">
              <w:marLeft w:val="0"/>
              <w:marRight w:val="0"/>
              <w:marTop w:val="0"/>
              <w:marBottom w:val="0"/>
              <w:divBdr>
                <w:top w:val="none" w:sz="0" w:space="0" w:color="auto"/>
                <w:left w:val="none" w:sz="0" w:space="0" w:color="auto"/>
                <w:bottom w:val="none" w:sz="0" w:space="0" w:color="auto"/>
                <w:right w:val="none" w:sz="0" w:space="0" w:color="auto"/>
              </w:divBdr>
            </w:div>
          </w:divsChild>
        </w:div>
        <w:div w:id="624040662">
          <w:marLeft w:val="0"/>
          <w:marRight w:val="0"/>
          <w:marTop w:val="0"/>
          <w:marBottom w:val="0"/>
          <w:divBdr>
            <w:top w:val="none" w:sz="0" w:space="0" w:color="auto"/>
            <w:left w:val="none" w:sz="0" w:space="0" w:color="auto"/>
            <w:bottom w:val="none" w:sz="0" w:space="0" w:color="auto"/>
            <w:right w:val="none" w:sz="0" w:space="0" w:color="auto"/>
          </w:divBdr>
          <w:divsChild>
            <w:div w:id="607661862">
              <w:marLeft w:val="0"/>
              <w:marRight w:val="0"/>
              <w:marTop w:val="0"/>
              <w:marBottom w:val="0"/>
              <w:divBdr>
                <w:top w:val="none" w:sz="0" w:space="0" w:color="auto"/>
                <w:left w:val="none" w:sz="0" w:space="0" w:color="auto"/>
                <w:bottom w:val="none" w:sz="0" w:space="0" w:color="auto"/>
                <w:right w:val="none" w:sz="0" w:space="0" w:color="auto"/>
              </w:divBdr>
            </w:div>
            <w:div w:id="1447433151">
              <w:marLeft w:val="0"/>
              <w:marRight w:val="0"/>
              <w:marTop w:val="0"/>
              <w:marBottom w:val="0"/>
              <w:divBdr>
                <w:top w:val="none" w:sz="0" w:space="0" w:color="auto"/>
                <w:left w:val="none" w:sz="0" w:space="0" w:color="auto"/>
                <w:bottom w:val="none" w:sz="0" w:space="0" w:color="auto"/>
                <w:right w:val="none" w:sz="0" w:space="0" w:color="auto"/>
              </w:divBdr>
            </w:div>
          </w:divsChild>
        </w:div>
        <w:div w:id="627861898">
          <w:marLeft w:val="0"/>
          <w:marRight w:val="0"/>
          <w:marTop w:val="0"/>
          <w:marBottom w:val="0"/>
          <w:divBdr>
            <w:top w:val="none" w:sz="0" w:space="0" w:color="auto"/>
            <w:left w:val="none" w:sz="0" w:space="0" w:color="auto"/>
            <w:bottom w:val="none" w:sz="0" w:space="0" w:color="auto"/>
            <w:right w:val="none" w:sz="0" w:space="0" w:color="auto"/>
          </w:divBdr>
          <w:divsChild>
            <w:div w:id="1013336754">
              <w:marLeft w:val="0"/>
              <w:marRight w:val="0"/>
              <w:marTop w:val="0"/>
              <w:marBottom w:val="0"/>
              <w:divBdr>
                <w:top w:val="none" w:sz="0" w:space="0" w:color="auto"/>
                <w:left w:val="none" w:sz="0" w:space="0" w:color="auto"/>
                <w:bottom w:val="none" w:sz="0" w:space="0" w:color="auto"/>
                <w:right w:val="none" w:sz="0" w:space="0" w:color="auto"/>
              </w:divBdr>
            </w:div>
          </w:divsChild>
        </w:div>
        <w:div w:id="642777193">
          <w:marLeft w:val="0"/>
          <w:marRight w:val="0"/>
          <w:marTop w:val="0"/>
          <w:marBottom w:val="0"/>
          <w:divBdr>
            <w:top w:val="none" w:sz="0" w:space="0" w:color="auto"/>
            <w:left w:val="none" w:sz="0" w:space="0" w:color="auto"/>
            <w:bottom w:val="none" w:sz="0" w:space="0" w:color="auto"/>
            <w:right w:val="none" w:sz="0" w:space="0" w:color="auto"/>
          </w:divBdr>
          <w:divsChild>
            <w:div w:id="535898913">
              <w:marLeft w:val="0"/>
              <w:marRight w:val="0"/>
              <w:marTop w:val="0"/>
              <w:marBottom w:val="0"/>
              <w:divBdr>
                <w:top w:val="none" w:sz="0" w:space="0" w:color="auto"/>
                <w:left w:val="none" w:sz="0" w:space="0" w:color="auto"/>
                <w:bottom w:val="none" w:sz="0" w:space="0" w:color="auto"/>
                <w:right w:val="none" w:sz="0" w:space="0" w:color="auto"/>
              </w:divBdr>
            </w:div>
            <w:div w:id="1020081617">
              <w:marLeft w:val="0"/>
              <w:marRight w:val="0"/>
              <w:marTop w:val="0"/>
              <w:marBottom w:val="0"/>
              <w:divBdr>
                <w:top w:val="none" w:sz="0" w:space="0" w:color="auto"/>
                <w:left w:val="none" w:sz="0" w:space="0" w:color="auto"/>
                <w:bottom w:val="none" w:sz="0" w:space="0" w:color="auto"/>
                <w:right w:val="none" w:sz="0" w:space="0" w:color="auto"/>
              </w:divBdr>
            </w:div>
          </w:divsChild>
        </w:div>
        <w:div w:id="645554592">
          <w:marLeft w:val="0"/>
          <w:marRight w:val="0"/>
          <w:marTop w:val="0"/>
          <w:marBottom w:val="0"/>
          <w:divBdr>
            <w:top w:val="none" w:sz="0" w:space="0" w:color="auto"/>
            <w:left w:val="none" w:sz="0" w:space="0" w:color="auto"/>
            <w:bottom w:val="none" w:sz="0" w:space="0" w:color="auto"/>
            <w:right w:val="none" w:sz="0" w:space="0" w:color="auto"/>
          </w:divBdr>
          <w:divsChild>
            <w:div w:id="538903956">
              <w:marLeft w:val="0"/>
              <w:marRight w:val="0"/>
              <w:marTop w:val="0"/>
              <w:marBottom w:val="0"/>
              <w:divBdr>
                <w:top w:val="none" w:sz="0" w:space="0" w:color="auto"/>
                <w:left w:val="none" w:sz="0" w:space="0" w:color="auto"/>
                <w:bottom w:val="none" w:sz="0" w:space="0" w:color="auto"/>
                <w:right w:val="none" w:sz="0" w:space="0" w:color="auto"/>
              </w:divBdr>
            </w:div>
            <w:div w:id="2122259672">
              <w:marLeft w:val="0"/>
              <w:marRight w:val="0"/>
              <w:marTop w:val="0"/>
              <w:marBottom w:val="0"/>
              <w:divBdr>
                <w:top w:val="none" w:sz="0" w:space="0" w:color="auto"/>
                <w:left w:val="none" w:sz="0" w:space="0" w:color="auto"/>
                <w:bottom w:val="none" w:sz="0" w:space="0" w:color="auto"/>
                <w:right w:val="none" w:sz="0" w:space="0" w:color="auto"/>
              </w:divBdr>
            </w:div>
          </w:divsChild>
        </w:div>
        <w:div w:id="665934832">
          <w:marLeft w:val="0"/>
          <w:marRight w:val="0"/>
          <w:marTop w:val="0"/>
          <w:marBottom w:val="0"/>
          <w:divBdr>
            <w:top w:val="none" w:sz="0" w:space="0" w:color="auto"/>
            <w:left w:val="none" w:sz="0" w:space="0" w:color="auto"/>
            <w:bottom w:val="none" w:sz="0" w:space="0" w:color="auto"/>
            <w:right w:val="none" w:sz="0" w:space="0" w:color="auto"/>
          </w:divBdr>
          <w:divsChild>
            <w:div w:id="688602711">
              <w:marLeft w:val="0"/>
              <w:marRight w:val="0"/>
              <w:marTop w:val="0"/>
              <w:marBottom w:val="0"/>
              <w:divBdr>
                <w:top w:val="none" w:sz="0" w:space="0" w:color="auto"/>
                <w:left w:val="none" w:sz="0" w:space="0" w:color="auto"/>
                <w:bottom w:val="none" w:sz="0" w:space="0" w:color="auto"/>
                <w:right w:val="none" w:sz="0" w:space="0" w:color="auto"/>
              </w:divBdr>
            </w:div>
            <w:div w:id="1914116819">
              <w:marLeft w:val="0"/>
              <w:marRight w:val="0"/>
              <w:marTop w:val="0"/>
              <w:marBottom w:val="0"/>
              <w:divBdr>
                <w:top w:val="none" w:sz="0" w:space="0" w:color="auto"/>
                <w:left w:val="none" w:sz="0" w:space="0" w:color="auto"/>
                <w:bottom w:val="none" w:sz="0" w:space="0" w:color="auto"/>
                <w:right w:val="none" w:sz="0" w:space="0" w:color="auto"/>
              </w:divBdr>
            </w:div>
          </w:divsChild>
        </w:div>
        <w:div w:id="667247807">
          <w:marLeft w:val="0"/>
          <w:marRight w:val="0"/>
          <w:marTop w:val="0"/>
          <w:marBottom w:val="0"/>
          <w:divBdr>
            <w:top w:val="none" w:sz="0" w:space="0" w:color="auto"/>
            <w:left w:val="none" w:sz="0" w:space="0" w:color="auto"/>
            <w:bottom w:val="none" w:sz="0" w:space="0" w:color="auto"/>
            <w:right w:val="none" w:sz="0" w:space="0" w:color="auto"/>
          </w:divBdr>
          <w:divsChild>
            <w:div w:id="321541757">
              <w:marLeft w:val="0"/>
              <w:marRight w:val="0"/>
              <w:marTop w:val="0"/>
              <w:marBottom w:val="0"/>
              <w:divBdr>
                <w:top w:val="none" w:sz="0" w:space="0" w:color="auto"/>
                <w:left w:val="none" w:sz="0" w:space="0" w:color="auto"/>
                <w:bottom w:val="none" w:sz="0" w:space="0" w:color="auto"/>
                <w:right w:val="none" w:sz="0" w:space="0" w:color="auto"/>
              </w:divBdr>
            </w:div>
          </w:divsChild>
        </w:div>
        <w:div w:id="676272199">
          <w:marLeft w:val="0"/>
          <w:marRight w:val="0"/>
          <w:marTop w:val="0"/>
          <w:marBottom w:val="0"/>
          <w:divBdr>
            <w:top w:val="none" w:sz="0" w:space="0" w:color="auto"/>
            <w:left w:val="none" w:sz="0" w:space="0" w:color="auto"/>
            <w:bottom w:val="none" w:sz="0" w:space="0" w:color="auto"/>
            <w:right w:val="none" w:sz="0" w:space="0" w:color="auto"/>
          </w:divBdr>
          <w:divsChild>
            <w:div w:id="1362055084">
              <w:marLeft w:val="0"/>
              <w:marRight w:val="0"/>
              <w:marTop w:val="0"/>
              <w:marBottom w:val="0"/>
              <w:divBdr>
                <w:top w:val="none" w:sz="0" w:space="0" w:color="auto"/>
                <w:left w:val="none" w:sz="0" w:space="0" w:color="auto"/>
                <w:bottom w:val="none" w:sz="0" w:space="0" w:color="auto"/>
                <w:right w:val="none" w:sz="0" w:space="0" w:color="auto"/>
              </w:divBdr>
            </w:div>
          </w:divsChild>
        </w:div>
        <w:div w:id="680015237">
          <w:marLeft w:val="0"/>
          <w:marRight w:val="0"/>
          <w:marTop w:val="0"/>
          <w:marBottom w:val="0"/>
          <w:divBdr>
            <w:top w:val="none" w:sz="0" w:space="0" w:color="auto"/>
            <w:left w:val="none" w:sz="0" w:space="0" w:color="auto"/>
            <w:bottom w:val="none" w:sz="0" w:space="0" w:color="auto"/>
            <w:right w:val="none" w:sz="0" w:space="0" w:color="auto"/>
          </w:divBdr>
          <w:divsChild>
            <w:div w:id="2079278850">
              <w:marLeft w:val="0"/>
              <w:marRight w:val="0"/>
              <w:marTop w:val="0"/>
              <w:marBottom w:val="0"/>
              <w:divBdr>
                <w:top w:val="none" w:sz="0" w:space="0" w:color="auto"/>
                <w:left w:val="none" w:sz="0" w:space="0" w:color="auto"/>
                <w:bottom w:val="none" w:sz="0" w:space="0" w:color="auto"/>
                <w:right w:val="none" w:sz="0" w:space="0" w:color="auto"/>
              </w:divBdr>
            </w:div>
          </w:divsChild>
        </w:div>
        <w:div w:id="687372712">
          <w:marLeft w:val="0"/>
          <w:marRight w:val="0"/>
          <w:marTop w:val="0"/>
          <w:marBottom w:val="0"/>
          <w:divBdr>
            <w:top w:val="none" w:sz="0" w:space="0" w:color="auto"/>
            <w:left w:val="none" w:sz="0" w:space="0" w:color="auto"/>
            <w:bottom w:val="none" w:sz="0" w:space="0" w:color="auto"/>
            <w:right w:val="none" w:sz="0" w:space="0" w:color="auto"/>
          </w:divBdr>
          <w:divsChild>
            <w:div w:id="1201743659">
              <w:marLeft w:val="0"/>
              <w:marRight w:val="0"/>
              <w:marTop w:val="0"/>
              <w:marBottom w:val="0"/>
              <w:divBdr>
                <w:top w:val="none" w:sz="0" w:space="0" w:color="auto"/>
                <w:left w:val="none" w:sz="0" w:space="0" w:color="auto"/>
                <w:bottom w:val="none" w:sz="0" w:space="0" w:color="auto"/>
                <w:right w:val="none" w:sz="0" w:space="0" w:color="auto"/>
              </w:divBdr>
            </w:div>
            <w:div w:id="1305162440">
              <w:marLeft w:val="0"/>
              <w:marRight w:val="0"/>
              <w:marTop w:val="0"/>
              <w:marBottom w:val="0"/>
              <w:divBdr>
                <w:top w:val="none" w:sz="0" w:space="0" w:color="auto"/>
                <w:left w:val="none" w:sz="0" w:space="0" w:color="auto"/>
                <w:bottom w:val="none" w:sz="0" w:space="0" w:color="auto"/>
                <w:right w:val="none" w:sz="0" w:space="0" w:color="auto"/>
              </w:divBdr>
            </w:div>
          </w:divsChild>
        </w:div>
        <w:div w:id="689263796">
          <w:marLeft w:val="0"/>
          <w:marRight w:val="0"/>
          <w:marTop w:val="0"/>
          <w:marBottom w:val="0"/>
          <w:divBdr>
            <w:top w:val="none" w:sz="0" w:space="0" w:color="auto"/>
            <w:left w:val="none" w:sz="0" w:space="0" w:color="auto"/>
            <w:bottom w:val="none" w:sz="0" w:space="0" w:color="auto"/>
            <w:right w:val="none" w:sz="0" w:space="0" w:color="auto"/>
          </w:divBdr>
          <w:divsChild>
            <w:div w:id="1075318863">
              <w:marLeft w:val="0"/>
              <w:marRight w:val="0"/>
              <w:marTop w:val="0"/>
              <w:marBottom w:val="0"/>
              <w:divBdr>
                <w:top w:val="none" w:sz="0" w:space="0" w:color="auto"/>
                <w:left w:val="none" w:sz="0" w:space="0" w:color="auto"/>
                <w:bottom w:val="none" w:sz="0" w:space="0" w:color="auto"/>
                <w:right w:val="none" w:sz="0" w:space="0" w:color="auto"/>
              </w:divBdr>
            </w:div>
          </w:divsChild>
        </w:div>
        <w:div w:id="719137116">
          <w:marLeft w:val="0"/>
          <w:marRight w:val="0"/>
          <w:marTop w:val="0"/>
          <w:marBottom w:val="0"/>
          <w:divBdr>
            <w:top w:val="none" w:sz="0" w:space="0" w:color="auto"/>
            <w:left w:val="none" w:sz="0" w:space="0" w:color="auto"/>
            <w:bottom w:val="none" w:sz="0" w:space="0" w:color="auto"/>
            <w:right w:val="none" w:sz="0" w:space="0" w:color="auto"/>
          </w:divBdr>
          <w:divsChild>
            <w:div w:id="490020577">
              <w:marLeft w:val="0"/>
              <w:marRight w:val="0"/>
              <w:marTop w:val="0"/>
              <w:marBottom w:val="0"/>
              <w:divBdr>
                <w:top w:val="none" w:sz="0" w:space="0" w:color="auto"/>
                <w:left w:val="none" w:sz="0" w:space="0" w:color="auto"/>
                <w:bottom w:val="none" w:sz="0" w:space="0" w:color="auto"/>
                <w:right w:val="none" w:sz="0" w:space="0" w:color="auto"/>
              </w:divBdr>
            </w:div>
          </w:divsChild>
        </w:div>
        <w:div w:id="735204517">
          <w:marLeft w:val="0"/>
          <w:marRight w:val="0"/>
          <w:marTop w:val="0"/>
          <w:marBottom w:val="0"/>
          <w:divBdr>
            <w:top w:val="none" w:sz="0" w:space="0" w:color="auto"/>
            <w:left w:val="none" w:sz="0" w:space="0" w:color="auto"/>
            <w:bottom w:val="none" w:sz="0" w:space="0" w:color="auto"/>
            <w:right w:val="none" w:sz="0" w:space="0" w:color="auto"/>
          </w:divBdr>
          <w:divsChild>
            <w:div w:id="1592423720">
              <w:marLeft w:val="0"/>
              <w:marRight w:val="0"/>
              <w:marTop w:val="0"/>
              <w:marBottom w:val="0"/>
              <w:divBdr>
                <w:top w:val="none" w:sz="0" w:space="0" w:color="auto"/>
                <w:left w:val="none" w:sz="0" w:space="0" w:color="auto"/>
                <w:bottom w:val="none" w:sz="0" w:space="0" w:color="auto"/>
                <w:right w:val="none" w:sz="0" w:space="0" w:color="auto"/>
              </w:divBdr>
            </w:div>
            <w:div w:id="2056076548">
              <w:marLeft w:val="0"/>
              <w:marRight w:val="0"/>
              <w:marTop w:val="0"/>
              <w:marBottom w:val="0"/>
              <w:divBdr>
                <w:top w:val="none" w:sz="0" w:space="0" w:color="auto"/>
                <w:left w:val="none" w:sz="0" w:space="0" w:color="auto"/>
                <w:bottom w:val="none" w:sz="0" w:space="0" w:color="auto"/>
                <w:right w:val="none" w:sz="0" w:space="0" w:color="auto"/>
              </w:divBdr>
            </w:div>
          </w:divsChild>
        </w:div>
        <w:div w:id="797337772">
          <w:marLeft w:val="0"/>
          <w:marRight w:val="0"/>
          <w:marTop w:val="0"/>
          <w:marBottom w:val="0"/>
          <w:divBdr>
            <w:top w:val="none" w:sz="0" w:space="0" w:color="auto"/>
            <w:left w:val="none" w:sz="0" w:space="0" w:color="auto"/>
            <w:bottom w:val="none" w:sz="0" w:space="0" w:color="auto"/>
            <w:right w:val="none" w:sz="0" w:space="0" w:color="auto"/>
          </w:divBdr>
          <w:divsChild>
            <w:div w:id="1104152474">
              <w:marLeft w:val="0"/>
              <w:marRight w:val="0"/>
              <w:marTop w:val="0"/>
              <w:marBottom w:val="0"/>
              <w:divBdr>
                <w:top w:val="none" w:sz="0" w:space="0" w:color="auto"/>
                <w:left w:val="none" w:sz="0" w:space="0" w:color="auto"/>
                <w:bottom w:val="none" w:sz="0" w:space="0" w:color="auto"/>
                <w:right w:val="none" w:sz="0" w:space="0" w:color="auto"/>
              </w:divBdr>
            </w:div>
          </w:divsChild>
        </w:div>
        <w:div w:id="798958694">
          <w:marLeft w:val="0"/>
          <w:marRight w:val="0"/>
          <w:marTop w:val="0"/>
          <w:marBottom w:val="0"/>
          <w:divBdr>
            <w:top w:val="none" w:sz="0" w:space="0" w:color="auto"/>
            <w:left w:val="none" w:sz="0" w:space="0" w:color="auto"/>
            <w:bottom w:val="none" w:sz="0" w:space="0" w:color="auto"/>
            <w:right w:val="none" w:sz="0" w:space="0" w:color="auto"/>
          </w:divBdr>
          <w:divsChild>
            <w:div w:id="2016608280">
              <w:marLeft w:val="0"/>
              <w:marRight w:val="0"/>
              <w:marTop w:val="0"/>
              <w:marBottom w:val="0"/>
              <w:divBdr>
                <w:top w:val="none" w:sz="0" w:space="0" w:color="auto"/>
                <w:left w:val="none" w:sz="0" w:space="0" w:color="auto"/>
                <w:bottom w:val="none" w:sz="0" w:space="0" w:color="auto"/>
                <w:right w:val="none" w:sz="0" w:space="0" w:color="auto"/>
              </w:divBdr>
            </w:div>
          </w:divsChild>
        </w:div>
        <w:div w:id="816728804">
          <w:marLeft w:val="0"/>
          <w:marRight w:val="0"/>
          <w:marTop w:val="0"/>
          <w:marBottom w:val="0"/>
          <w:divBdr>
            <w:top w:val="none" w:sz="0" w:space="0" w:color="auto"/>
            <w:left w:val="none" w:sz="0" w:space="0" w:color="auto"/>
            <w:bottom w:val="none" w:sz="0" w:space="0" w:color="auto"/>
            <w:right w:val="none" w:sz="0" w:space="0" w:color="auto"/>
          </w:divBdr>
          <w:divsChild>
            <w:div w:id="1434744768">
              <w:marLeft w:val="0"/>
              <w:marRight w:val="0"/>
              <w:marTop w:val="0"/>
              <w:marBottom w:val="0"/>
              <w:divBdr>
                <w:top w:val="none" w:sz="0" w:space="0" w:color="auto"/>
                <w:left w:val="none" w:sz="0" w:space="0" w:color="auto"/>
                <w:bottom w:val="none" w:sz="0" w:space="0" w:color="auto"/>
                <w:right w:val="none" w:sz="0" w:space="0" w:color="auto"/>
              </w:divBdr>
            </w:div>
          </w:divsChild>
        </w:div>
        <w:div w:id="820002111">
          <w:marLeft w:val="0"/>
          <w:marRight w:val="0"/>
          <w:marTop w:val="0"/>
          <w:marBottom w:val="0"/>
          <w:divBdr>
            <w:top w:val="none" w:sz="0" w:space="0" w:color="auto"/>
            <w:left w:val="none" w:sz="0" w:space="0" w:color="auto"/>
            <w:bottom w:val="none" w:sz="0" w:space="0" w:color="auto"/>
            <w:right w:val="none" w:sz="0" w:space="0" w:color="auto"/>
          </w:divBdr>
          <w:divsChild>
            <w:div w:id="997655980">
              <w:marLeft w:val="0"/>
              <w:marRight w:val="0"/>
              <w:marTop w:val="0"/>
              <w:marBottom w:val="0"/>
              <w:divBdr>
                <w:top w:val="none" w:sz="0" w:space="0" w:color="auto"/>
                <w:left w:val="none" w:sz="0" w:space="0" w:color="auto"/>
                <w:bottom w:val="none" w:sz="0" w:space="0" w:color="auto"/>
                <w:right w:val="none" w:sz="0" w:space="0" w:color="auto"/>
              </w:divBdr>
            </w:div>
            <w:div w:id="1722711230">
              <w:marLeft w:val="0"/>
              <w:marRight w:val="0"/>
              <w:marTop w:val="0"/>
              <w:marBottom w:val="0"/>
              <w:divBdr>
                <w:top w:val="none" w:sz="0" w:space="0" w:color="auto"/>
                <w:left w:val="none" w:sz="0" w:space="0" w:color="auto"/>
                <w:bottom w:val="none" w:sz="0" w:space="0" w:color="auto"/>
                <w:right w:val="none" w:sz="0" w:space="0" w:color="auto"/>
              </w:divBdr>
            </w:div>
          </w:divsChild>
        </w:div>
        <w:div w:id="861437320">
          <w:marLeft w:val="0"/>
          <w:marRight w:val="0"/>
          <w:marTop w:val="0"/>
          <w:marBottom w:val="0"/>
          <w:divBdr>
            <w:top w:val="none" w:sz="0" w:space="0" w:color="auto"/>
            <w:left w:val="none" w:sz="0" w:space="0" w:color="auto"/>
            <w:bottom w:val="none" w:sz="0" w:space="0" w:color="auto"/>
            <w:right w:val="none" w:sz="0" w:space="0" w:color="auto"/>
          </w:divBdr>
          <w:divsChild>
            <w:div w:id="410860269">
              <w:marLeft w:val="0"/>
              <w:marRight w:val="0"/>
              <w:marTop w:val="0"/>
              <w:marBottom w:val="0"/>
              <w:divBdr>
                <w:top w:val="none" w:sz="0" w:space="0" w:color="auto"/>
                <w:left w:val="none" w:sz="0" w:space="0" w:color="auto"/>
                <w:bottom w:val="none" w:sz="0" w:space="0" w:color="auto"/>
                <w:right w:val="none" w:sz="0" w:space="0" w:color="auto"/>
              </w:divBdr>
            </w:div>
          </w:divsChild>
        </w:div>
        <w:div w:id="897472160">
          <w:marLeft w:val="0"/>
          <w:marRight w:val="0"/>
          <w:marTop w:val="0"/>
          <w:marBottom w:val="0"/>
          <w:divBdr>
            <w:top w:val="none" w:sz="0" w:space="0" w:color="auto"/>
            <w:left w:val="none" w:sz="0" w:space="0" w:color="auto"/>
            <w:bottom w:val="none" w:sz="0" w:space="0" w:color="auto"/>
            <w:right w:val="none" w:sz="0" w:space="0" w:color="auto"/>
          </w:divBdr>
          <w:divsChild>
            <w:div w:id="1659069251">
              <w:marLeft w:val="0"/>
              <w:marRight w:val="0"/>
              <w:marTop w:val="0"/>
              <w:marBottom w:val="0"/>
              <w:divBdr>
                <w:top w:val="none" w:sz="0" w:space="0" w:color="auto"/>
                <w:left w:val="none" w:sz="0" w:space="0" w:color="auto"/>
                <w:bottom w:val="none" w:sz="0" w:space="0" w:color="auto"/>
                <w:right w:val="none" w:sz="0" w:space="0" w:color="auto"/>
              </w:divBdr>
            </w:div>
          </w:divsChild>
        </w:div>
        <w:div w:id="904148091">
          <w:marLeft w:val="0"/>
          <w:marRight w:val="0"/>
          <w:marTop w:val="0"/>
          <w:marBottom w:val="0"/>
          <w:divBdr>
            <w:top w:val="none" w:sz="0" w:space="0" w:color="auto"/>
            <w:left w:val="none" w:sz="0" w:space="0" w:color="auto"/>
            <w:bottom w:val="none" w:sz="0" w:space="0" w:color="auto"/>
            <w:right w:val="none" w:sz="0" w:space="0" w:color="auto"/>
          </w:divBdr>
          <w:divsChild>
            <w:div w:id="1183935897">
              <w:marLeft w:val="0"/>
              <w:marRight w:val="0"/>
              <w:marTop w:val="0"/>
              <w:marBottom w:val="0"/>
              <w:divBdr>
                <w:top w:val="none" w:sz="0" w:space="0" w:color="auto"/>
                <w:left w:val="none" w:sz="0" w:space="0" w:color="auto"/>
                <w:bottom w:val="none" w:sz="0" w:space="0" w:color="auto"/>
                <w:right w:val="none" w:sz="0" w:space="0" w:color="auto"/>
              </w:divBdr>
            </w:div>
            <w:div w:id="1580138581">
              <w:marLeft w:val="0"/>
              <w:marRight w:val="0"/>
              <w:marTop w:val="0"/>
              <w:marBottom w:val="0"/>
              <w:divBdr>
                <w:top w:val="none" w:sz="0" w:space="0" w:color="auto"/>
                <w:left w:val="none" w:sz="0" w:space="0" w:color="auto"/>
                <w:bottom w:val="none" w:sz="0" w:space="0" w:color="auto"/>
                <w:right w:val="none" w:sz="0" w:space="0" w:color="auto"/>
              </w:divBdr>
            </w:div>
          </w:divsChild>
        </w:div>
        <w:div w:id="919488426">
          <w:marLeft w:val="0"/>
          <w:marRight w:val="0"/>
          <w:marTop w:val="0"/>
          <w:marBottom w:val="0"/>
          <w:divBdr>
            <w:top w:val="none" w:sz="0" w:space="0" w:color="auto"/>
            <w:left w:val="none" w:sz="0" w:space="0" w:color="auto"/>
            <w:bottom w:val="none" w:sz="0" w:space="0" w:color="auto"/>
            <w:right w:val="none" w:sz="0" w:space="0" w:color="auto"/>
          </w:divBdr>
          <w:divsChild>
            <w:div w:id="2015260564">
              <w:marLeft w:val="0"/>
              <w:marRight w:val="0"/>
              <w:marTop w:val="0"/>
              <w:marBottom w:val="0"/>
              <w:divBdr>
                <w:top w:val="none" w:sz="0" w:space="0" w:color="auto"/>
                <w:left w:val="none" w:sz="0" w:space="0" w:color="auto"/>
                <w:bottom w:val="none" w:sz="0" w:space="0" w:color="auto"/>
                <w:right w:val="none" w:sz="0" w:space="0" w:color="auto"/>
              </w:divBdr>
            </w:div>
          </w:divsChild>
        </w:div>
        <w:div w:id="937248433">
          <w:marLeft w:val="0"/>
          <w:marRight w:val="0"/>
          <w:marTop w:val="0"/>
          <w:marBottom w:val="0"/>
          <w:divBdr>
            <w:top w:val="none" w:sz="0" w:space="0" w:color="auto"/>
            <w:left w:val="none" w:sz="0" w:space="0" w:color="auto"/>
            <w:bottom w:val="none" w:sz="0" w:space="0" w:color="auto"/>
            <w:right w:val="none" w:sz="0" w:space="0" w:color="auto"/>
          </w:divBdr>
          <w:divsChild>
            <w:div w:id="1460220639">
              <w:marLeft w:val="0"/>
              <w:marRight w:val="0"/>
              <w:marTop w:val="0"/>
              <w:marBottom w:val="0"/>
              <w:divBdr>
                <w:top w:val="none" w:sz="0" w:space="0" w:color="auto"/>
                <w:left w:val="none" w:sz="0" w:space="0" w:color="auto"/>
                <w:bottom w:val="none" w:sz="0" w:space="0" w:color="auto"/>
                <w:right w:val="none" w:sz="0" w:space="0" w:color="auto"/>
              </w:divBdr>
            </w:div>
          </w:divsChild>
        </w:div>
        <w:div w:id="963387569">
          <w:marLeft w:val="0"/>
          <w:marRight w:val="0"/>
          <w:marTop w:val="0"/>
          <w:marBottom w:val="0"/>
          <w:divBdr>
            <w:top w:val="none" w:sz="0" w:space="0" w:color="auto"/>
            <w:left w:val="none" w:sz="0" w:space="0" w:color="auto"/>
            <w:bottom w:val="none" w:sz="0" w:space="0" w:color="auto"/>
            <w:right w:val="none" w:sz="0" w:space="0" w:color="auto"/>
          </w:divBdr>
          <w:divsChild>
            <w:div w:id="1371370789">
              <w:marLeft w:val="0"/>
              <w:marRight w:val="0"/>
              <w:marTop w:val="0"/>
              <w:marBottom w:val="0"/>
              <w:divBdr>
                <w:top w:val="none" w:sz="0" w:space="0" w:color="auto"/>
                <w:left w:val="none" w:sz="0" w:space="0" w:color="auto"/>
                <w:bottom w:val="none" w:sz="0" w:space="0" w:color="auto"/>
                <w:right w:val="none" w:sz="0" w:space="0" w:color="auto"/>
              </w:divBdr>
            </w:div>
          </w:divsChild>
        </w:div>
        <w:div w:id="1116947680">
          <w:marLeft w:val="0"/>
          <w:marRight w:val="0"/>
          <w:marTop w:val="0"/>
          <w:marBottom w:val="0"/>
          <w:divBdr>
            <w:top w:val="none" w:sz="0" w:space="0" w:color="auto"/>
            <w:left w:val="none" w:sz="0" w:space="0" w:color="auto"/>
            <w:bottom w:val="none" w:sz="0" w:space="0" w:color="auto"/>
            <w:right w:val="none" w:sz="0" w:space="0" w:color="auto"/>
          </w:divBdr>
          <w:divsChild>
            <w:div w:id="1053504888">
              <w:marLeft w:val="0"/>
              <w:marRight w:val="0"/>
              <w:marTop w:val="0"/>
              <w:marBottom w:val="0"/>
              <w:divBdr>
                <w:top w:val="none" w:sz="0" w:space="0" w:color="auto"/>
                <w:left w:val="none" w:sz="0" w:space="0" w:color="auto"/>
                <w:bottom w:val="none" w:sz="0" w:space="0" w:color="auto"/>
                <w:right w:val="none" w:sz="0" w:space="0" w:color="auto"/>
              </w:divBdr>
            </w:div>
          </w:divsChild>
        </w:div>
        <w:div w:id="1118259838">
          <w:marLeft w:val="0"/>
          <w:marRight w:val="0"/>
          <w:marTop w:val="0"/>
          <w:marBottom w:val="0"/>
          <w:divBdr>
            <w:top w:val="none" w:sz="0" w:space="0" w:color="auto"/>
            <w:left w:val="none" w:sz="0" w:space="0" w:color="auto"/>
            <w:bottom w:val="none" w:sz="0" w:space="0" w:color="auto"/>
            <w:right w:val="none" w:sz="0" w:space="0" w:color="auto"/>
          </w:divBdr>
          <w:divsChild>
            <w:div w:id="446705390">
              <w:marLeft w:val="0"/>
              <w:marRight w:val="0"/>
              <w:marTop w:val="0"/>
              <w:marBottom w:val="0"/>
              <w:divBdr>
                <w:top w:val="none" w:sz="0" w:space="0" w:color="auto"/>
                <w:left w:val="none" w:sz="0" w:space="0" w:color="auto"/>
                <w:bottom w:val="none" w:sz="0" w:space="0" w:color="auto"/>
                <w:right w:val="none" w:sz="0" w:space="0" w:color="auto"/>
              </w:divBdr>
            </w:div>
            <w:div w:id="1723946762">
              <w:marLeft w:val="0"/>
              <w:marRight w:val="0"/>
              <w:marTop w:val="0"/>
              <w:marBottom w:val="0"/>
              <w:divBdr>
                <w:top w:val="none" w:sz="0" w:space="0" w:color="auto"/>
                <w:left w:val="none" w:sz="0" w:space="0" w:color="auto"/>
                <w:bottom w:val="none" w:sz="0" w:space="0" w:color="auto"/>
                <w:right w:val="none" w:sz="0" w:space="0" w:color="auto"/>
              </w:divBdr>
            </w:div>
          </w:divsChild>
        </w:div>
        <w:div w:id="1150755620">
          <w:marLeft w:val="0"/>
          <w:marRight w:val="0"/>
          <w:marTop w:val="0"/>
          <w:marBottom w:val="0"/>
          <w:divBdr>
            <w:top w:val="none" w:sz="0" w:space="0" w:color="auto"/>
            <w:left w:val="none" w:sz="0" w:space="0" w:color="auto"/>
            <w:bottom w:val="none" w:sz="0" w:space="0" w:color="auto"/>
            <w:right w:val="none" w:sz="0" w:space="0" w:color="auto"/>
          </w:divBdr>
          <w:divsChild>
            <w:div w:id="1797985343">
              <w:marLeft w:val="0"/>
              <w:marRight w:val="0"/>
              <w:marTop w:val="0"/>
              <w:marBottom w:val="0"/>
              <w:divBdr>
                <w:top w:val="none" w:sz="0" w:space="0" w:color="auto"/>
                <w:left w:val="none" w:sz="0" w:space="0" w:color="auto"/>
                <w:bottom w:val="none" w:sz="0" w:space="0" w:color="auto"/>
                <w:right w:val="none" w:sz="0" w:space="0" w:color="auto"/>
              </w:divBdr>
            </w:div>
          </w:divsChild>
        </w:div>
        <w:div w:id="1172182206">
          <w:marLeft w:val="0"/>
          <w:marRight w:val="0"/>
          <w:marTop w:val="0"/>
          <w:marBottom w:val="0"/>
          <w:divBdr>
            <w:top w:val="none" w:sz="0" w:space="0" w:color="auto"/>
            <w:left w:val="none" w:sz="0" w:space="0" w:color="auto"/>
            <w:bottom w:val="none" w:sz="0" w:space="0" w:color="auto"/>
            <w:right w:val="none" w:sz="0" w:space="0" w:color="auto"/>
          </w:divBdr>
          <w:divsChild>
            <w:div w:id="163710714">
              <w:marLeft w:val="0"/>
              <w:marRight w:val="0"/>
              <w:marTop w:val="0"/>
              <w:marBottom w:val="0"/>
              <w:divBdr>
                <w:top w:val="none" w:sz="0" w:space="0" w:color="auto"/>
                <w:left w:val="none" w:sz="0" w:space="0" w:color="auto"/>
                <w:bottom w:val="none" w:sz="0" w:space="0" w:color="auto"/>
                <w:right w:val="none" w:sz="0" w:space="0" w:color="auto"/>
              </w:divBdr>
            </w:div>
            <w:div w:id="779495579">
              <w:marLeft w:val="0"/>
              <w:marRight w:val="0"/>
              <w:marTop w:val="0"/>
              <w:marBottom w:val="0"/>
              <w:divBdr>
                <w:top w:val="none" w:sz="0" w:space="0" w:color="auto"/>
                <w:left w:val="none" w:sz="0" w:space="0" w:color="auto"/>
                <w:bottom w:val="none" w:sz="0" w:space="0" w:color="auto"/>
                <w:right w:val="none" w:sz="0" w:space="0" w:color="auto"/>
              </w:divBdr>
            </w:div>
            <w:div w:id="1192063406">
              <w:marLeft w:val="0"/>
              <w:marRight w:val="0"/>
              <w:marTop w:val="0"/>
              <w:marBottom w:val="0"/>
              <w:divBdr>
                <w:top w:val="none" w:sz="0" w:space="0" w:color="auto"/>
                <w:left w:val="none" w:sz="0" w:space="0" w:color="auto"/>
                <w:bottom w:val="none" w:sz="0" w:space="0" w:color="auto"/>
                <w:right w:val="none" w:sz="0" w:space="0" w:color="auto"/>
              </w:divBdr>
            </w:div>
          </w:divsChild>
        </w:div>
        <w:div w:id="1220554952">
          <w:marLeft w:val="0"/>
          <w:marRight w:val="0"/>
          <w:marTop w:val="0"/>
          <w:marBottom w:val="0"/>
          <w:divBdr>
            <w:top w:val="none" w:sz="0" w:space="0" w:color="auto"/>
            <w:left w:val="none" w:sz="0" w:space="0" w:color="auto"/>
            <w:bottom w:val="none" w:sz="0" w:space="0" w:color="auto"/>
            <w:right w:val="none" w:sz="0" w:space="0" w:color="auto"/>
          </w:divBdr>
          <w:divsChild>
            <w:div w:id="850141455">
              <w:marLeft w:val="0"/>
              <w:marRight w:val="0"/>
              <w:marTop w:val="0"/>
              <w:marBottom w:val="0"/>
              <w:divBdr>
                <w:top w:val="none" w:sz="0" w:space="0" w:color="auto"/>
                <w:left w:val="none" w:sz="0" w:space="0" w:color="auto"/>
                <w:bottom w:val="none" w:sz="0" w:space="0" w:color="auto"/>
                <w:right w:val="none" w:sz="0" w:space="0" w:color="auto"/>
              </w:divBdr>
            </w:div>
          </w:divsChild>
        </w:div>
        <w:div w:id="1266428271">
          <w:marLeft w:val="0"/>
          <w:marRight w:val="0"/>
          <w:marTop w:val="0"/>
          <w:marBottom w:val="0"/>
          <w:divBdr>
            <w:top w:val="none" w:sz="0" w:space="0" w:color="auto"/>
            <w:left w:val="none" w:sz="0" w:space="0" w:color="auto"/>
            <w:bottom w:val="none" w:sz="0" w:space="0" w:color="auto"/>
            <w:right w:val="none" w:sz="0" w:space="0" w:color="auto"/>
          </w:divBdr>
          <w:divsChild>
            <w:div w:id="855269044">
              <w:marLeft w:val="0"/>
              <w:marRight w:val="0"/>
              <w:marTop w:val="0"/>
              <w:marBottom w:val="0"/>
              <w:divBdr>
                <w:top w:val="none" w:sz="0" w:space="0" w:color="auto"/>
                <w:left w:val="none" w:sz="0" w:space="0" w:color="auto"/>
                <w:bottom w:val="none" w:sz="0" w:space="0" w:color="auto"/>
                <w:right w:val="none" w:sz="0" w:space="0" w:color="auto"/>
              </w:divBdr>
            </w:div>
          </w:divsChild>
        </w:div>
        <w:div w:id="1286233977">
          <w:marLeft w:val="0"/>
          <w:marRight w:val="0"/>
          <w:marTop w:val="0"/>
          <w:marBottom w:val="0"/>
          <w:divBdr>
            <w:top w:val="none" w:sz="0" w:space="0" w:color="auto"/>
            <w:left w:val="none" w:sz="0" w:space="0" w:color="auto"/>
            <w:bottom w:val="none" w:sz="0" w:space="0" w:color="auto"/>
            <w:right w:val="none" w:sz="0" w:space="0" w:color="auto"/>
          </w:divBdr>
          <w:divsChild>
            <w:div w:id="1834225360">
              <w:marLeft w:val="0"/>
              <w:marRight w:val="0"/>
              <w:marTop w:val="0"/>
              <w:marBottom w:val="0"/>
              <w:divBdr>
                <w:top w:val="none" w:sz="0" w:space="0" w:color="auto"/>
                <w:left w:val="none" w:sz="0" w:space="0" w:color="auto"/>
                <w:bottom w:val="none" w:sz="0" w:space="0" w:color="auto"/>
                <w:right w:val="none" w:sz="0" w:space="0" w:color="auto"/>
              </w:divBdr>
            </w:div>
          </w:divsChild>
        </w:div>
        <w:div w:id="1287273512">
          <w:marLeft w:val="0"/>
          <w:marRight w:val="0"/>
          <w:marTop w:val="0"/>
          <w:marBottom w:val="0"/>
          <w:divBdr>
            <w:top w:val="none" w:sz="0" w:space="0" w:color="auto"/>
            <w:left w:val="none" w:sz="0" w:space="0" w:color="auto"/>
            <w:bottom w:val="none" w:sz="0" w:space="0" w:color="auto"/>
            <w:right w:val="none" w:sz="0" w:space="0" w:color="auto"/>
          </w:divBdr>
          <w:divsChild>
            <w:div w:id="329526631">
              <w:marLeft w:val="0"/>
              <w:marRight w:val="0"/>
              <w:marTop w:val="0"/>
              <w:marBottom w:val="0"/>
              <w:divBdr>
                <w:top w:val="none" w:sz="0" w:space="0" w:color="auto"/>
                <w:left w:val="none" w:sz="0" w:space="0" w:color="auto"/>
                <w:bottom w:val="none" w:sz="0" w:space="0" w:color="auto"/>
                <w:right w:val="none" w:sz="0" w:space="0" w:color="auto"/>
              </w:divBdr>
            </w:div>
            <w:div w:id="969894373">
              <w:marLeft w:val="0"/>
              <w:marRight w:val="0"/>
              <w:marTop w:val="0"/>
              <w:marBottom w:val="0"/>
              <w:divBdr>
                <w:top w:val="none" w:sz="0" w:space="0" w:color="auto"/>
                <w:left w:val="none" w:sz="0" w:space="0" w:color="auto"/>
                <w:bottom w:val="none" w:sz="0" w:space="0" w:color="auto"/>
                <w:right w:val="none" w:sz="0" w:space="0" w:color="auto"/>
              </w:divBdr>
            </w:div>
          </w:divsChild>
        </w:div>
        <w:div w:id="1310406475">
          <w:marLeft w:val="0"/>
          <w:marRight w:val="0"/>
          <w:marTop w:val="0"/>
          <w:marBottom w:val="0"/>
          <w:divBdr>
            <w:top w:val="none" w:sz="0" w:space="0" w:color="auto"/>
            <w:left w:val="none" w:sz="0" w:space="0" w:color="auto"/>
            <w:bottom w:val="none" w:sz="0" w:space="0" w:color="auto"/>
            <w:right w:val="none" w:sz="0" w:space="0" w:color="auto"/>
          </w:divBdr>
          <w:divsChild>
            <w:div w:id="1273434485">
              <w:marLeft w:val="0"/>
              <w:marRight w:val="0"/>
              <w:marTop w:val="0"/>
              <w:marBottom w:val="0"/>
              <w:divBdr>
                <w:top w:val="none" w:sz="0" w:space="0" w:color="auto"/>
                <w:left w:val="none" w:sz="0" w:space="0" w:color="auto"/>
                <w:bottom w:val="none" w:sz="0" w:space="0" w:color="auto"/>
                <w:right w:val="none" w:sz="0" w:space="0" w:color="auto"/>
              </w:divBdr>
            </w:div>
          </w:divsChild>
        </w:div>
        <w:div w:id="1325091354">
          <w:marLeft w:val="0"/>
          <w:marRight w:val="0"/>
          <w:marTop w:val="0"/>
          <w:marBottom w:val="0"/>
          <w:divBdr>
            <w:top w:val="none" w:sz="0" w:space="0" w:color="auto"/>
            <w:left w:val="none" w:sz="0" w:space="0" w:color="auto"/>
            <w:bottom w:val="none" w:sz="0" w:space="0" w:color="auto"/>
            <w:right w:val="none" w:sz="0" w:space="0" w:color="auto"/>
          </w:divBdr>
          <w:divsChild>
            <w:div w:id="1956864926">
              <w:marLeft w:val="0"/>
              <w:marRight w:val="0"/>
              <w:marTop w:val="0"/>
              <w:marBottom w:val="0"/>
              <w:divBdr>
                <w:top w:val="none" w:sz="0" w:space="0" w:color="auto"/>
                <w:left w:val="none" w:sz="0" w:space="0" w:color="auto"/>
                <w:bottom w:val="none" w:sz="0" w:space="0" w:color="auto"/>
                <w:right w:val="none" w:sz="0" w:space="0" w:color="auto"/>
              </w:divBdr>
            </w:div>
          </w:divsChild>
        </w:div>
        <w:div w:id="1374574436">
          <w:marLeft w:val="0"/>
          <w:marRight w:val="0"/>
          <w:marTop w:val="0"/>
          <w:marBottom w:val="0"/>
          <w:divBdr>
            <w:top w:val="none" w:sz="0" w:space="0" w:color="auto"/>
            <w:left w:val="none" w:sz="0" w:space="0" w:color="auto"/>
            <w:bottom w:val="none" w:sz="0" w:space="0" w:color="auto"/>
            <w:right w:val="none" w:sz="0" w:space="0" w:color="auto"/>
          </w:divBdr>
          <w:divsChild>
            <w:div w:id="557862146">
              <w:marLeft w:val="0"/>
              <w:marRight w:val="0"/>
              <w:marTop w:val="0"/>
              <w:marBottom w:val="0"/>
              <w:divBdr>
                <w:top w:val="none" w:sz="0" w:space="0" w:color="auto"/>
                <w:left w:val="none" w:sz="0" w:space="0" w:color="auto"/>
                <w:bottom w:val="none" w:sz="0" w:space="0" w:color="auto"/>
                <w:right w:val="none" w:sz="0" w:space="0" w:color="auto"/>
              </w:divBdr>
            </w:div>
          </w:divsChild>
        </w:div>
        <w:div w:id="1407456967">
          <w:marLeft w:val="0"/>
          <w:marRight w:val="0"/>
          <w:marTop w:val="0"/>
          <w:marBottom w:val="0"/>
          <w:divBdr>
            <w:top w:val="none" w:sz="0" w:space="0" w:color="auto"/>
            <w:left w:val="none" w:sz="0" w:space="0" w:color="auto"/>
            <w:bottom w:val="none" w:sz="0" w:space="0" w:color="auto"/>
            <w:right w:val="none" w:sz="0" w:space="0" w:color="auto"/>
          </w:divBdr>
          <w:divsChild>
            <w:div w:id="649092909">
              <w:marLeft w:val="0"/>
              <w:marRight w:val="0"/>
              <w:marTop w:val="0"/>
              <w:marBottom w:val="0"/>
              <w:divBdr>
                <w:top w:val="none" w:sz="0" w:space="0" w:color="auto"/>
                <w:left w:val="none" w:sz="0" w:space="0" w:color="auto"/>
                <w:bottom w:val="none" w:sz="0" w:space="0" w:color="auto"/>
                <w:right w:val="none" w:sz="0" w:space="0" w:color="auto"/>
              </w:divBdr>
            </w:div>
          </w:divsChild>
        </w:div>
        <w:div w:id="1473325146">
          <w:marLeft w:val="0"/>
          <w:marRight w:val="0"/>
          <w:marTop w:val="0"/>
          <w:marBottom w:val="0"/>
          <w:divBdr>
            <w:top w:val="none" w:sz="0" w:space="0" w:color="auto"/>
            <w:left w:val="none" w:sz="0" w:space="0" w:color="auto"/>
            <w:bottom w:val="none" w:sz="0" w:space="0" w:color="auto"/>
            <w:right w:val="none" w:sz="0" w:space="0" w:color="auto"/>
          </w:divBdr>
          <w:divsChild>
            <w:div w:id="459618283">
              <w:marLeft w:val="0"/>
              <w:marRight w:val="0"/>
              <w:marTop w:val="0"/>
              <w:marBottom w:val="0"/>
              <w:divBdr>
                <w:top w:val="none" w:sz="0" w:space="0" w:color="auto"/>
                <w:left w:val="none" w:sz="0" w:space="0" w:color="auto"/>
                <w:bottom w:val="none" w:sz="0" w:space="0" w:color="auto"/>
                <w:right w:val="none" w:sz="0" w:space="0" w:color="auto"/>
              </w:divBdr>
            </w:div>
          </w:divsChild>
        </w:div>
        <w:div w:id="1515995258">
          <w:marLeft w:val="0"/>
          <w:marRight w:val="0"/>
          <w:marTop w:val="0"/>
          <w:marBottom w:val="0"/>
          <w:divBdr>
            <w:top w:val="none" w:sz="0" w:space="0" w:color="auto"/>
            <w:left w:val="none" w:sz="0" w:space="0" w:color="auto"/>
            <w:bottom w:val="none" w:sz="0" w:space="0" w:color="auto"/>
            <w:right w:val="none" w:sz="0" w:space="0" w:color="auto"/>
          </w:divBdr>
          <w:divsChild>
            <w:div w:id="38554351">
              <w:marLeft w:val="0"/>
              <w:marRight w:val="0"/>
              <w:marTop w:val="0"/>
              <w:marBottom w:val="0"/>
              <w:divBdr>
                <w:top w:val="none" w:sz="0" w:space="0" w:color="auto"/>
                <w:left w:val="none" w:sz="0" w:space="0" w:color="auto"/>
                <w:bottom w:val="none" w:sz="0" w:space="0" w:color="auto"/>
                <w:right w:val="none" w:sz="0" w:space="0" w:color="auto"/>
              </w:divBdr>
            </w:div>
          </w:divsChild>
        </w:div>
        <w:div w:id="1531919186">
          <w:marLeft w:val="0"/>
          <w:marRight w:val="0"/>
          <w:marTop w:val="0"/>
          <w:marBottom w:val="0"/>
          <w:divBdr>
            <w:top w:val="none" w:sz="0" w:space="0" w:color="auto"/>
            <w:left w:val="none" w:sz="0" w:space="0" w:color="auto"/>
            <w:bottom w:val="none" w:sz="0" w:space="0" w:color="auto"/>
            <w:right w:val="none" w:sz="0" w:space="0" w:color="auto"/>
          </w:divBdr>
          <w:divsChild>
            <w:div w:id="1732457668">
              <w:marLeft w:val="0"/>
              <w:marRight w:val="0"/>
              <w:marTop w:val="0"/>
              <w:marBottom w:val="0"/>
              <w:divBdr>
                <w:top w:val="none" w:sz="0" w:space="0" w:color="auto"/>
                <w:left w:val="none" w:sz="0" w:space="0" w:color="auto"/>
                <w:bottom w:val="none" w:sz="0" w:space="0" w:color="auto"/>
                <w:right w:val="none" w:sz="0" w:space="0" w:color="auto"/>
              </w:divBdr>
            </w:div>
          </w:divsChild>
        </w:div>
        <w:div w:id="1558974491">
          <w:marLeft w:val="0"/>
          <w:marRight w:val="0"/>
          <w:marTop w:val="0"/>
          <w:marBottom w:val="0"/>
          <w:divBdr>
            <w:top w:val="none" w:sz="0" w:space="0" w:color="auto"/>
            <w:left w:val="none" w:sz="0" w:space="0" w:color="auto"/>
            <w:bottom w:val="none" w:sz="0" w:space="0" w:color="auto"/>
            <w:right w:val="none" w:sz="0" w:space="0" w:color="auto"/>
          </w:divBdr>
          <w:divsChild>
            <w:div w:id="180900173">
              <w:marLeft w:val="0"/>
              <w:marRight w:val="0"/>
              <w:marTop w:val="0"/>
              <w:marBottom w:val="0"/>
              <w:divBdr>
                <w:top w:val="none" w:sz="0" w:space="0" w:color="auto"/>
                <w:left w:val="none" w:sz="0" w:space="0" w:color="auto"/>
                <w:bottom w:val="none" w:sz="0" w:space="0" w:color="auto"/>
                <w:right w:val="none" w:sz="0" w:space="0" w:color="auto"/>
              </w:divBdr>
            </w:div>
            <w:div w:id="474107979">
              <w:marLeft w:val="0"/>
              <w:marRight w:val="0"/>
              <w:marTop w:val="0"/>
              <w:marBottom w:val="0"/>
              <w:divBdr>
                <w:top w:val="none" w:sz="0" w:space="0" w:color="auto"/>
                <w:left w:val="none" w:sz="0" w:space="0" w:color="auto"/>
                <w:bottom w:val="none" w:sz="0" w:space="0" w:color="auto"/>
                <w:right w:val="none" w:sz="0" w:space="0" w:color="auto"/>
              </w:divBdr>
            </w:div>
          </w:divsChild>
        </w:div>
        <w:div w:id="1562329092">
          <w:marLeft w:val="0"/>
          <w:marRight w:val="0"/>
          <w:marTop w:val="0"/>
          <w:marBottom w:val="0"/>
          <w:divBdr>
            <w:top w:val="none" w:sz="0" w:space="0" w:color="auto"/>
            <w:left w:val="none" w:sz="0" w:space="0" w:color="auto"/>
            <w:bottom w:val="none" w:sz="0" w:space="0" w:color="auto"/>
            <w:right w:val="none" w:sz="0" w:space="0" w:color="auto"/>
          </w:divBdr>
          <w:divsChild>
            <w:div w:id="524632147">
              <w:marLeft w:val="0"/>
              <w:marRight w:val="0"/>
              <w:marTop w:val="0"/>
              <w:marBottom w:val="0"/>
              <w:divBdr>
                <w:top w:val="none" w:sz="0" w:space="0" w:color="auto"/>
                <w:left w:val="none" w:sz="0" w:space="0" w:color="auto"/>
                <w:bottom w:val="none" w:sz="0" w:space="0" w:color="auto"/>
                <w:right w:val="none" w:sz="0" w:space="0" w:color="auto"/>
              </w:divBdr>
            </w:div>
          </w:divsChild>
        </w:div>
        <w:div w:id="1570967052">
          <w:marLeft w:val="0"/>
          <w:marRight w:val="0"/>
          <w:marTop w:val="0"/>
          <w:marBottom w:val="0"/>
          <w:divBdr>
            <w:top w:val="none" w:sz="0" w:space="0" w:color="auto"/>
            <w:left w:val="none" w:sz="0" w:space="0" w:color="auto"/>
            <w:bottom w:val="none" w:sz="0" w:space="0" w:color="auto"/>
            <w:right w:val="none" w:sz="0" w:space="0" w:color="auto"/>
          </w:divBdr>
          <w:divsChild>
            <w:div w:id="1205142297">
              <w:marLeft w:val="0"/>
              <w:marRight w:val="0"/>
              <w:marTop w:val="0"/>
              <w:marBottom w:val="0"/>
              <w:divBdr>
                <w:top w:val="none" w:sz="0" w:space="0" w:color="auto"/>
                <w:left w:val="none" w:sz="0" w:space="0" w:color="auto"/>
                <w:bottom w:val="none" w:sz="0" w:space="0" w:color="auto"/>
                <w:right w:val="none" w:sz="0" w:space="0" w:color="auto"/>
              </w:divBdr>
            </w:div>
          </w:divsChild>
        </w:div>
        <w:div w:id="1600597835">
          <w:marLeft w:val="0"/>
          <w:marRight w:val="0"/>
          <w:marTop w:val="0"/>
          <w:marBottom w:val="0"/>
          <w:divBdr>
            <w:top w:val="none" w:sz="0" w:space="0" w:color="auto"/>
            <w:left w:val="none" w:sz="0" w:space="0" w:color="auto"/>
            <w:bottom w:val="none" w:sz="0" w:space="0" w:color="auto"/>
            <w:right w:val="none" w:sz="0" w:space="0" w:color="auto"/>
          </w:divBdr>
          <w:divsChild>
            <w:div w:id="1350790925">
              <w:marLeft w:val="0"/>
              <w:marRight w:val="0"/>
              <w:marTop w:val="0"/>
              <w:marBottom w:val="0"/>
              <w:divBdr>
                <w:top w:val="none" w:sz="0" w:space="0" w:color="auto"/>
                <w:left w:val="none" w:sz="0" w:space="0" w:color="auto"/>
                <w:bottom w:val="none" w:sz="0" w:space="0" w:color="auto"/>
                <w:right w:val="none" w:sz="0" w:space="0" w:color="auto"/>
              </w:divBdr>
            </w:div>
          </w:divsChild>
        </w:div>
        <w:div w:id="1606695680">
          <w:marLeft w:val="0"/>
          <w:marRight w:val="0"/>
          <w:marTop w:val="0"/>
          <w:marBottom w:val="0"/>
          <w:divBdr>
            <w:top w:val="none" w:sz="0" w:space="0" w:color="auto"/>
            <w:left w:val="none" w:sz="0" w:space="0" w:color="auto"/>
            <w:bottom w:val="none" w:sz="0" w:space="0" w:color="auto"/>
            <w:right w:val="none" w:sz="0" w:space="0" w:color="auto"/>
          </w:divBdr>
          <w:divsChild>
            <w:div w:id="782573502">
              <w:marLeft w:val="0"/>
              <w:marRight w:val="0"/>
              <w:marTop w:val="0"/>
              <w:marBottom w:val="0"/>
              <w:divBdr>
                <w:top w:val="none" w:sz="0" w:space="0" w:color="auto"/>
                <w:left w:val="none" w:sz="0" w:space="0" w:color="auto"/>
                <w:bottom w:val="none" w:sz="0" w:space="0" w:color="auto"/>
                <w:right w:val="none" w:sz="0" w:space="0" w:color="auto"/>
              </w:divBdr>
            </w:div>
          </w:divsChild>
        </w:div>
        <w:div w:id="1608154003">
          <w:marLeft w:val="0"/>
          <w:marRight w:val="0"/>
          <w:marTop w:val="0"/>
          <w:marBottom w:val="0"/>
          <w:divBdr>
            <w:top w:val="none" w:sz="0" w:space="0" w:color="auto"/>
            <w:left w:val="none" w:sz="0" w:space="0" w:color="auto"/>
            <w:bottom w:val="none" w:sz="0" w:space="0" w:color="auto"/>
            <w:right w:val="none" w:sz="0" w:space="0" w:color="auto"/>
          </w:divBdr>
          <w:divsChild>
            <w:div w:id="1827823926">
              <w:marLeft w:val="0"/>
              <w:marRight w:val="0"/>
              <w:marTop w:val="0"/>
              <w:marBottom w:val="0"/>
              <w:divBdr>
                <w:top w:val="none" w:sz="0" w:space="0" w:color="auto"/>
                <w:left w:val="none" w:sz="0" w:space="0" w:color="auto"/>
                <w:bottom w:val="none" w:sz="0" w:space="0" w:color="auto"/>
                <w:right w:val="none" w:sz="0" w:space="0" w:color="auto"/>
              </w:divBdr>
            </w:div>
            <w:div w:id="1968467311">
              <w:marLeft w:val="0"/>
              <w:marRight w:val="0"/>
              <w:marTop w:val="0"/>
              <w:marBottom w:val="0"/>
              <w:divBdr>
                <w:top w:val="none" w:sz="0" w:space="0" w:color="auto"/>
                <w:left w:val="none" w:sz="0" w:space="0" w:color="auto"/>
                <w:bottom w:val="none" w:sz="0" w:space="0" w:color="auto"/>
                <w:right w:val="none" w:sz="0" w:space="0" w:color="auto"/>
              </w:divBdr>
            </w:div>
          </w:divsChild>
        </w:div>
        <w:div w:id="1612786821">
          <w:marLeft w:val="0"/>
          <w:marRight w:val="0"/>
          <w:marTop w:val="0"/>
          <w:marBottom w:val="0"/>
          <w:divBdr>
            <w:top w:val="none" w:sz="0" w:space="0" w:color="auto"/>
            <w:left w:val="none" w:sz="0" w:space="0" w:color="auto"/>
            <w:bottom w:val="none" w:sz="0" w:space="0" w:color="auto"/>
            <w:right w:val="none" w:sz="0" w:space="0" w:color="auto"/>
          </w:divBdr>
          <w:divsChild>
            <w:div w:id="604534648">
              <w:marLeft w:val="0"/>
              <w:marRight w:val="0"/>
              <w:marTop w:val="0"/>
              <w:marBottom w:val="0"/>
              <w:divBdr>
                <w:top w:val="none" w:sz="0" w:space="0" w:color="auto"/>
                <w:left w:val="none" w:sz="0" w:space="0" w:color="auto"/>
                <w:bottom w:val="none" w:sz="0" w:space="0" w:color="auto"/>
                <w:right w:val="none" w:sz="0" w:space="0" w:color="auto"/>
              </w:divBdr>
            </w:div>
          </w:divsChild>
        </w:div>
        <w:div w:id="1627077329">
          <w:marLeft w:val="0"/>
          <w:marRight w:val="0"/>
          <w:marTop w:val="0"/>
          <w:marBottom w:val="0"/>
          <w:divBdr>
            <w:top w:val="none" w:sz="0" w:space="0" w:color="auto"/>
            <w:left w:val="none" w:sz="0" w:space="0" w:color="auto"/>
            <w:bottom w:val="none" w:sz="0" w:space="0" w:color="auto"/>
            <w:right w:val="none" w:sz="0" w:space="0" w:color="auto"/>
          </w:divBdr>
          <w:divsChild>
            <w:div w:id="586352850">
              <w:marLeft w:val="0"/>
              <w:marRight w:val="0"/>
              <w:marTop w:val="0"/>
              <w:marBottom w:val="0"/>
              <w:divBdr>
                <w:top w:val="none" w:sz="0" w:space="0" w:color="auto"/>
                <w:left w:val="none" w:sz="0" w:space="0" w:color="auto"/>
                <w:bottom w:val="none" w:sz="0" w:space="0" w:color="auto"/>
                <w:right w:val="none" w:sz="0" w:space="0" w:color="auto"/>
              </w:divBdr>
            </w:div>
            <w:div w:id="1841047072">
              <w:marLeft w:val="0"/>
              <w:marRight w:val="0"/>
              <w:marTop w:val="0"/>
              <w:marBottom w:val="0"/>
              <w:divBdr>
                <w:top w:val="none" w:sz="0" w:space="0" w:color="auto"/>
                <w:left w:val="none" w:sz="0" w:space="0" w:color="auto"/>
                <w:bottom w:val="none" w:sz="0" w:space="0" w:color="auto"/>
                <w:right w:val="none" w:sz="0" w:space="0" w:color="auto"/>
              </w:divBdr>
            </w:div>
          </w:divsChild>
        </w:div>
        <w:div w:id="1644502369">
          <w:marLeft w:val="0"/>
          <w:marRight w:val="0"/>
          <w:marTop w:val="0"/>
          <w:marBottom w:val="0"/>
          <w:divBdr>
            <w:top w:val="none" w:sz="0" w:space="0" w:color="auto"/>
            <w:left w:val="none" w:sz="0" w:space="0" w:color="auto"/>
            <w:bottom w:val="none" w:sz="0" w:space="0" w:color="auto"/>
            <w:right w:val="none" w:sz="0" w:space="0" w:color="auto"/>
          </w:divBdr>
          <w:divsChild>
            <w:div w:id="156729315">
              <w:marLeft w:val="0"/>
              <w:marRight w:val="0"/>
              <w:marTop w:val="0"/>
              <w:marBottom w:val="0"/>
              <w:divBdr>
                <w:top w:val="none" w:sz="0" w:space="0" w:color="auto"/>
                <w:left w:val="none" w:sz="0" w:space="0" w:color="auto"/>
                <w:bottom w:val="none" w:sz="0" w:space="0" w:color="auto"/>
                <w:right w:val="none" w:sz="0" w:space="0" w:color="auto"/>
              </w:divBdr>
            </w:div>
          </w:divsChild>
        </w:div>
        <w:div w:id="1687714183">
          <w:marLeft w:val="0"/>
          <w:marRight w:val="0"/>
          <w:marTop w:val="0"/>
          <w:marBottom w:val="0"/>
          <w:divBdr>
            <w:top w:val="none" w:sz="0" w:space="0" w:color="auto"/>
            <w:left w:val="none" w:sz="0" w:space="0" w:color="auto"/>
            <w:bottom w:val="none" w:sz="0" w:space="0" w:color="auto"/>
            <w:right w:val="none" w:sz="0" w:space="0" w:color="auto"/>
          </w:divBdr>
          <w:divsChild>
            <w:div w:id="779102844">
              <w:marLeft w:val="0"/>
              <w:marRight w:val="0"/>
              <w:marTop w:val="0"/>
              <w:marBottom w:val="0"/>
              <w:divBdr>
                <w:top w:val="none" w:sz="0" w:space="0" w:color="auto"/>
                <w:left w:val="none" w:sz="0" w:space="0" w:color="auto"/>
                <w:bottom w:val="none" w:sz="0" w:space="0" w:color="auto"/>
                <w:right w:val="none" w:sz="0" w:space="0" w:color="auto"/>
              </w:divBdr>
            </w:div>
            <w:div w:id="1826506691">
              <w:marLeft w:val="0"/>
              <w:marRight w:val="0"/>
              <w:marTop w:val="0"/>
              <w:marBottom w:val="0"/>
              <w:divBdr>
                <w:top w:val="none" w:sz="0" w:space="0" w:color="auto"/>
                <w:left w:val="none" w:sz="0" w:space="0" w:color="auto"/>
                <w:bottom w:val="none" w:sz="0" w:space="0" w:color="auto"/>
                <w:right w:val="none" w:sz="0" w:space="0" w:color="auto"/>
              </w:divBdr>
            </w:div>
          </w:divsChild>
        </w:div>
        <w:div w:id="1705867321">
          <w:marLeft w:val="0"/>
          <w:marRight w:val="0"/>
          <w:marTop w:val="0"/>
          <w:marBottom w:val="0"/>
          <w:divBdr>
            <w:top w:val="none" w:sz="0" w:space="0" w:color="auto"/>
            <w:left w:val="none" w:sz="0" w:space="0" w:color="auto"/>
            <w:bottom w:val="none" w:sz="0" w:space="0" w:color="auto"/>
            <w:right w:val="none" w:sz="0" w:space="0" w:color="auto"/>
          </w:divBdr>
          <w:divsChild>
            <w:div w:id="134563351">
              <w:marLeft w:val="0"/>
              <w:marRight w:val="0"/>
              <w:marTop w:val="0"/>
              <w:marBottom w:val="0"/>
              <w:divBdr>
                <w:top w:val="none" w:sz="0" w:space="0" w:color="auto"/>
                <w:left w:val="none" w:sz="0" w:space="0" w:color="auto"/>
                <w:bottom w:val="none" w:sz="0" w:space="0" w:color="auto"/>
                <w:right w:val="none" w:sz="0" w:space="0" w:color="auto"/>
              </w:divBdr>
            </w:div>
            <w:div w:id="214395724">
              <w:marLeft w:val="0"/>
              <w:marRight w:val="0"/>
              <w:marTop w:val="0"/>
              <w:marBottom w:val="0"/>
              <w:divBdr>
                <w:top w:val="none" w:sz="0" w:space="0" w:color="auto"/>
                <w:left w:val="none" w:sz="0" w:space="0" w:color="auto"/>
                <w:bottom w:val="none" w:sz="0" w:space="0" w:color="auto"/>
                <w:right w:val="none" w:sz="0" w:space="0" w:color="auto"/>
              </w:divBdr>
            </w:div>
          </w:divsChild>
        </w:div>
        <w:div w:id="1796675493">
          <w:marLeft w:val="0"/>
          <w:marRight w:val="0"/>
          <w:marTop w:val="0"/>
          <w:marBottom w:val="0"/>
          <w:divBdr>
            <w:top w:val="none" w:sz="0" w:space="0" w:color="auto"/>
            <w:left w:val="none" w:sz="0" w:space="0" w:color="auto"/>
            <w:bottom w:val="none" w:sz="0" w:space="0" w:color="auto"/>
            <w:right w:val="none" w:sz="0" w:space="0" w:color="auto"/>
          </w:divBdr>
          <w:divsChild>
            <w:div w:id="1003437690">
              <w:marLeft w:val="0"/>
              <w:marRight w:val="0"/>
              <w:marTop w:val="0"/>
              <w:marBottom w:val="0"/>
              <w:divBdr>
                <w:top w:val="none" w:sz="0" w:space="0" w:color="auto"/>
                <w:left w:val="none" w:sz="0" w:space="0" w:color="auto"/>
                <w:bottom w:val="none" w:sz="0" w:space="0" w:color="auto"/>
                <w:right w:val="none" w:sz="0" w:space="0" w:color="auto"/>
              </w:divBdr>
            </w:div>
          </w:divsChild>
        </w:div>
        <w:div w:id="1802648899">
          <w:marLeft w:val="0"/>
          <w:marRight w:val="0"/>
          <w:marTop w:val="0"/>
          <w:marBottom w:val="0"/>
          <w:divBdr>
            <w:top w:val="none" w:sz="0" w:space="0" w:color="auto"/>
            <w:left w:val="none" w:sz="0" w:space="0" w:color="auto"/>
            <w:bottom w:val="none" w:sz="0" w:space="0" w:color="auto"/>
            <w:right w:val="none" w:sz="0" w:space="0" w:color="auto"/>
          </w:divBdr>
          <w:divsChild>
            <w:div w:id="585531010">
              <w:marLeft w:val="0"/>
              <w:marRight w:val="0"/>
              <w:marTop w:val="0"/>
              <w:marBottom w:val="0"/>
              <w:divBdr>
                <w:top w:val="none" w:sz="0" w:space="0" w:color="auto"/>
                <w:left w:val="none" w:sz="0" w:space="0" w:color="auto"/>
                <w:bottom w:val="none" w:sz="0" w:space="0" w:color="auto"/>
                <w:right w:val="none" w:sz="0" w:space="0" w:color="auto"/>
              </w:divBdr>
            </w:div>
          </w:divsChild>
        </w:div>
        <w:div w:id="1808086891">
          <w:marLeft w:val="0"/>
          <w:marRight w:val="0"/>
          <w:marTop w:val="0"/>
          <w:marBottom w:val="0"/>
          <w:divBdr>
            <w:top w:val="none" w:sz="0" w:space="0" w:color="auto"/>
            <w:left w:val="none" w:sz="0" w:space="0" w:color="auto"/>
            <w:bottom w:val="none" w:sz="0" w:space="0" w:color="auto"/>
            <w:right w:val="none" w:sz="0" w:space="0" w:color="auto"/>
          </w:divBdr>
          <w:divsChild>
            <w:div w:id="962344613">
              <w:marLeft w:val="0"/>
              <w:marRight w:val="0"/>
              <w:marTop w:val="0"/>
              <w:marBottom w:val="0"/>
              <w:divBdr>
                <w:top w:val="none" w:sz="0" w:space="0" w:color="auto"/>
                <w:left w:val="none" w:sz="0" w:space="0" w:color="auto"/>
                <w:bottom w:val="none" w:sz="0" w:space="0" w:color="auto"/>
                <w:right w:val="none" w:sz="0" w:space="0" w:color="auto"/>
              </w:divBdr>
            </w:div>
          </w:divsChild>
        </w:div>
        <w:div w:id="1828472831">
          <w:marLeft w:val="0"/>
          <w:marRight w:val="0"/>
          <w:marTop w:val="0"/>
          <w:marBottom w:val="0"/>
          <w:divBdr>
            <w:top w:val="none" w:sz="0" w:space="0" w:color="auto"/>
            <w:left w:val="none" w:sz="0" w:space="0" w:color="auto"/>
            <w:bottom w:val="none" w:sz="0" w:space="0" w:color="auto"/>
            <w:right w:val="none" w:sz="0" w:space="0" w:color="auto"/>
          </w:divBdr>
          <w:divsChild>
            <w:div w:id="1276787102">
              <w:marLeft w:val="0"/>
              <w:marRight w:val="0"/>
              <w:marTop w:val="0"/>
              <w:marBottom w:val="0"/>
              <w:divBdr>
                <w:top w:val="none" w:sz="0" w:space="0" w:color="auto"/>
                <w:left w:val="none" w:sz="0" w:space="0" w:color="auto"/>
                <w:bottom w:val="none" w:sz="0" w:space="0" w:color="auto"/>
                <w:right w:val="none" w:sz="0" w:space="0" w:color="auto"/>
              </w:divBdr>
            </w:div>
            <w:div w:id="1557011944">
              <w:marLeft w:val="0"/>
              <w:marRight w:val="0"/>
              <w:marTop w:val="0"/>
              <w:marBottom w:val="0"/>
              <w:divBdr>
                <w:top w:val="none" w:sz="0" w:space="0" w:color="auto"/>
                <w:left w:val="none" w:sz="0" w:space="0" w:color="auto"/>
                <w:bottom w:val="none" w:sz="0" w:space="0" w:color="auto"/>
                <w:right w:val="none" w:sz="0" w:space="0" w:color="auto"/>
              </w:divBdr>
            </w:div>
          </w:divsChild>
        </w:div>
        <w:div w:id="1875464054">
          <w:marLeft w:val="0"/>
          <w:marRight w:val="0"/>
          <w:marTop w:val="0"/>
          <w:marBottom w:val="0"/>
          <w:divBdr>
            <w:top w:val="none" w:sz="0" w:space="0" w:color="auto"/>
            <w:left w:val="none" w:sz="0" w:space="0" w:color="auto"/>
            <w:bottom w:val="none" w:sz="0" w:space="0" w:color="auto"/>
            <w:right w:val="none" w:sz="0" w:space="0" w:color="auto"/>
          </w:divBdr>
          <w:divsChild>
            <w:div w:id="248003548">
              <w:marLeft w:val="0"/>
              <w:marRight w:val="0"/>
              <w:marTop w:val="0"/>
              <w:marBottom w:val="0"/>
              <w:divBdr>
                <w:top w:val="none" w:sz="0" w:space="0" w:color="auto"/>
                <w:left w:val="none" w:sz="0" w:space="0" w:color="auto"/>
                <w:bottom w:val="none" w:sz="0" w:space="0" w:color="auto"/>
                <w:right w:val="none" w:sz="0" w:space="0" w:color="auto"/>
              </w:divBdr>
            </w:div>
          </w:divsChild>
        </w:div>
        <w:div w:id="1888756340">
          <w:marLeft w:val="0"/>
          <w:marRight w:val="0"/>
          <w:marTop w:val="0"/>
          <w:marBottom w:val="0"/>
          <w:divBdr>
            <w:top w:val="none" w:sz="0" w:space="0" w:color="auto"/>
            <w:left w:val="none" w:sz="0" w:space="0" w:color="auto"/>
            <w:bottom w:val="none" w:sz="0" w:space="0" w:color="auto"/>
            <w:right w:val="none" w:sz="0" w:space="0" w:color="auto"/>
          </w:divBdr>
          <w:divsChild>
            <w:div w:id="97262463">
              <w:marLeft w:val="0"/>
              <w:marRight w:val="0"/>
              <w:marTop w:val="0"/>
              <w:marBottom w:val="0"/>
              <w:divBdr>
                <w:top w:val="none" w:sz="0" w:space="0" w:color="auto"/>
                <w:left w:val="none" w:sz="0" w:space="0" w:color="auto"/>
                <w:bottom w:val="none" w:sz="0" w:space="0" w:color="auto"/>
                <w:right w:val="none" w:sz="0" w:space="0" w:color="auto"/>
              </w:divBdr>
            </w:div>
            <w:div w:id="260453960">
              <w:marLeft w:val="0"/>
              <w:marRight w:val="0"/>
              <w:marTop w:val="0"/>
              <w:marBottom w:val="0"/>
              <w:divBdr>
                <w:top w:val="none" w:sz="0" w:space="0" w:color="auto"/>
                <w:left w:val="none" w:sz="0" w:space="0" w:color="auto"/>
                <w:bottom w:val="none" w:sz="0" w:space="0" w:color="auto"/>
                <w:right w:val="none" w:sz="0" w:space="0" w:color="auto"/>
              </w:divBdr>
            </w:div>
          </w:divsChild>
        </w:div>
        <w:div w:id="1896575830">
          <w:marLeft w:val="0"/>
          <w:marRight w:val="0"/>
          <w:marTop w:val="0"/>
          <w:marBottom w:val="0"/>
          <w:divBdr>
            <w:top w:val="none" w:sz="0" w:space="0" w:color="auto"/>
            <w:left w:val="none" w:sz="0" w:space="0" w:color="auto"/>
            <w:bottom w:val="none" w:sz="0" w:space="0" w:color="auto"/>
            <w:right w:val="none" w:sz="0" w:space="0" w:color="auto"/>
          </w:divBdr>
          <w:divsChild>
            <w:div w:id="1873031648">
              <w:marLeft w:val="0"/>
              <w:marRight w:val="0"/>
              <w:marTop w:val="0"/>
              <w:marBottom w:val="0"/>
              <w:divBdr>
                <w:top w:val="none" w:sz="0" w:space="0" w:color="auto"/>
                <w:left w:val="none" w:sz="0" w:space="0" w:color="auto"/>
                <w:bottom w:val="none" w:sz="0" w:space="0" w:color="auto"/>
                <w:right w:val="none" w:sz="0" w:space="0" w:color="auto"/>
              </w:divBdr>
            </w:div>
          </w:divsChild>
        </w:div>
        <w:div w:id="1914966075">
          <w:marLeft w:val="0"/>
          <w:marRight w:val="0"/>
          <w:marTop w:val="0"/>
          <w:marBottom w:val="0"/>
          <w:divBdr>
            <w:top w:val="none" w:sz="0" w:space="0" w:color="auto"/>
            <w:left w:val="none" w:sz="0" w:space="0" w:color="auto"/>
            <w:bottom w:val="none" w:sz="0" w:space="0" w:color="auto"/>
            <w:right w:val="none" w:sz="0" w:space="0" w:color="auto"/>
          </w:divBdr>
          <w:divsChild>
            <w:div w:id="1420714491">
              <w:marLeft w:val="0"/>
              <w:marRight w:val="0"/>
              <w:marTop w:val="0"/>
              <w:marBottom w:val="0"/>
              <w:divBdr>
                <w:top w:val="none" w:sz="0" w:space="0" w:color="auto"/>
                <w:left w:val="none" w:sz="0" w:space="0" w:color="auto"/>
                <w:bottom w:val="none" w:sz="0" w:space="0" w:color="auto"/>
                <w:right w:val="none" w:sz="0" w:space="0" w:color="auto"/>
              </w:divBdr>
            </w:div>
          </w:divsChild>
        </w:div>
        <w:div w:id="1915506022">
          <w:marLeft w:val="0"/>
          <w:marRight w:val="0"/>
          <w:marTop w:val="0"/>
          <w:marBottom w:val="0"/>
          <w:divBdr>
            <w:top w:val="none" w:sz="0" w:space="0" w:color="auto"/>
            <w:left w:val="none" w:sz="0" w:space="0" w:color="auto"/>
            <w:bottom w:val="none" w:sz="0" w:space="0" w:color="auto"/>
            <w:right w:val="none" w:sz="0" w:space="0" w:color="auto"/>
          </w:divBdr>
          <w:divsChild>
            <w:div w:id="1177304645">
              <w:marLeft w:val="0"/>
              <w:marRight w:val="0"/>
              <w:marTop w:val="0"/>
              <w:marBottom w:val="0"/>
              <w:divBdr>
                <w:top w:val="none" w:sz="0" w:space="0" w:color="auto"/>
                <w:left w:val="none" w:sz="0" w:space="0" w:color="auto"/>
                <w:bottom w:val="none" w:sz="0" w:space="0" w:color="auto"/>
                <w:right w:val="none" w:sz="0" w:space="0" w:color="auto"/>
              </w:divBdr>
            </w:div>
            <w:div w:id="2038700967">
              <w:marLeft w:val="0"/>
              <w:marRight w:val="0"/>
              <w:marTop w:val="0"/>
              <w:marBottom w:val="0"/>
              <w:divBdr>
                <w:top w:val="none" w:sz="0" w:space="0" w:color="auto"/>
                <w:left w:val="none" w:sz="0" w:space="0" w:color="auto"/>
                <w:bottom w:val="none" w:sz="0" w:space="0" w:color="auto"/>
                <w:right w:val="none" w:sz="0" w:space="0" w:color="auto"/>
              </w:divBdr>
            </w:div>
          </w:divsChild>
        </w:div>
        <w:div w:id="1935016412">
          <w:marLeft w:val="0"/>
          <w:marRight w:val="0"/>
          <w:marTop w:val="0"/>
          <w:marBottom w:val="0"/>
          <w:divBdr>
            <w:top w:val="none" w:sz="0" w:space="0" w:color="auto"/>
            <w:left w:val="none" w:sz="0" w:space="0" w:color="auto"/>
            <w:bottom w:val="none" w:sz="0" w:space="0" w:color="auto"/>
            <w:right w:val="none" w:sz="0" w:space="0" w:color="auto"/>
          </w:divBdr>
          <w:divsChild>
            <w:div w:id="1082332745">
              <w:marLeft w:val="0"/>
              <w:marRight w:val="0"/>
              <w:marTop w:val="0"/>
              <w:marBottom w:val="0"/>
              <w:divBdr>
                <w:top w:val="none" w:sz="0" w:space="0" w:color="auto"/>
                <w:left w:val="none" w:sz="0" w:space="0" w:color="auto"/>
                <w:bottom w:val="none" w:sz="0" w:space="0" w:color="auto"/>
                <w:right w:val="none" w:sz="0" w:space="0" w:color="auto"/>
              </w:divBdr>
            </w:div>
          </w:divsChild>
        </w:div>
        <w:div w:id="1946692566">
          <w:marLeft w:val="0"/>
          <w:marRight w:val="0"/>
          <w:marTop w:val="0"/>
          <w:marBottom w:val="0"/>
          <w:divBdr>
            <w:top w:val="none" w:sz="0" w:space="0" w:color="auto"/>
            <w:left w:val="none" w:sz="0" w:space="0" w:color="auto"/>
            <w:bottom w:val="none" w:sz="0" w:space="0" w:color="auto"/>
            <w:right w:val="none" w:sz="0" w:space="0" w:color="auto"/>
          </w:divBdr>
          <w:divsChild>
            <w:div w:id="2025938320">
              <w:marLeft w:val="0"/>
              <w:marRight w:val="0"/>
              <w:marTop w:val="0"/>
              <w:marBottom w:val="0"/>
              <w:divBdr>
                <w:top w:val="none" w:sz="0" w:space="0" w:color="auto"/>
                <w:left w:val="none" w:sz="0" w:space="0" w:color="auto"/>
                <w:bottom w:val="none" w:sz="0" w:space="0" w:color="auto"/>
                <w:right w:val="none" w:sz="0" w:space="0" w:color="auto"/>
              </w:divBdr>
            </w:div>
          </w:divsChild>
        </w:div>
        <w:div w:id="1978609144">
          <w:marLeft w:val="0"/>
          <w:marRight w:val="0"/>
          <w:marTop w:val="0"/>
          <w:marBottom w:val="0"/>
          <w:divBdr>
            <w:top w:val="none" w:sz="0" w:space="0" w:color="auto"/>
            <w:left w:val="none" w:sz="0" w:space="0" w:color="auto"/>
            <w:bottom w:val="none" w:sz="0" w:space="0" w:color="auto"/>
            <w:right w:val="none" w:sz="0" w:space="0" w:color="auto"/>
          </w:divBdr>
          <w:divsChild>
            <w:div w:id="256911486">
              <w:marLeft w:val="0"/>
              <w:marRight w:val="0"/>
              <w:marTop w:val="0"/>
              <w:marBottom w:val="0"/>
              <w:divBdr>
                <w:top w:val="none" w:sz="0" w:space="0" w:color="auto"/>
                <w:left w:val="none" w:sz="0" w:space="0" w:color="auto"/>
                <w:bottom w:val="none" w:sz="0" w:space="0" w:color="auto"/>
                <w:right w:val="none" w:sz="0" w:space="0" w:color="auto"/>
              </w:divBdr>
            </w:div>
          </w:divsChild>
        </w:div>
        <w:div w:id="1994724152">
          <w:marLeft w:val="0"/>
          <w:marRight w:val="0"/>
          <w:marTop w:val="0"/>
          <w:marBottom w:val="0"/>
          <w:divBdr>
            <w:top w:val="none" w:sz="0" w:space="0" w:color="auto"/>
            <w:left w:val="none" w:sz="0" w:space="0" w:color="auto"/>
            <w:bottom w:val="none" w:sz="0" w:space="0" w:color="auto"/>
            <w:right w:val="none" w:sz="0" w:space="0" w:color="auto"/>
          </w:divBdr>
          <w:divsChild>
            <w:div w:id="214971599">
              <w:marLeft w:val="0"/>
              <w:marRight w:val="0"/>
              <w:marTop w:val="0"/>
              <w:marBottom w:val="0"/>
              <w:divBdr>
                <w:top w:val="none" w:sz="0" w:space="0" w:color="auto"/>
                <w:left w:val="none" w:sz="0" w:space="0" w:color="auto"/>
                <w:bottom w:val="none" w:sz="0" w:space="0" w:color="auto"/>
                <w:right w:val="none" w:sz="0" w:space="0" w:color="auto"/>
              </w:divBdr>
            </w:div>
          </w:divsChild>
        </w:div>
        <w:div w:id="1994991739">
          <w:marLeft w:val="0"/>
          <w:marRight w:val="0"/>
          <w:marTop w:val="0"/>
          <w:marBottom w:val="0"/>
          <w:divBdr>
            <w:top w:val="none" w:sz="0" w:space="0" w:color="auto"/>
            <w:left w:val="none" w:sz="0" w:space="0" w:color="auto"/>
            <w:bottom w:val="none" w:sz="0" w:space="0" w:color="auto"/>
            <w:right w:val="none" w:sz="0" w:space="0" w:color="auto"/>
          </w:divBdr>
          <w:divsChild>
            <w:div w:id="1002974167">
              <w:marLeft w:val="0"/>
              <w:marRight w:val="0"/>
              <w:marTop w:val="0"/>
              <w:marBottom w:val="0"/>
              <w:divBdr>
                <w:top w:val="none" w:sz="0" w:space="0" w:color="auto"/>
                <w:left w:val="none" w:sz="0" w:space="0" w:color="auto"/>
                <w:bottom w:val="none" w:sz="0" w:space="0" w:color="auto"/>
                <w:right w:val="none" w:sz="0" w:space="0" w:color="auto"/>
              </w:divBdr>
            </w:div>
          </w:divsChild>
        </w:div>
        <w:div w:id="1995641527">
          <w:marLeft w:val="0"/>
          <w:marRight w:val="0"/>
          <w:marTop w:val="0"/>
          <w:marBottom w:val="0"/>
          <w:divBdr>
            <w:top w:val="none" w:sz="0" w:space="0" w:color="auto"/>
            <w:left w:val="none" w:sz="0" w:space="0" w:color="auto"/>
            <w:bottom w:val="none" w:sz="0" w:space="0" w:color="auto"/>
            <w:right w:val="none" w:sz="0" w:space="0" w:color="auto"/>
          </w:divBdr>
          <w:divsChild>
            <w:div w:id="1313367400">
              <w:marLeft w:val="0"/>
              <w:marRight w:val="0"/>
              <w:marTop w:val="0"/>
              <w:marBottom w:val="0"/>
              <w:divBdr>
                <w:top w:val="none" w:sz="0" w:space="0" w:color="auto"/>
                <w:left w:val="none" w:sz="0" w:space="0" w:color="auto"/>
                <w:bottom w:val="none" w:sz="0" w:space="0" w:color="auto"/>
                <w:right w:val="none" w:sz="0" w:space="0" w:color="auto"/>
              </w:divBdr>
            </w:div>
          </w:divsChild>
        </w:div>
        <w:div w:id="2005233380">
          <w:marLeft w:val="0"/>
          <w:marRight w:val="0"/>
          <w:marTop w:val="0"/>
          <w:marBottom w:val="0"/>
          <w:divBdr>
            <w:top w:val="none" w:sz="0" w:space="0" w:color="auto"/>
            <w:left w:val="none" w:sz="0" w:space="0" w:color="auto"/>
            <w:bottom w:val="none" w:sz="0" w:space="0" w:color="auto"/>
            <w:right w:val="none" w:sz="0" w:space="0" w:color="auto"/>
          </w:divBdr>
          <w:divsChild>
            <w:div w:id="34501657">
              <w:marLeft w:val="0"/>
              <w:marRight w:val="0"/>
              <w:marTop w:val="0"/>
              <w:marBottom w:val="0"/>
              <w:divBdr>
                <w:top w:val="none" w:sz="0" w:space="0" w:color="auto"/>
                <w:left w:val="none" w:sz="0" w:space="0" w:color="auto"/>
                <w:bottom w:val="none" w:sz="0" w:space="0" w:color="auto"/>
                <w:right w:val="none" w:sz="0" w:space="0" w:color="auto"/>
              </w:divBdr>
            </w:div>
            <w:div w:id="332881436">
              <w:marLeft w:val="0"/>
              <w:marRight w:val="0"/>
              <w:marTop w:val="0"/>
              <w:marBottom w:val="0"/>
              <w:divBdr>
                <w:top w:val="none" w:sz="0" w:space="0" w:color="auto"/>
                <w:left w:val="none" w:sz="0" w:space="0" w:color="auto"/>
                <w:bottom w:val="none" w:sz="0" w:space="0" w:color="auto"/>
                <w:right w:val="none" w:sz="0" w:space="0" w:color="auto"/>
              </w:divBdr>
            </w:div>
          </w:divsChild>
        </w:div>
        <w:div w:id="2008362104">
          <w:marLeft w:val="0"/>
          <w:marRight w:val="0"/>
          <w:marTop w:val="0"/>
          <w:marBottom w:val="0"/>
          <w:divBdr>
            <w:top w:val="none" w:sz="0" w:space="0" w:color="auto"/>
            <w:left w:val="none" w:sz="0" w:space="0" w:color="auto"/>
            <w:bottom w:val="none" w:sz="0" w:space="0" w:color="auto"/>
            <w:right w:val="none" w:sz="0" w:space="0" w:color="auto"/>
          </w:divBdr>
          <w:divsChild>
            <w:div w:id="347022081">
              <w:marLeft w:val="0"/>
              <w:marRight w:val="0"/>
              <w:marTop w:val="0"/>
              <w:marBottom w:val="0"/>
              <w:divBdr>
                <w:top w:val="none" w:sz="0" w:space="0" w:color="auto"/>
                <w:left w:val="none" w:sz="0" w:space="0" w:color="auto"/>
                <w:bottom w:val="none" w:sz="0" w:space="0" w:color="auto"/>
                <w:right w:val="none" w:sz="0" w:space="0" w:color="auto"/>
              </w:divBdr>
            </w:div>
          </w:divsChild>
        </w:div>
        <w:div w:id="2020933752">
          <w:marLeft w:val="0"/>
          <w:marRight w:val="0"/>
          <w:marTop w:val="0"/>
          <w:marBottom w:val="0"/>
          <w:divBdr>
            <w:top w:val="none" w:sz="0" w:space="0" w:color="auto"/>
            <w:left w:val="none" w:sz="0" w:space="0" w:color="auto"/>
            <w:bottom w:val="none" w:sz="0" w:space="0" w:color="auto"/>
            <w:right w:val="none" w:sz="0" w:space="0" w:color="auto"/>
          </w:divBdr>
          <w:divsChild>
            <w:div w:id="2022849126">
              <w:marLeft w:val="0"/>
              <w:marRight w:val="0"/>
              <w:marTop w:val="0"/>
              <w:marBottom w:val="0"/>
              <w:divBdr>
                <w:top w:val="none" w:sz="0" w:space="0" w:color="auto"/>
                <w:left w:val="none" w:sz="0" w:space="0" w:color="auto"/>
                <w:bottom w:val="none" w:sz="0" w:space="0" w:color="auto"/>
                <w:right w:val="none" w:sz="0" w:space="0" w:color="auto"/>
              </w:divBdr>
            </w:div>
          </w:divsChild>
        </w:div>
        <w:div w:id="2034303135">
          <w:marLeft w:val="0"/>
          <w:marRight w:val="0"/>
          <w:marTop w:val="0"/>
          <w:marBottom w:val="0"/>
          <w:divBdr>
            <w:top w:val="none" w:sz="0" w:space="0" w:color="auto"/>
            <w:left w:val="none" w:sz="0" w:space="0" w:color="auto"/>
            <w:bottom w:val="none" w:sz="0" w:space="0" w:color="auto"/>
            <w:right w:val="none" w:sz="0" w:space="0" w:color="auto"/>
          </w:divBdr>
          <w:divsChild>
            <w:div w:id="1363673735">
              <w:marLeft w:val="0"/>
              <w:marRight w:val="0"/>
              <w:marTop w:val="0"/>
              <w:marBottom w:val="0"/>
              <w:divBdr>
                <w:top w:val="none" w:sz="0" w:space="0" w:color="auto"/>
                <w:left w:val="none" w:sz="0" w:space="0" w:color="auto"/>
                <w:bottom w:val="none" w:sz="0" w:space="0" w:color="auto"/>
                <w:right w:val="none" w:sz="0" w:space="0" w:color="auto"/>
              </w:divBdr>
            </w:div>
          </w:divsChild>
        </w:div>
        <w:div w:id="2083067184">
          <w:marLeft w:val="0"/>
          <w:marRight w:val="0"/>
          <w:marTop w:val="0"/>
          <w:marBottom w:val="0"/>
          <w:divBdr>
            <w:top w:val="none" w:sz="0" w:space="0" w:color="auto"/>
            <w:left w:val="none" w:sz="0" w:space="0" w:color="auto"/>
            <w:bottom w:val="none" w:sz="0" w:space="0" w:color="auto"/>
            <w:right w:val="none" w:sz="0" w:space="0" w:color="auto"/>
          </w:divBdr>
          <w:divsChild>
            <w:div w:id="739256853">
              <w:marLeft w:val="0"/>
              <w:marRight w:val="0"/>
              <w:marTop w:val="0"/>
              <w:marBottom w:val="0"/>
              <w:divBdr>
                <w:top w:val="none" w:sz="0" w:space="0" w:color="auto"/>
                <w:left w:val="none" w:sz="0" w:space="0" w:color="auto"/>
                <w:bottom w:val="none" w:sz="0" w:space="0" w:color="auto"/>
                <w:right w:val="none" w:sz="0" w:space="0" w:color="auto"/>
              </w:divBdr>
            </w:div>
          </w:divsChild>
        </w:div>
        <w:div w:id="2084182016">
          <w:marLeft w:val="0"/>
          <w:marRight w:val="0"/>
          <w:marTop w:val="0"/>
          <w:marBottom w:val="0"/>
          <w:divBdr>
            <w:top w:val="none" w:sz="0" w:space="0" w:color="auto"/>
            <w:left w:val="none" w:sz="0" w:space="0" w:color="auto"/>
            <w:bottom w:val="none" w:sz="0" w:space="0" w:color="auto"/>
            <w:right w:val="none" w:sz="0" w:space="0" w:color="auto"/>
          </w:divBdr>
          <w:divsChild>
            <w:div w:id="1816264774">
              <w:marLeft w:val="0"/>
              <w:marRight w:val="0"/>
              <w:marTop w:val="0"/>
              <w:marBottom w:val="0"/>
              <w:divBdr>
                <w:top w:val="none" w:sz="0" w:space="0" w:color="auto"/>
                <w:left w:val="none" w:sz="0" w:space="0" w:color="auto"/>
                <w:bottom w:val="none" w:sz="0" w:space="0" w:color="auto"/>
                <w:right w:val="none" w:sz="0" w:space="0" w:color="auto"/>
              </w:divBdr>
            </w:div>
          </w:divsChild>
        </w:div>
        <w:div w:id="2117169074">
          <w:marLeft w:val="0"/>
          <w:marRight w:val="0"/>
          <w:marTop w:val="0"/>
          <w:marBottom w:val="0"/>
          <w:divBdr>
            <w:top w:val="none" w:sz="0" w:space="0" w:color="auto"/>
            <w:left w:val="none" w:sz="0" w:space="0" w:color="auto"/>
            <w:bottom w:val="none" w:sz="0" w:space="0" w:color="auto"/>
            <w:right w:val="none" w:sz="0" w:space="0" w:color="auto"/>
          </w:divBdr>
          <w:divsChild>
            <w:div w:id="680355560">
              <w:marLeft w:val="0"/>
              <w:marRight w:val="0"/>
              <w:marTop w:val="0"/>
              <w:marBottom w:val="0"/>
              <w:divBdr>
                <w:top w:val="none" w:sz="0" w:space="0" w:color="auto"/>
                <w:left w:val="none" w:sz="0" w:space="0" w:color="auto"/>
                <w:bottom w:val="none" w:sz="0" w:space="0" w:color="auto"/>
                <w:right w:val="none" w:sz="0" w:space="0" w:color="auto"/>
              </w:divBdr>
            </w:div>
          </w:divsChild>
        </w:div>
        <w:div w:id="2118677583">
          <w:marLeft w:val="0"/>
          <w:marRight w:val="0"/>
          <w:marTop w:val="0"/>
          <w:marBottom w:val="0"/>
          <w:divBdr>
            <w:top w:val="none" w:sz="0" w:space="0" w:color="auto"/>
            <w:left w:val="none" w:sz="0" w:space="0" w:color="auto"/>
            <w:bottom w:val="none" w:sz="0" w:space="0" w:color="auto"/>
            <w:right w:val="none" w:sz="0" w:space="0" w:color="auto"/>
          </w:divBdr>
          <w:divsChild>
            <w:div w:id="946697271">
              <w:marLeft w:val="0"/>
              <w:marRight w:val="0"/>
              <w:marTop w:val="0"/>
              <w:marBottom w:val="0"/>
              <w:divBdr>
                <w:top w:val="none" w:sz="0" w:space="0" w:color="auto"/>
                <w:left w:val="none" w:sz="0" w:space="0" w:color="auto"/>
                <w:bottom w:val="none" w:sz="0" w:space="0" w:color="auto"/>
                <w:right w:val="none" w:sz="0" w:space="0" w:color="auto"/>
              </w:divBdr>
            </w:div>
          </w:divsChild>
        </w:div>
        <w:div w:id="2124493189">
          <w:marLeft w:val="0"/>
          <w:marRight w:val="0"/>
          <w:marTop w:val="0"/>
          <w:marBottom w:val="0"/>
          <w:divBdr>
            <w:top w:val="none" w:sz="0" w:space="0" w:color="auto"/>
            <w:left w:val="none" w:sz="0" w:space="0" w:color="auto"/>
            <w:bottom w:val="none" w:sz="0" w:space="0" w:color="auto"/>
            <w:right w:val="none" w:sz="0" w:space="0" w:color="auto"/>
          </w:divBdr>
          <w:divsChild>
            <w:div w:id="207649440">
              <w:marLeft w:val="0"/>
              <w:marRight w:val="0"/>
              <w:marTop w:val="0"/>
              <w:marBottom w:val="0"/>
              <w:divBdr>
                <w:top w:val="none" w:sz="0" w:space="0" w:color="auto"/>
                <w:left w:val="none" w:sz="0" w:space="0" w:color="auto"/>
                <w:bottom w:val="none" w:sz="0" w:space="0" w:color="auto"/>
                <w:right w:val="none" w:sz="0" w:space="0" w:color="auto"/>
              </w:divBdr>
            </w:div>
          </w:divsChild>
        </w:div>
        <w:div w:id="2127694416">
          <w:marLeft w:val="0"/>
          <w:marRight w:val="0"/>
          <w:marTop w:val="0"/>
          <w:marBottom w:val="0"/>
          <w:divBdr>
            <w:top w:val="none" w:sz="0" w:space="0" w:color="auto"/>
            <w:left w:val="none" w:sz="0" w:space="0" w:color="auto"/>
            <w:bottom w:val="none" w:sz="0" w:space="0" w:color="auto"/>
            <w:right w:val="none" w:sz="0" w:space="0" w:color="auto"/>
          </w:divBdr>
          <w:divsChild>
            <w:div w:id="13566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59870">
      <w:bodyDiv w:val="1"/>
      <w:marLeft w:val="0"/>
      <w:marRight w:val="0"/>
      <w:marTop w:val="0"/>
      <w:marBottom w:val="0"/>
      <w:divBdr>
        <w:top w:val="none" w:sz="0" w:space="0" w:color="auto"/>
        <w:left w:val="none" w:sz="0" w:space="0" w:color="auto"/>
        <w:bottom w:val="none" w:sz="0" w:space="0" w:color="auto"/>
        <w:right w:val="none" w:sz="0" w:space="0" w:color="auto"/>
      </w:divBdr>
    </w:div>
    <w:div w:id="1964143265">
      <w:bodyDiv w:val="1"/>
      <w:marLeft w:val="0"/>
      <w:marRight w:val="0"/>
      <w:marTop w:val="0"/>
      <w:marBottom w:val="0"/>
      <w:divBdr>
        <w:top w:val="none" w:sz="0" w:space="0" w:color="auto"/>
        <w:left w:val="none" w:sz="0" w:space="0" w:color="auto"/>
        <w:bottom w:val="none" w:sz="0" w:space="0" w:color="auto"/>
        <w:right w:val="none" w:sz="0" w:space="0" w:color="auto"/>
      </w:divBdr>
    </w:div>
    <w:div w:id="1965425999">
      <w:bodyDiv w:val="1"/>
      <w:marLeft w:val="0"/>
      <w:marRight w:val="0"/>
      <w:marTop w:val="0"/>
      <w:marBottom w:val="0"/>
      <w:divBdr>
        <w:top w:val="none" w:sz="0" w:space="0" w:color="auto"/>
        <w:left w:val="none" w:sz="0" w:space="0" w:color="auto"/>
        <w:bottom w:val="none" w:sz="0" w:space="0" w:color="auto"/>
        <w:right w:val="none" w:sz="0" w:space="0" w:color="auto"/>
      </w:divBdr>
    </w:div>
    <w:div w:id="1991589684">
      <w:bodyDiv w:val="1"/>
      <w:marLeft w:val="0"/>
      <w:marRight w:val="0"/>
      <w:marTop w:val="0"/>
      <w:marBottom w:val="0"/>
      <w:divBdr>
        <w:top w:val="none" w:sz="0" w:space="0" w:color="auto"/>
        <w:left w:val="none" w:sz="0" w:space="0" w:color="auto"/>
        <w:bottom w:val="none" w:sz="0" w:space="0" w:color="auto"/>
        <w:right w:val="none" w:sz="0" w:space="0" w:color="auto"/>
      </w:divBdr>
    </w:div>
    <w:div w:id="1991666509">
      <w:bodyDiv w:val="1"/>
      <w:marLeft w:val="0"/>
      <w:marRight w:val="0"/>
      <w:marTop w:val="0"/>
      <w:marBottom w:val="0"/>
      <w:divBdr>
        <w:top w:val="none" w:sz="0" w:space="0" w:color="auto"/>
        <w:left w:val="none" w:sz="0" w:space="0" w:color="auto"/>
        <w:bottom w:val="none" w:sz="0" w:space="0" w:color="auto"/>
        <w:right w:val="none" w:sz="0" w:space="0" w:color="auto"/>
      </w:divBdr>
    </w:div>
    <w:div w:id="1994523851">
      <w:bodyDiv w:val="1"/>
      <w:marLeft w:val="0"/>
      <w:marRight w:val="0"/>
      <w:marTop w:val="0"/>
      <w:marBottom w:val="0"/>
      <w:divBdr>
        <w:top w:val="none" w:sz="0" w:space="0" w:color="auto"/>
        <w:left w:val="none" w:sz="0" w:space="0" w:color="auto"/>
        <w:bottom w:val="none" w:sz="0" w:space="0" w:color="auto"/>
        <w:right w:val="none" w:sz="0" w:space="0" w:color="auto"/>
      </w:divBdr>
    </w:div>
    <w:div w:id="1995058708">
      <w:bodyDiv w:val="1"/>
      <w:marLeft w:val="0"/>
      <w:marRight w:val="0"/>
      <w:marTop w:val="0"/>
      <w:marBottom w:val="0"/>
      <w:divBdr>
        <w:top w:val="none" w:sz="0" w:space="0" w:color="auto"/>
        <w:left w:val="none" w:sz="0" w:space="0" w:color="auto"/>
        <w:bottom w:val="none" w:sz="0" w:space="0" w:color="auto"/>
        <w:right w:val="none" w:sz="0" w:space="0" w:color="auto"/>
      </w:divBdr>
    </w:div>
    <w:div w:id="2002924391">
      <w:bodyDiv w:val="1"/>
      <w:marLeft w:val="0"/>
      <w:marRight w:val="0"/>
      <w:marTop w:val="0"/>
      <w:marBottom w:val="0"/>
      <w:divBdr>
        <w:top w:val="none" w:sz="0" w:space="0" w:color="auto"/>
        <w:left w:val="none" w:sz="0" w:space="0" w:color="auto"/>
        <w:bottom w:val="none" w:sz="0" w:space="0" w:color="auto"/>
        <w:right w:val="none" w:sz="0" w:space="0" w:color="auto"/>
      </w:divBdr>
    </w:div>
    <w:div w:id="2012029318">
      <w:bodyDiv w:val="1"/>
      <w:marLeft w:val="0"/>
      <w:marRight w:val="0"/>
      <w:marTop w:val="0"/>
      <w:marBottom w:val="0"/>
      <w:divBdr>
        <w:top w:val="none" w:sz="0" w:space="0" w:color="auto"/>
        <w:left w:val="none" w:sz="0" w:space="0" w:color="auto"/>
        <w:bottom w:val="none" w:sz="0" w:space="0" w:color="auto"/>
        <w:right w:val="none" w:sz="0" w:space="0" w:color="auto"/>
      </w:divBdr>
    </w:div>
    <w:div w:id="2015836929">
      <w:bodyDiv w:val="1"/>
      <w:marLeft w:val="0"/>
      <w:marRight w:val="0"/>
      <w:marTop w:val="0"/>
      <w:marBottom w:val="0"/>
      <w:divBdr>
        <w:top w:val="none" w:sz="0" w:space="0" w:color="auto"/>
        <w:left w:val="none" w:sz="0" w:space="0" w:color="auto"/>
        <w:bottom w:val="none" w:sz="0" w:space="0" w:color="auto"/>
        <w:right w:val="none" w:sz="0" w:space="0" w:color="auto"/>
      </w:divBdr>
    </w:div>
    <w:div w:id="2030832586">
      <w:bodyDiv w:val="1"/>
      <w:marLeft w:val="0"/>
      <w:marRight w:val="0"/>
      <w:marTop w:val="0"/>
      <w:marBottom w:val="0"/>
      <w:divBdr>
        <w:top w:val="none" w:sz="0" w:space="0" w:color="auto"/>
        <w:left w:val="none" w:sz="0" w:space="0" w:color="auto"/>
        <w:bottom w:val="none" w:sz="0" w:space="0" w:color="auto"/>
        <w:right w:val="none" w:sz="0" w:space="0" w:color="auto"/>
      </w:divBdr>
    </w:div>
    <w:div w:id="2048289569">
      <w:bodyDiv w:val="1"/>
      <w:marLeft w:val="0"/>
      <w:marRight w:val="0"/>
      <w:marTop w:val="0"/>
      <w:marBottom w:val="0"/>
      <w:divBdr>
        <w:top w:val="none" w:sz="0" w:space="0" w:color="auto"/>
        <w:left w:val="none" w:sz="0" w:space="0" w:color="auto"/>
        <w:bottom w:val="none" w:sz="0" w:space="0" w:color="auto"/>
        <w:right w:val="none" w:sz="0" w:space="0" w:color="auto"/>
      </w:divBdr>
    </w:div>
    <w:div w:id="2057193238">
      <w:bodyDiv w:val="1"/>
      <w:marLeft w:val="0"/>
      <w:marRight w:val="0"/>
      <w:marTop w:val="0"/>
      <w:marBottom w:val="0"/>
      <w:divBdr>
        <w:top w:val="none" w:sz="0" w:space="0" w:color="auto"/>
        <w:left w:val="none" w:sz="0" w:space="0" w:color="auto"/>
        <w:bottom w:val="none" w:sz="0" w:space="0" w:color="auto"/>
        <w:right w:val="none" w:sz="0" w:space="0" w:color="auto"/>
      </w:divBdr>
    </w:div>
    <w:div w:id="2069451831">
      <w:bodyDiv w:val="1"/>
      <w:marLeft w:val="0"/>
      <w:marRight w:val="0"/>
      <w:marTop w:val="0"/>
      <w:marBottom w:val="0"/>
      <w:divBdr>
        <w:top w:val="none" w:sz="0" w:space="0" w:color="auto"/>
        <w:left w:val="none" w:sz="0" w:space="0" w:color="auto"/>
        <w:bottom w:val="none" w:sz="0" w:space="0" w:color="auto"/>
        <w:right w:val="none" w:sz="0" w:space="0" w:color="auto"/>
      </w:divBdr>
    </w:div>
    <w:div w:id="2076273692">
      <w:bodyDiv w:val="1"/>
      <w:marLeft w:val="0"/>
      <w:marRight w:val="0"/>
      <w:marTop w:val="0"/>
      <w:marBottom w:val="0"/>
      <w:divBdr>
        <w:top w:val="none" w:sz="0" w:space="0" w:color="auto"/>
        <w:left w:val="none" w:sz="0" w:space="0" w:color="auto"/>
        <w:bottom w:val="none" w:sz="0" w:space="0" w:color="auto"/>
        <w:right w:val="none" w:sz="0" w:space="0" w:color="auto"/>
      </w:divBdr>
    </w:div>
    <w:div w:id="2086104197">
      <w:bodyDiv w:val="1"/>
      <w:marLeft w:val="0"/>
      <w:marRight w:val="0"/>
      <w:marTop w:val="0"/>
      <w:marBottom w:val="0"/>
      <w:divBdr>
        <w:top w:val="none" w:sz="0" w:space="0" w:color="auto"/>
        <w:left w:val="none" w:sz="0" w:space="0" w:color="auto"/>
        <w:bottom w:val="none" w:sz="0" w:space="0" w:color="auto"/>
        <w:right w:val="none" w:sz="0" w:space="0" w:color="auto"/>
      </w:divBdr>
    </w:div>
    <w:div w:id="2105110372">
      <w:bodyDiv w:val="1"/>
      <w:marLeft w:val="0"/>
      <w:marRight w:val="0"/>
      <w:marTop w:val="0"/>
      <w:marBottom w:val="0"/>
      <w:divBdr>
        <w:top w:val="none" w:sz="0" w:space="0" w:color="auto"/>
        <w:left w:val="none" w:sz="0" w:space="0" w:color="auto"/>
        <w:bottom w:val="none" w:sz="0" w:space="0" w:color="auto"/>
        <w:right w:val="none" w:sz="0" w:space="0" w:color="auto"/>
      </w:divBdr>
    </w:div>
    <w:div w:id="212418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5.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yperlink" Target="http://www.kingcounty.gov/~/media/elected/executive/equity-social-justice/2016/The_Equity_Impact_Review_checklist_Mar2016.ashx?la=e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4.png"/><Relationship Id="rId37"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kingcounty.gov/elected/executive/constantine/news/release/2018/March/30-homelessness-prevention-2017-results.aspx"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17" Type="http://schemas.openxmlformats.org/officeDocument/2006/relationships/hyperlink" Target="https://mkcclegisearch.kingcounty.gov/LegislationDetail.aspx?ID=4769147&amp;GUID=D66186DB-DAAC-46FC-8A44-CC5FD645AC09&amp;Options=Advanced&amp;Search=" TargetMode="External"/><Relationship Id="rId21" Type="http://schemas.openxmlformats.org/officeDocument/2006/relationships/hyperlink" Target="https://mkcclegisearch.kingcounty.gov/LegislationDetail.aspx?ID=2740623&amp;GUID=BE56F984-F187-4903-86CC-907CE53438AA&amp;Options=Advanced&amp;Search=" TargetMode="External"/><Relationship Id="rId42" Type="http://schemas.openxmlformats.org/officeDocument/2006/relationships/hyperlink" Target="https://mkcclegisearch.kingcounty.gov/LegislationDetail.aspx?ID=660111&amp;GUID=0D42D9E0-FE16-41D4-A34E-C3F4DED7D62C&amp;Options=Advanced&amp;Search=&amp;FullText=1" TargetMode="External"/><Relationship Id="rId47" Type="http://schemas.openxmlformats.org/officeDocument/2006/relationships/hyperlink" Target="https://kingcounty.gov/depts/community-human-services/mental-health-substance-abuse/midd.aspx" TargetMode="External"/><Relationship Id="rId63" Type="http://schemas.openxmlformats.org/officeDocument/2006/relationships/hyperlink" Target="https://mkcclegisearch.kingcounty.gov/LegislationDetail.aspx?ID=2740623&amp;GUID=BE56F984-F187-4903-86CC-907CE53438AA&amp;Options=Advanced&amp;Search=" TargetMode="External"/><Relationship Id="rId68" Type="http://schemas.openxmlformats.org/officeDocument/2006/relationships/hyperlink" Target="https://www.kingcounty.gov/depts/assessor/Reports/annual-reports/~/media/depts/assessor/documents/annualreports/2020/20AVByCity.ashx?la=en" TargetMode="External"/><Relationship Id="rId84" Type="http://schemas.openxmlformats.org/officeDocument/2006/relationships/hyperlink" Target="https://info.childcareaware.org/hubfs/2019%20Price%20of%20Care%20State%20Sheets/Washington.pdf?utm_campaign=2019%20Cost%20of%20Care&amp;utm_source=2019%20COC%20-%20WA" TargetMode="External"/><Relationship Id="rId89" Type="http://schemas.openxmlformats.org/officeDocument/2006/relationships/hyperlink" Target="https://ncearlyeducationcoalition.org/wp-content/uploads/2020/12/Full-Report-%E2%80%93-Building-For-the-Future_-Strong-Policies-for-Babies-and-Families-After-COVID-19-.pdf" TargetMode="External"/><Relationship Id="rId112" Type="http://schemas.openxmlformats.org/officeDocument/2006/relationships/hyperlink" Target="https://helpmegrownational.org/hmg-system-model/" TargetMode="External"/><Relationship Id="rId133" Type="http://schemas.openxmlformats.org/officeDocument/2006/relationships/hyperlink" Target="https://kc1.sharepoint.com/teams/BSKRenewalTeamSite/Shared%20Documents/09.%20Implementation%20Plan/School-Based%20Health%20Centers%20to%20Advance%20Health%20Equity" TargetMode="External"/><Relationship Id="rId138" Type="http://schemas.openxmlformats.org/officeDocument/2006/relationships/hyperlink" Target="https://kingcounty.legistar.com/LegislationDetail.aspx?ID=4769147&amp;GUID=D66186DB-DAAC-46FC-8A44-CC5FD645AC09&amp;Options=Advanced&amp;Search=" TargetMode="External"/><Relationship Id="rId154" Type="http://schemas.openxmlformats.org/officeDocument/2006/relationships/hyperlink" Target="https://www.nrpa.org/globalassets/research/witt-caldwell-full-research-paper.pdf" TargetMode="External"/><Relationship Id="rId159" Type="http://schemas.openxmlformats.org/officeDocument/2006/relationships/hyperlink" Target="https://kingcounty.gov/depts/community-human-services/housing/services/housing-finance.aspx" TargetMode="External"/><Relationship Id="rId175" Type="http://schemas.openxmlformats.org/officeDocument/2006/relationships/hyperlink" Target="https://mkcclegisearch.kingcounty.gov/LegislationDetail.aspx?ID=3094878&amp;GUID=38AA5568-3B98-443B-A3D9-D1E2AF13A61F&amp;Options=Advanced&amp;Search=" TargetMode="External"/><Relationship Id="rId170" Type="http://schemas.openxmlformats.org/officeDocument/2006/relationships/hyperlink" Target="https://www.aecf.org/resources/reflections-on-applying-principles-of-equitable-evaluation/" TargetMode="External"/><Relationship Id="rId191" Type="http://schemas.openxmlformats.org/officeDocument/2006/relationships/hyperlink" Target="https://mkcclegisearch.kingcounty.gov/LegislationDetail.aspx?ID=4769147&amp;GUID=D66186DB-DAAC-46FC-8A44-CC5FD645AC09&amp;Options=Advanced&amp;Search=" TargetMode="External"/><Relationship Id="rId16" Type="http://schemas.openxmlformats.org/officeDocument/2006/relationships/hyperlink" Target="https://mkcclegisearch.kingcounty.gov/LegislationDetail.aspx?ID=4670940&amp;GUID=3FC9FF88-6102-49D5-BEC7-D3FC75B5972B&amp;Options=Advanced&amp;Search=" TargetMode="External"/><Relationship Id="rId107" Type="http://schemas.openxmlformats.org/officeDocument/2006/relationships/hyperlink" Target="https://www.zerotothree.org/resources/2661-america-s-babies-making-their-potential-our-priority" TargetMode="External"/><Relationship Id="rId11" Type="http://schemas.openxmlformats.org/officeDocument/2006/relationships/hyperlink" Target="https://mkcclegisearch.kingcounty.gov/LegislationDetail.aspx?ID=4769147&amp;GUID=D66186DB-DAAC-46FC-8A44-CC5FD645AC09&amp;Options=Advanced&amp;Search=" TargetMode="External"/><Relationship Id="rId32" Type="http://schemas.openxmlformats.org/officeDocument/2006/relationships/hyperlink" Target="https://mkcclegisearch.kingcounty.gov/LegislationDetail.aspx?ID=4670939&amp;GUID=25AE5BAB-7F11-4791-ACDE-8BEED4DDB600&amp;Options=Advanced&amp;Search=" TargetMode="External"/><Relationship Id="rId37" Type="http://schemas.openxmlformats.org/officeDocument/2006/relationships/hyperlink" Target="https://tinyurl.com/y7m8ddkg" TargetMode="External"/><Relationship Id="rId53" Type="http://schemas.openxmlformats.org/officeDocument/2006/relationships/hyperlink" Target="https://www.ofm.wa.gov/washington-dataresearch/population-demographics/population-estimates/estimates-april-1-population-age-sex-race-andhispanic-origin" TargetMode="External"/><Relationship Id="rId58" Type="http://schemas.openxmlformats.org/officeDocument/2006/relationships/hyperlink" Target="https://aqua.kingcounty.gov/dnrp/library/dnrp-directors-office/equity-social-justice/201609-ESJ-SP-FULL.pdf" TargetMode="External"/><Relationship Id="rId74" Type="http://schemas.openxmlformats.org/officeDocument/2006/relationships/hyperlink" Target="https://heckmanequation.org/" TargetMode="External"/><Relationship Id="rId79" Type="http://schemas.openxmlformats.org/officeDocument/2006/relationships/hyperlink" Target="https://www.seattle.gov/education/for-parents/child-care-and-preschool" TargetMode="External"/><Relationship Id="rId102" Type="http://schemas.openxmlformats.org/officeDocument/2006/relationships/hyperlink" Target="https://www.childcare.org/ckfinder/userfiles/files/Kaleidoscope_Play_%26_Learn_Description.pdf" TargetMode="External"/><Relationship Id="rId123" Type="http://schemas.openxmlformats.org/officeDocument/2006/relationships/hyperlink" Target="https://www.schoolsoutwashington.org/pages/social-emotional-learning" TargetMode="External"/><Relationship Id="rId128" Type="http://schemas.openxmlformats.org/officeDocument/2006/relationships/hyperlink" Target="https://www.samhsa.gov/data/sites/default/files/reports/rpt29393/2019NSDUHFFRPDFWHTML/2019NSDUHFFR1PDFW090120.pdf" TargetMode="External"/><Relationship Id="rId144" Type="http://schemas.openxmlformats.org/officeDocument/2006/relationships/hyperlink" Target="https://kingcounty.gov/~/media/Council/documents/Issues/PSTAA/FINAL-Implementation-Plan-PSTAA-Proceeds.ashx?la=en" TargetMode="External"/><Relationship Id="rId149" Type="http://schemas.openxmlformats.org/officeDocument/2006/relationships/hyperlink" Target="https://kingcounty.gov/independent/forecasting.aspx" TargetMode="External"/><Relationship Id="rId5" Type="http://schemas.openxmlformats.org/officeDocument/2006/relationships/hyperlink" Target="https://mkcclegisearch.kingcounty.gov/LegislationDetail.aspx?ID=4670939&amp;GUID=25AE5BAB-7F11-4791-ACDE-8BEED4DDB600&amp;Options=Advanced&amp;Search=" TargetMode="External"/><Relationship Id="rId90" Type="http://schemas.openxmlformats.org/officeDocument/2006/relationships/hyperlink" Target="https://info.childcareaware.org/hubfs/2019%20Price%20of%20Care%20State%20Sheets/Final-TheUSandtheHighPriceofChildCare-AnExaminationofaBrokenSystem.pdf" TargetMode="External"/><Relationship Id="rId95" Type="http://schemas.openxmlformats.org/officeDocument/2006/relationships/hyperlink" Target="https://www.dcyf.wa.gov/sites/default/files/pdf/reports/CompensationTechWrkgrpRprt.pdf&#160;" TargetMode="External"/><Relationship Id="rId160" Type="http://schemas.openxmlformats.org/officeDocument/2006/relationships/hyperlink" Target="http://www.seattle.gov/opcd/ongoing-initiatives/equitable-development-initiative" TargetMode="External"/><Relationship Id="rId165" Type="http://schemas.openxmlformats.org/officeDocument/2006/relationships/hyperlink" Target="https://beststartsblog.com/2020/10/22/making-government-funding-applications-more-accessible-an-evaluation-of-best-starts-technical-assistance/" TargetMode="External"/><Relationship Id="rId181" Type="http://schemas.openxmlformats.org/officeDocument/2006/relationships/hyperlink" Target="https://kingcounty.gov/depts/community-human-services/initiatives/best-starts-for-kids/data.aspx" TargetMode="External"/><Relationship Id="rId186" Type="http://schemas.openxmlformats.org/officeDocument/2006/relationships/hyperlink" Target="https://www.healthypeople.gov/2020/topics-objectives/topic/social-determinants-of-health" TargetMode="External"/><Relationship Id="rId22" Type="http://schemas.openxmlformats.org/officeDocument/2006/relationships/hyperlink" Target="https://mkcclegisearch.kingcounty.gov/LegislationDetail.aspx?ID=4769147&amp;GUID=D66186DB-DAAC-46FC-8A44-CC5FD645AC09&amp;Options=Advanced&amp;Search=" TargetMode="External"/><Relationship Id="rId27" Type="http://schemas.openxmlformats.org/officeDocument/2006/relationships/hyperlink" Target="https://app.leg.wa.gov/rcw/default.aspx?cite=84.52.010" TargetMode="External"/><Relationship Id="rId43" Type="http://schemas.openxmlformats.org/officeDocument/2006/relationships/hyperlink" Target="https://mkcclegisearch.kingcounty.gov/LegislationDetail.aspx?ID=1912040&amp;GUID=2523ABC0-535F-415D-AB4B-53528CC8E329&amp;Options=Advanced&amp;Search=" TargetMode="External"/><Relationship Id="rId48" Type="http://schemas.openxmlformats.org/officeDocument/2006/relationships/hyperlink" Target="https://kingcounty.gov/depts/community-human-services/initiatives/levy.aspx" TargetMode="External"/><Relationship Id="rId64" Type="http://schemas.openxmlformats.org/officeDocument/2006/relationships/hyperlink" Target="https://mkcclegisearch.kingcounty.gov/LegislationDetail.aspx?ID=4769147&amp;GUID=D66186DB-DAAC-46FC-8A44-CC5FD645AC09&amp;Options=Advanced&amp;Search=" TargetMode="External"/><Relationship Id="rId69" Type="http://schemas.openxmlformats.org/officeDocument/2006/relationships/hyperlink" Target="https://kingcounty.legistar.com/LegislationDetail.aspx?ID=3685952&amp;GUID=1E85F01F-3146-499F-BB69-7F7645D84F03&amp;Options=Advanced&amp;Search=" TargetMode="External"/><Relationship Id="rId113" Type="http://schemas.openxmlformats.org/officeDocument/2006/relationships/hyperlink" Target="https://kc1.sharepoint.com/teams/BSKRenewalTeamSite/Shared%20Documents/09.%20Implementation%20Plan/LINK" TargetMode="External"/><Relationship Id="rId118" Type="http://schemas.openxmlformats.org/officeDocument/2006/relationships/hyperlink" Target="https://static1.squarespace.com/static/5b75d96ccc8fedfce4d3c5a8/t/5dee6a1d13bf9952af869c56/1575905822222/Funding+Brighter+Futures.pdf" TargetMode="External"/><Relationship Id="rId134" Type="http://schemas.openxmlformats.org/officeDocument/2006/relationships/hyperlink" Target="https://kingcounty.legistar.com/LegislationDetail.aspx?ID=4913461&amp;GUID=45ED00FB-0BF6-444A-B66A-9E32B176B3A1&amp;FullText=1" TargetMode="External"/><Relationship Id="rId139" Type="http://schemas.openxmlformats.org/officeDocument/2006/relationships/hyperlink" Target="https://kingcounty.gov/~/media/depts/community-human-services/best-starts-kids/documents/Community_Conversations_2020.ashx?la=en" TargetMode="External"/><Relationship Id="rId80" Type="http://schemas.openxmlformats.org/officeDocument/2006/relationships/hyperlink" Target="http://lawfilesext.leg.wa.gov/biennium/2021-22/Pdf/Bills/Senate%20Passed%20Legislature/5237-S2.PL.pdf?q=20210519103414" TargetMode="External"/><Relationship Id="rId85" Type="http://schemas.openxmlformats.org/officeDocument/2006/relationships/hyperlink" Target="https://ascend.aspeninstitute.org/reducing-the-cliff-effect-to-support-working-families/" TargetMode="External"/><Relationship Id="rId150" Type="http://schemas.openxmlformats.org/officeDocument/2006/relationships/hyperlink" Target="https://www.dcyf.wa.gov/sites/default/files/pdf/eceap/Facility_Needs_Assessment_for_ECEAP_Expansion_September_2016_0.pdf" TargetMode="External"/><Relationship Id="rId155" Type="http://schemas.openxmlformats.org/officeDocument/2006/relationships/hyperlink" Target="https://jbcc.harvard.edu/sites/default/files/impact_of_the_covid-19_pandemic_on_children_youth_and_families_.pdf" TargetMode="External"/><Relationship Id="rId171" Type="http://schemas.openxmlformats.org/officeDocument/2006/relationships/hyperlink" Target="https://crosscut.com/2019/05/abigail-echo-hawk-art-and-science-decolonizing-data" TargetMode="External"/><Relationship Id="rId176" Type="http://schemas.openxmlformats.org/officeDocument/2006/relationships/hyperlink" Target="https://beststartsblog.com/2017/06/13/best-starts-for-kids-health-survey-recognized-with-national-equity-award/" TargetMode="External"/><Relationship Id="rId192" Type="http://schemas.openxmlformats.org/officeDocument/2006/relationships/hyperlink" Target="https://mkcclegisearch.kingcounty.gov/LegislationDetail.aspx?ID=4670939&amp;GUID=25AE5BAB-7F11-4791-ACDE-8BEED4DDB600&amp;Options=Advanced&amp;Search=" TargetMode="External"/><Relationship Id="rId12" Type="http://schemas.openxmlformats.org/officeDocument/2006/relationships/hyperlink" Target="https://mkcclegisearch.kingcounty.gov/LegislationDetail.aspx?ID=4913461&amp;GUID=45ED00FB-0BF6-444A-B66A-9E32B176B3A1&amp;Options=Advanced&amp;Search=" TargetMode="External"/><Relationship Id="rId17" Type="http://schemas.openxmlformats.org/officeDocument/2006/relationships/hyperlink" Target="https://mkcclegisearch.kingcounty.gov/LegislationDetail.aspx?ID=4072097&amp;GUID=700C62D6-F2B1-4064-ACA0-A121720F0890&amp;Options=&amp;Search=&amp;FullText=1" TargetMode="External"/><Relationship Id="rId33" Type="http://schemas.openxmlformats.org/officeDocument/2006/relationships/hyperlink" Target="https://www.kingcounty.gov/depts/community-human-services/initiatives/best-starts-for-kids/programs/awards.aspx" TargetMode="External"/><Relationship Id="rId38" Type="http://schemas.openxmlformats.org/officeDocument/2006/relationships/hyperlink" Target="https://tinyurl.com/y7m8ddkg" TargetMode="External"/><Relationship Id="rId59" Type="http://schemas.openxmlformats.org/officeDocument/2006/relationships/hyperlink" Target="https://mkcclegisearch.kingcounty.gov/LegislationDetail.aspx?ID=4769147&amp;GUID=D66186DB-DAAC-46FC-8A44-CC5FD645AC09&amp;Options=Advanced&amp;Search=" TargetMode="External"/><Relationship Id="rId103" Type="http://schemas.openxmlformats.org/officeDocument/2006/relationships/hyperlink" Target="https://kingcounty.gov/~/media/elected/executive/constantine/initiatives/best-starts-for-kids/documents/BSK-Plan-final.ashx?la=en" TargetMode="External"/><Relationship Id="rId108" Type="http://schemas.openxmlformats.org/officeDocument/2006/relationships/hyperlink" Target="https://www.ncbi.nlm.nih.gov/pmc/articles/PMC7510529/" TargetMode="External"/><Relationship Id="rId124" Type="http://schemas.openxmlformats.org/officeDocument/2006/relationships/hyperlink" Target="http://cypq.org/assessment" TargetMode="External"/><Relationship Id="rId129" Type="http://schemas.openxmlformats.org/officeDocument/2006/relationships/hyperlink" Target="https://journals.sagepub.com/doi/abs/10.1177/1098300717753832" TargetMode="External"/><Relationship Id="rId54" Type="http://schemas.openxmlformats.org/officeDocument/2006/relationships/hyperlink" Target="https://www.kingcounty.gov/depts/community-human-services/initiatives/best-starts-for-kids/dashboards/bskhs-combined.aspx?shortname=Basic%20needs%5c%3a%20child%20care" TargetMode="External"/><Relationship Id="rId70" Type="http://schemas.openxmlformats.org/officeDocument/2006/relationships/hyperlink" Target="https://www.kingcounty.gov/depts/assessor/Reports/annual-reports/~/media/depts/assessor/documents/annualreports/2020/20AVByCity.ashx?la=en" TargetMode="External"/><Relationship Id="rId75" Type="http://schemas.openxmlformats.org/officeDocument/2006/relationships/hyperlink" Target="http://acycpjournal.pitt.edu/ojs/jcycw/article/view/70/54" TargetMode="External"/><Relationship Id="rId91" Type="http://schemas.openxmlformats.org/officeDocument/2006/relationships/hyperlink" Target="https://www.govinfo.gov/content/pkg/FR-2016-09-30/pdf/2016-22986.pdf" TargetMode="External"/><Relationship Id="rId96" Type="http://schemas.openxmlformats.org/officeDocument/2006/relationships/hyperlink" Target="https://www.epi.org/publication/child-care-workers-arent-paid-enough-to-make-ends-meet/" TargetMode="External"/><Relationship Id="rId140" Type="http://schemas.openxmlformats.org/officeDocument/2006/relationships/hyperlink" Target="https://nam.edu/public-health-covid-19-impact-assessment-lessons-learned-and-compelling-needs/" TargetMode="External"/><Relationship Id="rId145" Type="http://schemas.openxmlformats.org/officeDocument/2006/relationships/hyperlink" Target="https://kingcounty.gov/depts/health/communicable-diseases/immunization/child/school-immunizations.aspx" TargetMode="External"/><Relationship Id="rId161" Type="http://schemas.openxmlformats.org/officeDocument/2006/relationships/hyperlink" Target="https://kingcounty.gov/depts/community-human-services/housing.aspx" TargetMode="External"/><Relationship Id="rId166" Type="http://schemas.openxmlformats.org/officeDocument/2006/relationships/hyperlink" Target="https://mkcclegisearch.kingcounty.gov/LegislationDetail.aspx?ID=3094878&amp;GUID=38AA5568-3B98-443B-A3D9-D1E2AF13A61F&amp;Options=&amp;Search=" TargetMode="External"/><Relationship Id="rId182" Type="http://schemas.openxmlformats.org/officeDocument/2006/relationships/hyperlink" Target="https://mkcclegisearch.kingcounty.gov/LegislationDetail.aspx?ID=4769147&amp;GUID=D66186DB-DAAC-46FC-8A44-CC5FD645AC09&amp;Options=Advanced&amp;Search=" TargetMode="External"/><Relationship Id="rId187" Type="http://schemas.openxmlformats.org/officeDocument/2006/relationships/hyperlink" Target="https://kingcounty.gov/~/media/elected/executive/constantine/initiatives/best-starts-for-kids/documents/BSK-Plan-final.ashx?la=en" TargetMode="External"/><Relationship Id="rId1" Type="http://schemas.openxmlformats.org/officeDocument/2006/relationships/hyperlink" Target="https://mkcclegisearch.kingcounty.gov/LegislationDetail.aspx?ID=4769147&amp;GUID=D66186DB-DAAC-46FC-8A44-CC5FD645AC09&amp;Options=Advanced&amp;Search=" TargetMode="External"/><Relationship Id="rId6" Type="http://schemas.openxmlformats.org/officeDocument/2006/relationships/hyperlink" Target="https://tinyurl.com/y7m8ddkg" TargetMode="External"/><Relationship Id="rId23" Type="http://schemas.openxmlformats.org/officeDocument/2006/relationships/hyperlink" Target="https://mkcclegisearch.kingcounty.gov/LegislationDetail.aspx?ID=4769147&amp;GUID=D66186DB-DAAC-46FC-8A44-CC5FD645AC09&amp;Options=Advanced&amp;Search=" TargetMode="External"/><Relationship Id="rId28" Type="http://schemas.openxmlformats.org/officeDocument/2006/relationships/hyperlink" Target="https://app.leg.wa.gov/rcw/default.aspx?cite=84.55.050" TargetMode="External"/><Relationship Id="rId49" Type="http://schemas.openxmlformats.org/officeDocument/2006/relationships/hyperlink" Target="https://mkcclegisearch.kingcounty.gov/LegislationDetail.aspx?ID=4072097&amp;GUID=700C62D6-F2B1-4064-ACA0-A121720F0890&amp;Options=&amp;Search=" TargetMode="External"/><Relationship Id="rId114" Type="http://schemas.openxmlformats.org/officeDocument/2006/relationships/hyperlink" Target="https://mkcclegisearch.kingcounty.gov/LegislationDetail.aspx?ID=4670939&amp;GUID=25AE5BAB-7F11-4791-ACDE-8BEED4DDB600&amp;Options=Advanced&amp;Search=" TargetMode="External"/><Relationship Id="rId119" Type="http://schemas.openxmlformats.org/officeDocument/2006/relationships/hyperlink" Target="https://kingcounty.legistar.com/LegislationDetail.aspx?ID=4913461&amp;GUID=45ED00FB-0BF6-444A-B66A-9E32B176B3A1&amp;FullText=1" TargetMode="External"/><Relationship Id="rId44" Type="http://schemas.openxmlformats.org/officeDocument/2006/relationships/hyperlink" Target="https://mkcclegisearch.kingcounty.gov/LegislationDetail.aspx?ID=1450880&amp;GUID=DB197BF2-B537-4E0D-BCBE-EB515535BEC1&amp;Options=Advanced&amp;Search=" TargetMode="External"/><Relationship Id="rId60" Type="http://schemas.openxmlformats.org/officeDocument/2006/relationships/hyperlink" Target="https://kingcounty.legistar.com/LegislationDetail.aspx?ID=4913461&amp;GUID=45ED00FB-0BF6-444A-B66A-9E32B176B3A1&amp;FullText=1" TargetMode="External"/><Relationship Id="rId65" Type="http://schemas.openxmlformats.org/officeDocument/2006/relationships/hyperlink" Target="https://cssp.org/our-work/project/youth-thrive/" TargetMode="External"/><Relationship Id="rId81" Type="http://schemas.openxmlformats.org/officeDocument/2006/relationships/hyperlink" Target="https://www.dshs.wa.gov/esa/eligibility-z-manual-ea-z/state-median-income-chart" TargetMode="External"/><Relationship Id="rId86" Type="http://schemas.openxmlformats.org/officeDocument/2006/relationships/hyperlink" Target="https://www.childcareaware.org/wp-content/uploads/2016/09/Child-Care-Deserts-report-FINAL2.pdf" TargetMode="External"/><Relationship Id="rId130" Type="http://schemas.openxmlformats.org/officeDocument/2006/relationships/hyperlink" Target="https://www.kingcounty.gov/~/media/elected/executive/constantine/initiatives/best-starts-for-kids/documents/BSK-Plan-final.ashx?la=en" TargetMode="External"/><Relationship Id="rId135" Type="http://schemas.openxmlformats.org/officeDocument/2006/relationships/hyperlink" Target="https://www.tandfonline.com/doi/full/10.1080/09515070.2020.1766420" TargetMode="External"/><Relationship Id="rId151" Type="http://schemas.openxmlformats.org/officeDocument/2006/relationships/hyperlink" Target="http://www.afterschoolalliance.org/policyExpandedLearning.cfm" TargetMode="External"/><Relationship Id="rId156" Type="http://schemas.openxmlformats.org/officeDocument/2006/relationships/hyperlink" Target="https://youth.gov/youth-topics/afterschool-programs/benefits-youth-families-and-communities" TargetMode="External"/><Relationship Id="rId177" Type="http://schemas.openxmlformats.org/officeDocument/2006/relationships/hyperlink" Target="https://mkcclegisearch.kingcounty.gov/LegislationDetail.aspx?ID=2740600&amp;GUID=517E0FBB-17E3-4A00-B63F-E41CE27522E9&amp;Options=Advanced&amp;Search=" TargetMode="External"/><Relationship Id="rId172" Type="http://schemas.openxmlformats.org/officeDocument/2006/relationships/hyperlink" Target="https://montanabudget.org/post/time-to-decolonize-data" TargetMode="External"/><Relationship Id="rId193" Type="http://schemas.openxmlformats.org/officeDocument/2006/relationships/hyperlink" Target="https://www.kingcounty.gov/depts/community-human-services/initiatives/best-starts-for-kids/advisory-board.aspx" TargetMode="External"/><Relationship Id="rId13" Type="http://schemas.openxmlformats.org/officeDocument/2006/relationships/hyperlink" Target="https://mkcclegisearch.kingcounty.gov/LegislationDetail.aspx?ID=4769147&amp;GUID=D66186DB-DAAC-46FC-8A44-CC5FD645AC09&amp;Options=Advanced&amp;Search=" TargetMode="External"/><Relationship Id="rId18" Type="http://schemas.openxmlformats.org/officeDocument/2006/relationships/hyperlink" Target="https://mkcclegisearch.kingcounty.gov/LegislationDetail.aspx?ID=4769147&amp;GUID=D66186DB-DAAC-46FC-8A44-CC5FD645AC09&amp;Options=Advanced&amp;Search=" TargetMode="External"/><Relationship Id="rId39" Type="http://schemas.openxmlformats.org/officeDocument/2006/relationships/hyperlink" Target="https://mkcclegisearch.kingcounty.gov/LegislationDetail.aspx?ID=1450880&amp;GUID=DB197BF2-B537-4E0D-BCBE-EB515535BEC1&amp;Options=Advanced&amp;Search=" TargetMode="External"/><Relationship Id="rId109" Type="http://schemas.openxmlformats.org/officeDocument/2006/relationships/hyperlink" Target="https://developingchild.harvard.edu/innovation-application/frontiers-of-innovation/" TargetMode="External"/><Relationship Id="rId34" Type="http://schemas.openxmlformats.org/officeDocument/2006/relationships/hyperlink" Target="https://heckmanequation.org/" TargetMode="External"/><Relationship Id="rId50" Type="http://schemas.openxmlformats.org/officeDocument/2006/relationships/hyperlink" Target="https://mkcclegisearch.kingcounty.gov/LegislationDetail.aspx?ID=4661581&amp;GUID=F62BF7D6-9F4C-4473-BE71-9700F05431DA&amp;Options=Advanced&amp;Search=" TargetMode="External"/><Relationship Id="rId55" Type="http://schemas.openxmlformats.org/officeDocument/2006/relationships/hyperlink" Target="https://info.childcareaware.org/hubfs/2019%20Price%20of%20Care%20State%20Sheets/Final-TheUSandtheHighPriceofChildCare-AnExaminationofaBrokenSystem.pdf" TargetMode="External"/><Relationship Id="rId76" Type="http://schemas.openxmlformats.org/officeDocument/2006/relationships/hyperlink" Target="https://dcyf.wa.gov/services/earlylearning-childcare/getting-help/wccc" TargetMode="External"/><Relationship Id="rId97" Type="http://schemas.openxmlformats.org/officeDocument/2006/relationships/hyperlink" Target="https://childcareawarewa.org/advocacy/" TargetMode="External"/><Relationship Id="rId104" Type="http://schemas.openxmlformats.org/officeDocument/2006/relationships/hyperlink" Target="https://sites.ed.gov/idea/" TargetMode="External"/><Relationship Id="rId120" Type="http://schemas.openxmlformats.org/officeDocument/2006/relationships/hyperlink" Target="https://kingcounty.gov/depts/community-human-services/mental-health-substance-abuse.aspx" TargetMode="External"/><Relationship Id="rId125" Type="http://schemas.openxmlformats.org/officeDocument/2006/relationships/hyperlink" Target="https://medium.com/changing-the-odds/what-happens-when-out-of-school-time-is-all-the-time-78e5b253e6f6" TargetMode="External"/><Relationship Id="rId141" Type="http://schemas.openxmlformats.org/officeDocument/2006/relationships/hyperlink" Target="https://roadmapproject.org/resources/in-their-own-words-young-people-describe-the-impact-of-covid-19/" TargetMode="External"/><Relationship Id="rId146" Type="http://schemas.openxmlformats.org/officeDocument/2006/relationships/hyperlink" Target="https://leo.nd.edu/partners-projects/projects/youth-and-family-homelessness-prevention-initiative/" TargetMode="External"/><Relationship Id="rId167" Type="http://schemas.openxmlformats.org/officeDocument/2006/relationships/hyperlink" Target="https://kingcounty.gov/depts/community-human-services/initiatives/best-starts-for-kids/advisory-board.aspx" TargetMode="External"/><Relationship Id="rId188" Type="http://schemas.openxmlformats.org/officeDocument/2006/relationships/hyperlink" Target="https://belonging.berkeley.edu/implementing-targeted-universalism" TargetMode="External"/><Relationship Id="rId7" Type="http://schemas.openxmlformats.org/officeDocument/2006/relationships/hyperlink" Target="https://tinyurl.com/y7m8ddkg" TargetMode="External"/><Relationship Id="rId71" Type="http://schemas.openxmlformats.org/officeDocument/2006/relationships/hyperlink" Target="https://mkcclegisearch.kingcounty.gov/LegislationDetail.aspx?ID=4670940&amp;GUID=3FC9FF88-6102-49D5-BEC7-D3FC75B5972B&amp;Options=Advanced&amp;Search=" TargetMode="External"/><Relationship Id="rId92" Type="http://schemas.openxmlformats.org/officeDocument/2006/relationships/hyperlink" Target="https://mkcclegisearch.kingcounty.gov/LegislationDetail.aspx?ID=4661581&amp;GUID=F62BF7D6-9F4C-4473-BE71-9700F05431DA&amp;Options=Advanced&amp;Search=" TargetMode="External"/><Relationship Id="rId162" Type="http://schemas.openxmlformats.org/officeDocument/2006/relationships/hyperlink" Target="https://mkcclegisearch.kingcounty.gov/LegislationDetail.aspx?ID=4769147&amp;GUID=D66186DB-DAAC-46FC-8A44-CC5FD645AC09&amp;Options=Advanced&amp;Search=" TargetMode="External"/><Relationship Id="rId183" Type="http://schemas.openxmlformats.org/officeDocument/2006/relationships/hyperlink" Target="https://mkcclegisearch.kingcounty.gov/LegislationDetail.aspx?ID=4769147&amp;GUID=D66186DB-DAAC-46FC-8A44-CC5FD645AC09&amp;Options=Advanced&amp;Search=" TargetMode="External"/><Relationship Id="rId2" Type="http://schemas.openxmlformats.org/officeDocument/2006/relationships/hyperlink" Target="https://mkcclegisearch.kingcounty.gov/LegislationDetail.aspx?ID=4913461&amp;GUID=45ED00FB-0BF6-444A-B66A-9E32B176B3A1&amp;Options=Advanced&amp;Search=" TargetMode="External"/><Relationship Id="rId29" Type="http://schemas.openxmlformats.org/officeDocument/2006/relationships/hyperlink" Target="https://mkcclegisearch.kingcounty.gov/LegislationDetail.aspx?ID=2272643&amp;GUID=CBE73912-E2E8-440D-A87C-90A0E4B7C0DE&amp;Options=Advanced&amp;Search=" TargetMode="External"/><Relationship Id="rId24" Type="http://schemas.openxmlformats.org/officeDocument/2006/relationships/hyperlink" Target="https://kingcounty.gov/~/media/depts/community-human-services/best-starts-kids/documents/technical-evaluation-reports/BSK_COVID-19_Impacts_Report_through_August_2020.ashx?la=en" TargetMode="External"/><Relationship Id="rId40" Type="http://schemas.openxmlformats.org/officeDocument/2006/relationships/hyperlink" Target="https://mkcclegisearch.kingcounty.gov/LegislationDetail.aspx?ID=2262393&amp;GUID=97785504-F62B-4D30-99EB-B73643996991&amp;Options=Advanced&amp;Search=" TargetMode="External"/><Relationship Id="rId45" Type="http://schemas.openxmlformats.org/officeDocument/2006/relationships/hyperlink" Target="https://kingcounty.gov/elected/executive/equity-social-justice/strategic-plan.aspx" TargetMode="External"/><Relationship Id="rId66" Type="http://schemas.openxmlformats.org/officeDocument/2006/relationships/hyperlink" Target="http://acycpjournal.pitt.edu/ojs/jcycw/article/view/70/54" TargetMode="External"/><Relationship Id="rId87" Type="http://schemas.openxmlformats.org/officeDocument/2006/relationships/hyperlink" Target="file:///C:/Users/sospina/AppData/Local/Microsoft/Windows/INetCache/Content.Outlook/I50S9SCC/Best%20Starts_2020%20Annual%20Report_A2.pdf" TargetMode="External"/><Relationship Id="rId110" Type="http://schemas.openxmlformats.org/officeDocument/2006/relationships/hyperlink" Target="https://www.creativereactionlab.com/" TargetMode="External"/><Relationship Id="rId115" Type="http://schemas.openxmlformats.org/officeDocument/2006/relationships/hyperlink" Target="http://acycpjournal.pitt.edu/ojs/jcycw/article/view/70/54" TargetMode="External"/><Relationship Id="rId131" Type="http://schemas.openxmlformats.org/officeDocument/2006/relationships/hyperlink" Target="https://kingcounty.legistar.com/LegislationDetail.aspx?ID=4913461&amp;GUID=45ED00FB-0BF6-444A-B66A-9E32B176B3A1&amp;FullText=1" TargetMode="External"/><Relationship Id="rId136" Type="http://schemas.openxmlformats.org/officeDocument/2006/relationships/hyperlink" Target="https://www.seattle.gov/education/big-initiatives/fepp-levy" TargetMode="External"/><Relationship Id="rId157" Type="http://schemas.openxmlformats.org/officeDocument/2006/relationships/hyperlink" Target="https://kingcounty.gov/~/media/Council/documents/Issues/PSTAA/FINAL-Implementation-Plan-PSTAA-Proceeds.ashx?la=en" TargetMode="External"/><Relationship Id="rId178" Type="http://schemas.openxmlformats.org/officeDocument/2006/relationships/hyperlink" Target="https://mkcclegisearch.kingcounty.gov/LegislationDetail.aspx?ID=4769147&amp;GUID=D66186DB-DAAC-46FC-8A44-CC5FD645AC09&amp;Options=Advanced&amp;Search=" TargetMode="External"/><Relationship Id="rId61" Type="http://schemas.openxmlformats.org/officeDocument/2006/relationships/hyperlink" Target="https://www.kingcounty.gov/depts/community-human-services/initiatives/best-starts-for-kids/advisory-board.aspx" TargetMode="External"/><Relationship Id="rId82" Type="http://schemas.openxmlformats.org/officeDocument/2006/relationships/hyperlink" Target="https://s3.amazonaws.com/s3.momsrising.org/images/One-Pager_English.pdf" TargetMode="External"/><Relationship Id="rId152" Type="http://schemas.openxmlformats.org/officeDocument/2006/relationships/hyperlink" Target="https://www.cdc.gov/healthyschools/ost.htm" TargetMode="External"/><Relationship Id="rId173" Type="http://schemas.openxmlformats.org/officeDocument/2006/relationships/hyperlink" Target="https://ncg.org/sites/default/files/resources/EvaluationFor%20Strategic%20Learning_CenterForEvaluationInnovation.pdf" TargetMode="External"/><Relationship Id="rId194" Type="http://schemas.openxmlformats.org/officeDocument/2006/relationships/hyperlink" Target="https://kingcounty.legistar.com/LegislationDetail.aspx?ID=3685952&amp;GUID=1E85F01F-3146-499F-BB69-7F7645D84F03&amp;Options=Advanced&amp;Search=" TargetMode="External"/><Relationship Id="rId19" Type="http://schemas.openxmlformats.org/officeDocument/2006/relationships/hyperlink" Target="https://heckmanequation.org/" TargetMode="External"/><Relationship Id="rId14" Type="http://schemas.openxmlformats.org/officeDocument/2006/relationships/hyperlink" Target="http://acycpjournal.pitt.edu/ojs/jcycw/article/view/70/54" TargetMode="External"/><Relationship Id="rId30" Type="http://schemas.openxmlformats.org/officeDocument/2006/relationships/hyperlink" Target="https://mkcclegisearch.kingcounty.gov/Legislation.aspx" TargetMode="External"/><Relationship Id="rId35" Type="http://schemas.openxmlformats.org/officeDocument/2006/relationships/hyperlink" Target="http://acycpjournal.pitt.edu/ojs/jcycw/article/view/70/54" TargetMode="External"/><Relationship Id="rId56" Type="http://schemas.openxmlformats.org/officeDocument/2006/relationships/hyperlink" Target="http://www.commerce.wa.gov/wp-content/uploads/2019/10/Childcare-in-Washington-EWU-Study_FINAL.pdf" TargetMode="External"/><Relationship Id="rId77" Type="http://schemas.openxmlformats.org/officeDocument/2006/relationships/hyperlink" Target="https://www.dcyf.wa.gov/services/earlylearning-childcare/eceap-headstart" TargetMode="External"/><Relationship Id="rId100" Type="http://schemas.openxmlformats.org/officeDocument/2006/relationships/hyperlink" Target="https://kingcounty.gov/depts/health/child-teen-health/nurse-family-partnership.aspx" TargetMode="External"/><Relationship Id="rId105" Type="http://schemas.openxmlformats.org/officeDocument/2006/relationships/hyperlink" Target="https://kingcounty.gov/depts/community-human-services/initiatives/best-starts-for-kids/data/0-5/developmental-screening-findings.aspx" TargetMode="External"/><Relationship Id="rId126" Type="http://schemas.openxmlformats.org/officeDocument/2006/relationships/hyperlink" Target="https://mkcclegisearch.kingcounty.gov/LegislationDetail.aspx?ID=4769147&amp;GUID=D66186DB-DAAC-46FC-8A44-CC5FD645AC09&amp;Options=Advanced&amp;Search=" TargetMode="External"/><Relationship Id="rId147" Type="http://schemas.openxmlformats.org/officeDocument/2006/relationships/hyperlink" Target="https://kingcounty.gov/depts/community-human-services/COVID/eviction-prevention-rent-assistance/program-data.aspx" TargetMode="External"/><Relationship Id="rId168" Type="http://schemas.openxmlformats.org/officeDocument/2006/relationships/hyperlink" Target="https://static1.squarespace.com/static/5ac7d99d372b963841f131a8/t/5e0bbd29a72072138c9ca53c/1577827626078/1_COO_Grounding.pdf" TargetMode="External"/><Relationship Id="rId8" Type="http://schemas.openxmlformats.org/officeDocument/2006/relationships/hyperlink" Target="https://tinyurl.com/y7m8ddkg" TargetMode="External"/><Relationship Id="rId51" Type="http://schemas.openxmlformats.org/officeDocument/2006/relationships/hyperlink" Target="https://www.commerce.wa.gov/wp-content/uploads/2019/11/Report-Child-Care-Collaborative-Task-Force-2019-Final.pdf" TargetMode="External"/><Relationship Id="rId72" Type="http://schemas.openxmlformats.org/officeDocument/2006/relationships/hyperlink" Target="https://mkcclegisearch.kingcounty.gov/LegislationDetail.aspx?ID=4072097&amp;GUID=700C62D6-F2B1-4064-ACA0-A121720F0890&amp;Options=&amp;Search=&amp;FullText=1" TargetMode="External"/><Relationship Id="rId93" Type="http://schemas.openxmlformats.org/officeDocument/2006/relationships/hyperlink" Target="https://gcc01.safelinks.protection.outlook.com/?url=https%3A%2F%2Fstrongnation.s3.amazonaws.com%2Fdocuments%2F602%2F83bb2275-ce07-4d74-bcee-ff6178daf6bd.pdf%3F1547054862%26inline%3B%2520filename%3D%2522Want%2520to%2520Grow%2520the%2520Economy%3F%2520Fix%2520the%2520Child%2520Care%2520Crisis.pdf%2522&amp;data=04%7C01%7CKelli.Carroll%40kingcounty.gov%7C09b35686bfc744038c7008d8c22488b8%7Cbae5059a76f049d7999672dfe95d69c7%7C0%7C0%7C637472809447045185%7CUnknown%7CTWFpbGZsb3d8eyJWIjoiMC4wLjAwMDAiLCJQIjoiV2luMzIiLCJBTiI6Ik1haWwiLCJXVCI6Mn0%3D%7C1000&amp;sdata=Fj6ws4RRNCdjIRBKqTaXoHG%2BdJVsoYFntKM1okWNKBo%3D&amp;reserved=0" TargetMode="External"/><Relationship Id="rId98" Type="http://schemas.openxmlformats.org/officeDocument/2006/relationships/hyperlink" Target="https://www.urban.org/sites/default/files/publication/61121/310101-Models-for-Increasing-Child-Care-Worker-Compensation.PDF" TargetMode="External"/><Relationship Id="rId121" Type="http://schemas.openxmlformats.org/officeDocument/2006/relationships/hyperlink" Target="https://kingcounty.gov/depts/community-human-services/mental-health-substance-abuse/midd.aspx" TargetMode="External"/><Relationship Id="rId142" Type="http://schemas.openxmlformats.org/officeDocument/2006/relationships/hyperlink" Target="https://kingcounty.gov/~/media/elected/executive/constantine/initiatives/best-starts-for-kids/documents/BSK-Plan-final.ashx?la=en" TargetMode="External"/><Relationship Id="rId163" Type="http://schemas.openxmlformats.org/officeDocument/2006/relationships/hyperlink" Target="https://mkcclegisearch.kingcounty.gov/LegislationDetail.aspx?ID=4769147&amp;GUID=D66186DB-DAAC-46FC-8A44-CC5FD645AC09&amp;Options=Advanced&amp;Search=" TargetMode="External"/><Relationship Id="rId184" Type="http://schemas.openxmlformats.org/officeDocument/2006/relationships/hyperlink" Target="https://mkcclegisearch.kingcounty.gov/LegislationDetail.aspx?ID=4769147&amp;GUID=D66186DB-DAAC-46FC-8A44-CC5FD645AC09&amp;Options=Advanced&amp;Search=" TargetMode="External"/><Relationship Id="rId189" Type="http://schemas.openxmlformats.org/officeDocument/2006/relationships/hyperlink" Target="https://mrsc.org/Home/Explore-Topics/Finance/Revenues/The-Property-Tax-in-Washington-State.aspx" TargetMode="External"/><Relationship Id="rId3" Type="http://schemas.openxmlformats.org/officeDocument/2006/relationships/hyperlink" Target="https://mkcclegisearch.kingcounty.gov/LegislationDetail.aspx?ID=4769147&amp;GUID=D66186DB-DAAC-46FC-8A44-CC5FD645AC09&amp;Options=Advanced&amp;Search=" TargetMode="External"/><Relationship Id="rId25" Type="http://schemas.openxmlformats.org/officeDocument/2006/relationships/hyperlink" Target="https://www.healthypeople.gov/2020/topics-objectives/topic/social-determinants-of-health" TargetMode="External"/><Relationship Id="rId46" Type="http://schemas.openxmlformats.org/officeDocument/2006/relationships/hyperlink" Target="https://mkcclegisearch.kingcounty.gov/LegislationDetail.aspx?ID=2262393&amp;GUID=97785504-F62B-4D30-99EB-B73643996991&amp;Options=Advanced&amp;Search=" TargetMode="External"/><Relationship Id="rId67" Type="http://schemas.openxmlformats.org/officeDocument/2006/relationships/hyperlink" Target="https://mkcclegisearch.kingcounty.gov/LegislationDetail.aspx?ID=4769147&amp;GUID=D66186DB-DAAC-46FC-8A44-CC5FD645AC09&amp;Options=Advanced&amp;Search=" TargetMode="External"/><Relationship Id="rId116" Type="http://schemas.openxmlformats.org/officeDocument/2006/relationships/hyperlink" Target="https://kingcounty.legistar.com/LegislationDetail.aspx?ID=4913461&amp;GUID=45ED00FB-0BF6-444A-B66A-9E32B176B3A1&amp;FullText=1" TargetMode="External"/><Relationship Id="rId137" Type="http://schemas.openxmlformats.org/officeDocument/2006/relationships/hyperlink" Target="https://kingcounty.legistar.com/LegislationDetail.aspx?ID=4913461&amp;GUID=45ED00FB-0BF6-444A-B66A-9E32B176B3A1&amp;FullText=1" TargetMode="External"/><Relationship Id="rId158" Type="http://schemas.openxmlformats.org/officeDocument/2006/relationships/hyperlink" Target="https://kingcounty.legistar.com/LegislationDetail.aspx?ID=4590304&amp;GUID=C221D79B-7615-488E-BF47-2687836803EA" TargetMode="External"/><Relationship Id="rId20" Type="http://schemas.openxmlformats.org/officeDocument/2006/relationships/hyperlink" Target="http://acycpjournal.pitt.edu/ojs/jcycw/article/view/70/54" TargetMode="External"/><Relationship Id="rId41" Type="http://schemas.openxmlformats.org/officeDocument/2006/relationships/hyperlink" Target="https://kingcounty.gov/elected/executive/equity-social-justice/strategic-plan.aspx" TargetMode="External"/><Relationship Id="rId62" Type="http://schemas.openxmlformats.org/officeDocument/2006/relationships/hyperlink" Target="https://www.kingcounty.gov/council/issues/YouthActionPlan.aspx" TargetMode="External"/><Relationship Id="rId83" Type="http://schemas.openxmlformats.org/officeDocument/2006/relationships/hyperlink" Target="https://ascend.aspeninstitute.org/reducing-the-cliff-effect-to-support-working-families/" TargetMode="External"/><Relationship Id="rId88" Type="http://schemas.openxmlformats.org/officeDocument/2006/relationships/hyperlink" Target="https://kc1.sharepoint.com/teams/BSKRenewalTeamSite/Shared%20Documents/09.%20Implementation%20Plan/Vogtman,%20J.%20and%20White,%20C.%20(2019).%20Can%20We%20Rewrite%20the%20Shameful%20History%20of%20Undervaluing%20Child%20Care%20Workers?" TargetMode="External"/><Relationship Id="rId111" Type="http://schemas.openxmlformats.org/officeDocument/2006/relationships/hyperlink" Target="https://nirn.fpg.unc.edu/national-implementation-research-network" TargetMode="External"/><Relationship Id="rId132" Type="http://schemas.openxmlformats.org/officeDocument/2006/relationships/hyperlink" Target="https://mkcclegisearch.kingcounty.gov/LegislationDetail.aspx?ID=4769147&amp;GUID=D66186DB-DAAC-46FC-8A44-CC5FD645AC09&amp;Options=Advanced&amp;Search=" TargetMode="External"/><Relationship Id="rId153" Type="http://schemas.openxmlformats.org/officeDocument/2006/relationships/hyperlink" Target="https://www.ncbi.nlm.nih.gov/pmc/articles/PMC4082954/" TargetMode="External"/><Relationship Id="rId174" Type="http://schemas.openxmlformats.org/officeDocument/2006/relationships/hyperlink" Target="https://clearimpact.com/results-based-accountability/" TargetMode="External"/><Relationship Id="rId179" Type="http://schemas.openxmlformats.org/officeDocument/2006/relationships/hyperlink" Target="https://www.kingcounty.gov/~/media/depts/community-human-services/VHS-Levy/VSHSL%20Planning/VSHSL_Implementation_Plan_-_Passed_-_Sans_Line_Numbering.ashx?la=en" TargetMode="External"/><Relationship Id="rId190" Type="http://schemas.openxmlformats.org/officeDocument/2006/relationships/hyperlink" Target="https://app.leg.wa.gov/rcw/default.aspx?cite=84.52.010" TargetMode="External"/><Relationship Id="rId15" Type="http://schemas.openxmlformats.org/officeDocument/2006/relationships/hyperlink" Target="https://www.kingcounty.gov/depts/assessor/Reports/annual-reports/~/media/depts/assessor/documents/annualreports/2020/20AVByCity.ashx?la=en" TargetMode="External"/><Relationship Id="rId36" Type="http://schemas.openxmlformats.org/officeDocument/2006/relationships/hyperlink" Target="https://mkcclegisearch.kingcounty.gov/LegislationDetail.aspx?ID=4670939&amp;GUID=25AE5BAB-7F11-4791-ACDE-8BEED4DDB600&amp;Options=Advanced&amp;Search=" TargetMode="External"/><Relationship Id="rId57" Type="http://schemas.openxmlformats.org/officeDocument/2006/relationships/hyperlink" Target="https://www.epi.org/publication/child-care-workers-arent-paid-enough-to-make-ends-meet/" TargetMode="External"/><Relationship Id="rId106" Type="http://schemas.openxmlformats.org/officeDocument/2006/relationships/hyperlink" Target="https://www.kingcounty.gov/~/media/depts/community-human-services/best-starts-kids/documents/technical-evaluation-reports/Full_Report_-_CCHC.ashx?la=en" TargetMode="External"/><Relationship Id="rId127" Type="http://schemas.openxmlformats.org/officeDocument/2006/relationships/hyperlink" Target="https://kingcounty.legistar.com/LegislationDetail.aspx?ID=4913461&amp;GUID=45ED00FB-0BF6-444A-B66A-9E32B176B3A1&amp;FullText=1" TargetMode="External"/><Relationship Id="rId10" Type="http://schemas.openxmlformats.org/officeDocument/2006/relationships/hyperlink" Target="https://mkcclegisearch.kingcounty.gov/LegislationDetail.aspx?ID=2262393&amp;GUID=97785504-F62B-4D30-99EB-B73643996991&amp;Options=Advanced&amp;Search=" TargetMode="External"/><Relationship Id="rId31" Type="http://schemas.openxmlformats.org/officeDocument/2006/relationships/hyperlink" Target="https://mkcclegisearch.kingcounty.gov/LegislationDetail.aspx?ID=4769147&amp;GUID=D66186DB-DAAC-46FC-8A44-CC5FD645AC09&amp;Options=Advanced&amp;Search=" TargetMode="External"/><Relationship Id="rId52" Type="http://schemas.openxmlformats.org/officeDocument/2006/relationships/hyperlink" Target="https://kc1.sharepoint.com/teams/BSKRenewalTeamSite/Shared%20Documents/09.%20Implementation%20Plan/Washington%20State%20Department%20of%20Commerce%20Child%20Care%20Collaborative%20Task%20Force%20(2019).%20Recommendations" TargetMode="External"/><Relationship Id="rId73" Type="http://schemas.openxmlformats.org/officeDocument/2006/relationships/hyperlink" Target="https://mkcclegisearch.kingcounty.gov/LegislationDetail.aspx?ID=4769147&amp;GUID=D66186DB-DAAC-46FC-8A44-CC5FD645AC09&amp;Options=Advanced&amp;Search=" TargetMode="External"/><Relationship Id="rId78" Type="http://schemas.openxmlformats.org/officeDocument/2006/relationships/hyperlink" Target="https://www.dcyf.wa.gov/services/earlylearning-childcare/eceap-headstart" TargetMode="External"/><Relationship Id="rId94" Type="http://schemas.openxmlformats.org/officeDocument/2006/relationships/hyperlink" Target="https://gcc01.safelinks.protection.outlook.com/?url=https%3A%2F%2Fwww.nber.org%2Fpapers%2Fw23489&amp;data=04%7C01%7CKelli.Carroll%40kingcounty.gov%7C04e14391afd34ddfd83a08d8bf3a9549%7Cbae5059a76f049d7999672dfe95d69c7%7C0%7C0%7C637469605614265840%7CUnknown%7CTWFpbGZsb3d8eyJWIjoiMC4wLjAwMDAiLCJQIjoiV2luMzIiLCJBTiI6Ik1haWwiLCJXVCI6Mn0%3D%7C1000&amp;sdata=19c8ZVYhEJc%2Ft%2BbjpVjrFVq4Qy9wtmhRnepUXjFRrDk%3D&amp;reserved=0" TargetMode="External"/><Relationship Id="rId99" Type="http://schemas.openxmlformats.org/officeDocument/2006/relationships/hyperlink" Target="https://heckmanequation.org/" TargetMode="External"/><Relationship Id="rId101" Type="http://schemas.openxmlformats.org/officeDocument/2006/relationships/hyperlink" Target="https://www.parentchildplus.org/" TargetMode="External"/><Relationship Id="rId122" Type="http://schemas.openxmlformats.org/officeDocument/2006/relationships/hyperlink" Target="https://www.schoolsoutwashington.org/pages/quality-improvement-process" TargetMode="External"/><Relationship Id="rId143" Type="http://schemas.openxmlformats.org/officeDocument/2006/relationships/hyperlink" Target="https://www.washingtonstem.org/wp-content/uploads/2018/11/STEM-by-the-Numbers-King-County.1.1.pdf" TargetMode="External"/><Relationship Id="rId148" Type="http://schemas.openxmlformats.org/officeDocument/2006/relationships/hyperlink" Target="https://mkcclegisearch.kingcounty.gov/LegislationDetail.aspx?ID=2740623&amp;GUID=BE56F984-F187-4903-86CC-907CE53438AA&amp;Options=Advanced&amp;Search=" TargetMode="External"/><Relationship Id="rId164" Type="http://schemas.openxmlformats.org/officeDocument/2006/relationships/hyperlink" Target="https://kingcounty.gov/depts/community-human-services/initiatives/best-starts-for-kids/data.aspx" TargetMode="External"/><Relationship Id="rId169" Type="http://schemas.openxmlformats.org/officeDocument/2006/relationships/hyperlink" Target="https://www.eval.org/Portals/0/Docs/AEA_289398-18_GuidingPrinciples_Brochure_2.pdf" TargetMode="External"/><Relationship Id="rId185" Type="http://schemas.openxmlformats.org/officeDocument/2006/relationships/hyperlink" Target="https://kingcounty.gov/~/media/depts/community-human-services/best-starts-kids/documents/technical-evaluation-reports/BSK_COVID-19_Impacts_Report_through_August_2020.ashx?la=en" TargetMode="External"/><Relationship Id="rId4" Type="http://schemas.openxmlformats.org/officeDocument/2006/relationships/hyperlink" Target="https://mkcclegisearch.kingcounty.gov/LegislationDetail.aspx?ID=4769161&amp;GUID=4D2C08F1-E2A9-4796-BB9F-A628D60163B7&amp;Options=Advanced&amp;Search=" TargetMode="External"/><Relationship Id="rId9" Type="http://schemas.openxmlformats.org/officeDocument/2006/relationships/hyperlink" Target="https://mkcclegisearch.kingcounty.gov/LegislationDetail.aspx?ID=1450880&amp;GUID=DB197BF2-B537-4E0D-BCBE-EB515535BEC1&amp;Options=Advanced&amp;Search=" TargetMode="External"/><Relationship Id="rId180" Type="http://schemas.openxmlformats.org/officeDocument/2006/relationships/hyperlink" Target="https://mkcclegisearch.kingcounty.gov/LegislationDetail.aspx?ID=4769147&amp;GUID=D66186DB-DAAC-46FC-8A44-CC5FD645AC09&amp;Options=Advanced&amp;Search=" TargetMode="External"/><Relationship Id="rId26" Type="http://schemas.openxmlformats.org/officeDocument/2006/relationships/hyperlink" Target="https://mkcclegisearch.kingcounty.gov/LegislationDetail.aspx?ID=4769147&amp;GUID=D66186DB-DAAC-46FC-8A44-CC5FD645AC09&amp;Options=Advanced&amp;Search=" TargetMode="External"/></Relationships>
</file>

<file path=word/documenttasks/documenttasks1.xml><?xml version="1.0" encoding="utf-8"?>
<t:Tasks xmlns:t="http://schemas.microsoft.com/office/tasks/2019/documenttasks" xmlns:oel="http://schemas.microsoft.com/office/2019/extlst">
  <t:Task id="{EE94FC45-7BFC-4102-A215-7934CCBA676E}">
    <t:Anchor>
      <t:Comment id="302158826"/>
    </t:Anchor>
    <t:History>
      <t:Event id="{E0E333A6-C1A2-4E06-8D85-221A95371168}" time="2021-03-03T04:53:49Z">
        <t:Attribution userId="S::sospina@kingcounty.gov::497ff008-06b0-49cb-b335-4c7102b9bc1f" userProvider="AD" userName="Ospina-Velez, Stephany"/>
        <t:Anchor>
          <t:Comment id="302158826"/>
        </t:Anchor>
        <t:Create/>
      </t:Event>
      <t:Event id="{FAA6B0C7-55C1-44BD-AF7A-1E3484F32449}" time="2021-03-03T04:53:49Z">
        <t:Attribution userId="S::sospina@kingcounty.gov::497ff008-06b0-49cb-b335-4c7102b9bc1f" userProvider="AD" userName="Ospina-Velez, Stephany"/>
        <t:Anchor>
          <t:Comment id="302158826"/>
        </t:Anchor>
        <t:Assign userId="S::Marcy.Miller@kingcounty.gov::734c1d5b-4a28-4c60-af4b-30b0c26e64a9" userProvider="AD" userName="Miller, Marcy"/>
      </t:Event>
      <t:Event id="{D9EDD9F1-CDB0-4685-9482-61A2020CCD48}" time="2021-03-03T04:53:49Z">
        <t:Attribution userId="S::sospina@kingcounty.gov::497ff008-06b0-49cb-b335-4c7102b9bc1f" userProvider="AD" userName="Ospina-Velez, Stephany"/>
        <t:Anchor>
          <t:Comment id="302158826"/>
        </t:Anchor>
        <t:SetTitle title="@Miller, Marcy please add policy context to this."/>
      </t:Event>
    </t:History>
  </t:Task>
  <t:Task id="{BAA1D45D-FBF6-4FC7-91D4-96BC0F98FE7B}">
    <t:Anchor>
      <t:Comment id="1381920997"/>
    </t:Anchor>
    <t:History>
      <t:Event id="{CCF57026-7444-43E3-9D96-726DB37D93E2}" time="2021-04-01T21:14:44Z">
        <t:Attribution userId="S::sospina@kingcounty.gov::497ff008-06b0-49cb-b335-4c7102b9bc1f" userProvider="AD" userName="Ospina-Velez, Stephany"/>
        <t:Anchor>
          <t:Comment id="1381920997"/>
        </t:Anchor>
        <t:Create/>
      </t:Event>
      <t:Event id="{40F195F5-7BDE-4C80-9D11-DADD5571F745}" time="2021-04-01T21:14:44Z">
        <t:Attribution userId="S::sospina@kingcounty.gov::497ff008-06b0-49cb-b335-4c7102b9bc1f" userProvider="AD" userName="Ospina-Velez, Stephany"/>
        <t:Anchor>
          <t:Comment id="1381920997"/>
        </t:Anchor>
        <t:Assign userId="S::Marcy.Miller@kingcounty.gov::734c1d5b-4a28-4c60-af4b-30b0c26e64a9" userProvider="AD" userName="Miller, Marcy"/>
      </t:Event>
      <t:Event id="{F48FD326-0CC9-40F8-A51E-DB0E6052C7A1}" time="2021-04-01T21:14:44Z">
        <t:Attribution userId="S::sospina@kingcounty.gov::497ff008-06b0-49cb-b335-4c7102b9bc1f" userProvider="AD" userName="Ospina-Velez, Stephany"/>
        <t:Anchor>
          <t:Comment id="1381920997"/>
        </t:Anchor>
        <t:SetTitle title="@Miller, Marcy what is the ordinance # for the Blueprint report? I cant find it"/>
      </t:Event>
    </t:History>
  </t:Task>
  <t:Task id="{7084DB6E-61D0-40E3-B95D-C9FF76FFE7B4}">
    <t:Anchor>
      <t:Comment id="17893924"/>
    </t:Anchor>
    <t:History>
      <t:Event id="{1DC54533-BE1F-435F-B103-CB2BAD908594}" time="2021-04-02T03:05:49Z">
        <t:Attribution userId="S::sospina@kingcounty.gov::497ff008-06b0-49cb-b335-4c7102b9bc1f" userProvider="AD" userName="Ospina-Velez, Stephany"/>
        <t:Anchor>
          <t:Comment id="17893924"/>
        </t:Anchor>
        <t:Create/>
      </t:Event>
      <t:Event id="{CBCE153D-4660-4FD0-A015-1D26821C1BEF}" time="2021-04-02T03:05:49Z">
        <t:Attribution userId="S::sospina@kingcounty.gov::497ff008-06b0-49cb-b335-4c7102b9bc1f" userProvider="AD" userName="Ospina-Velez, Stephany"/>
        <t:Anchor>
          <t:Comment id="17893924"/>
        </t:Anchor>
        <t:Assign userId="S::Marcy.Miller@kingcounty.gov::734c1d5b-4a28-4c60-af4b-30b0c26e64a9" userProvider="AD" userName="Miller, Marcy"/>
      </t:Event>
      <t:Event id="{D87DC0E7-509E-4E27-9C0F-025E69DAC764}" time="2021-04-02T03:05:49Z">
        <t:Attribution userId="S::sospina@kingcounty.gov::497ff008-06b0-49cb-b335-4c7102b9bc1f" userProvider="AD" userName="Ospina-Velez, Stephany"/>
        <t:Anchor>
          <t:Comment id="17893924"/>
        </t:Anchor>
        <t:SetTitle title="@Miller, Marcy In this too repetitive?"/>
      </t:Event>
    </t:History>
  </t:Task>
  <t:Task id="{37CB939B-4FAF-4D5F-9EDB-7174B354991B}">
    <t:Anchor>
      <t:Comment id="1714282243"/>
    </t:Anchor>
    <t:History>
      <t:Event id="{206E94D8-42D4-4B2F-8A26-798167BFBAAF}" time="2021-03-03T05:47:34Z">
        <t:Attribution userId="S::sospina@kingcounty.gov::497ff008-06b0-49cb-b335-4c7102b9bc1f" userProvider="AD" userName="Ospina-Velez, Stephany"/>
        <t:Anchor>
          <t:Comment id="1714282243"/>
        </t:Anchor>
        <t:Create/>
      </t:Event>
      <t:Event id="{5578F8DF-7828-4D3C-94DA-84198BDEDAAE}" time="2021-03-03T05:47:34Z">
        <t:Attribution userId="S::sospina@kingcounty.gov::497ff008-06b0-49cb-b335-4c7102b9bc1f" userProvider="AD" userName="Ospina-Velez, Stephany"/>
        <t:Anchor>
          <t:Comment id="1714282243"/>
        </t:Anchor>
        <t:Assign userId="S::Marcy.Miller@kingcounty.gov::734c1d5b-4a28-4c60-af4b-30b0c26e64a9" userProvider="AD" userName="Miller, Marcy"/>
      </t:Event>
      <t:Event id="{B88E40FB-A128-47BE-950D-D400A35BBDB7}" time="2021-03-03T05:47:34Z">
        <t:Attribution userId="S::sospina@kingcounty.gov::497ff008-06b0-49cb-b335-4c7102b9bc1f" userProvider="AD" userName="Ospina-Velez, Stephany"/>
        <t:Anchor>
          <t:Comment id="1714282243"/>
        </t:Anchor>
        <t:SetTitle title="@Miller, Marcy"/>
      </t:Event>
    </t:History>
  </t:Task>
  <t:Task id="{7F4EA8EC-6401-4549-8435-3002C446D35A}">
    <t:Anchor>
      <t:Comment id="650416546"/>
    </t:Anchor>
    <t:History>
      <t:Event id="{F175E926-E13A-46FC-A1FA-89732D569B87}" time="2021-03-03T05:53:36Z">
        <t:Attribution userId="S::sospina@kingcounty.gov::497ff008-06b0-49cb-b335-4c7102b9bc1f" userProvider="AD" userName="Ospina-Velez, Stephany"/>
        <t:Anchor>
          <t:Comment id="650416546"/>
        </t:Anchor>
        <t:Create/>
      </t:Event>
      <t:Event id="{32CB289B-785F-4B9B-9A96-C42D970E91C0}" time="2021-03-03T05:53:36Z">
        <t:Attribution userId="S::sospina@kingcounty.gov::497ff008-06b0-49cb-b335-4c7102b9bc1f" userProvider="AD" userName="Ospina-Velez, Stephany"/>
        <t:Anchor>
          <t:Comment id="650416546"/>
        </t:Anchor>
        <t:Assign userId="S::Marcy.Miller@kingcounty.gov::734c1d5b-4a28-4c60-af4b-30b0c26e64a9" userProvider="AD" userName="Miller, Marcy"/>
      </t:Event>
      <t:Event id="{50656825-91B9-442A-AE80-74721F8ACEDF}" time="2021-03-03T05:53:36Z">
        <t:Attribution userId="S::sospina@kingcounty.gov::497ff008-06b0-49cb-b335-4c7102b9bc1f" userProvider="AD" userName="Ospina-Velez, Stephany"/>
        <t:Anchor>
          <t:Comment id="650416546"/>
        </t:Anchor>
        <t:SetTitle title="@Miller, Marcy"/>
      </t:Event>
    </t:History>
  </t:Task>
  <t:Task id="{7026AFA4-BDED-48D4-A9E5-23F731A89BDA}">
    <t:Anchor>
      <t:Comment id="1965358057"/>
    </t:Anchor>
    <t:History>
      <t:Event id="{7C2093BF-7BD8-4FFF-B755-1B0AF1AAFEFE}" time="2021-04-01T20:05:20Z">
        <t:Attribution userId="S::sospina@kingcounty.gov::497ff008-06b0-49cb-b335-4c7102b9bc1f" userProvider="AD" userName="Ospina-Velez, Stephany"/>
        <t:Anchor>
          <t:Comment id="2075972654"/>
        </t:Anchor>
        <t:Create/>
      </t:Event>
      <t:Event id="{2E339AFB-B35C-47A8-B43A-1538115DE2E1}" time="2021-04-01T20:05:20Z">
        <t:Attribution userId="S::sospina@kingcounty.gov::497ff008-06b0-49cb-b335-4c7102b9bc1f" userProvider="AD" userName="Ospina-Velez, Stephany"/>
        <t:Anchor>
          <t:Comment id="2075972654"/>
        </t:Anchor>
        <t:Assign userId="S::Marcy.Miller@kingcounty.gov::734c1d5b-4a28-4c60-af4b-30b0c26e64a9" userProvider="AD" userName="Miller, Marcy"/>
      </t:Event>
      <t:Event id="{CD3B1EB3-7D4B-46AA-98AB-9D4CD564BD83}" time="2021-04-01T20:05:20Z">
        <t:Attribution userId="S::sospina@kingcounty.gov::497ff008-06b0-49cb-b335-4c7102b9bc1f" userProvider="AD" userName="Ospina-Velez, Stephany"/>
        <t:Anchor>
          <t:Comment id="2075972654"/>
        </t:Anchor>
        <t:SetTitle title="@Miller, Marcy Can you clarify what you mean by this? Thank you!"/>
      </t:Event>
    </t:History>
  </t:Task>
  <t:Task id="{6B1D25CE-B83E-4879-8AA2-D0ACD5DF696B}">
    <t:Anchor>
      <t:Comment id="1165684682"/>
    </t:Anchor>
    <t:History>
      <t:Event id="{E8AF2224-71A8-4F94-B01E-819B383606B5}" time="2021-04-01T20:40:21Z">
        <t:Attribution userId="S::sospina@kingcounty.gov::497ff008-06b0-49cb-b335-4c7102b9bc1f" userProvider="AD" userName="Ospina-Velez, Stephany"/>
        <t:Anchor>
          <t:Comment id="1165684682"/>
        </t:Anchor>
        <t:Create/>
      </t:Event>
      <t:Event id="{D24579C6-A1A7-44B7-ADD4-C5859D123260}" time="2021-04-01T20:40:21Z">
        <t:Attribution userId="S::sospina@kingcounty.gov::497ff008-06b0-49cb-b335-4c7102b9bc1f" userProvider="AD" userName="Ospina-Velez, Stephany"/>
        <t:Anchor>
          <t:Comment id="1165684682"/>
        </t:Anchor>
        <t:Assign userId="S::Marcy.Miller@kingcounty.gov::734c1d5b-4a28-4c60-af4b-30b0c26e64a9" userProvider="AD" userName="Miller, Marcy"/>
      </t:Event>
      <t:Event id="{B39CBA97-28B5-41D0-A305-1543441059BB}" time="2021-04-01T20:40:21Z">
        <t:Attribution userId="S::sospina@kingcounty.gov::497ff008-06b0-49cb-b335-4c7102b9bc1f" userProvider="AD" userName="Ospina-Velez, Stephany"/>
        <t:Anchor>
          <t:Comment id="1165684682"/>
        </t:Anchor>
        <t:SetTitle title="@Miller, Marcy can you kindly send me the link to this for a citation"/>
      </t:Event>
    </t:History>
  </t:Task>
  <t:Task id="{2685A009-C8E4-49B6-9FBC-6A76B9BB8C4C}">
    <t:Anchor>
      <t:Comment id="694804544"/>
    </t:Anchor>
    <t:History>
      <t:Event id="{9BB1218D-EEC9-46A5-9C55-CBDBCF9DECF5}" time="2021-04-01T21:08:38Z">
        <t:Attribution userId="S::sospina@kingcounty.gov::497ff008-06b0-49cb-b335-4c7102b9bc1f" userProvider="AD" userName="Ospina-Velez, Stephany"/>
        <t:Anchor>
          <t:Comment id="694804544"/>
        </t:Anchor>
        <t:Create/>
      </t:Event>
      <t:Event id="{E6CF0975-9E7D-420E-B3FD-36D0D4609FE7}" time="2021-04-01T21:08:38Z">
        <t:Attribution userId="S::sospina@kingcounty.gov::497ff008-06b0-49cb-b335-4c7102b9bc1f" userProvider="AD" userName="Ospina-Velez, Stephany"/>
        <t:Anchor>
          <t:Comment id="694804544"/>
        </t:Anchor>
        <t:Assign userId="S::Marcy.Miller@kingcounty.gov::734c1d5b-4a28-4c60-af4b-30b0c26e64a9" userProvider="AD" userName="Miller, Marcy"/>
      </t:Event>
      <t:Event id="{E433BEB1-DDF5-4A5E-955D-BFB1A0DBA133}" time="2021-04-01T21:08:38Z">
        <t:Attribution userId="S::sospina@kingcounty.gov::497ff008-06b0-49cb-b335-4c7102b9bc1f" userProvider="AD" userName="Ospina-Velez, Stephany"/>
        <t:Anchor>
          <t:Comment id="694804544"/>
        </t:Anchor>
        <t:SetTitle title="@Miller, Marcy I am confused as to how to site this. Should I cite the Blueprint Report as the BMO?"/>
      </t:Event>
    </t:History>
  </t:Task>
  <t:Task id="{00FF07F9-0671-48B5-A04A-AD9AF6EC3BC8}">
    <t:Anchor>
      <t:Comment id="640651571"/>
    </t:Anchor>
    <t:History>
      <t:Event id="{2830E708-B6E4-4934-86BE-4DCF6A2967E7}" time="2021-04-02T16:52:44Z">
        <t:Attribution userId="S::sospina@kingcounty.gov::497ff008-06b0-49cb-b335-4c7102b9bc1f" userProvider="AD" userName="Ospina-Velez, Stephany"/>
        <t:Anchor>
          <t:Comment id="640651571"/>
        </t:Anchor>
        <t:Create/>
      </t:Event>
      <t:Event id="{BF0F003F-FE9A-4E64-8DAD-127D7339A646}" time="2021-04-02T16:52:44Z">
        <t:Attribution userId="S::sospina@kingcounty.gov::497ff008-06b0-49cb-b335-4c7102b9bc1f" userProvider="AD" userName="Ospina-Velez, Stephany"/>
        <t:Anchor>
          <t:Comment id="640651571"/>
        </t:Anchor>
        <t:Assign userId="S::Marcy.Miller@kingcounty.gov::734c1d5b-4a28-4c60-af4b-30b0c26e64a9" userProvider="AD" userName="Miller, Marcy"/>
      </t:Event>
      <t:Event id="{E847C118-B1C2-4101-B255-5069E2803ABB}" time="2021-04-02T16:52:44Z">
        <t:Attribution userId="S::sospina@kingcounty.gov::497ff008-06b0-49cb-b335-4c7102b9bc1f" userProvider="AD" userName="Ospina-Velez, Stephany"/>
        <t:Anchor>
          <t:Comment id="640651571"/>
        </t:Anchor>
        <t:SetTitle title="@Miller, Marcy what's a good document to cite this. A quick google search came up with unclear answers"/>
      </t:Event>
    </t:History>
  </t:Task>
  <t:Task id="{930A224C-252B-4EA8-86E6-EEB832B93B19}">
    <t:Anchor>
      <t:Comment id="802390838"/>
    </t:Anchor>
    <t:History>
      <t:Event id="{EA267DE3-CE23-4C98-A137-D4722AC6778D}" time="2021-05-12T21:57:58Z">
        <t:Attribution userId="S::kelli.carroll@kingcounty.gov::d1baf964-a1a8-460a-9731-78c08687eb49" userProvider="AD" userName="Carroll, Kelli"/>
        <t:Anchor>
          <t:Comment id="802390838"/>
        </t:Anchor>
        <t:Create/>
      </t:Event>
      <t:Event id="{D47E0317-F795-42F9-A995-B72265E854F4}" time="2021-05-12T21:57:58Z">
        <t:Attribution userId="S::kelli.carroll@kingcounty.gov::d1baf964-a1a8-460a-9731-78c08687eb49" userProvider="AD" userName="Carroll, Kelli"/>
        <t:Anchor>
          <t:Comment id="802390838"/>
        </t:Anchor>
        <t:Assign userId="S::Chris.Verschuyl@kingcounty.gov::50ff3ba9-3c47-4bf7-9542-3fa4607895af" userProvider="AD" userName="Verschuyl, Christopher"/>
      </t:Event>
      <t:Event id="{97193B0E-77E9-4867-8C50-D905955FC313}" time="2021-05-12T21:57:58Z">
        <t:Attribution userId="S::kelli.carroll@kingcounty.gov::d1baf964-a1a8-460a-9731-78c08687eb49" userProvider="AD" userName="Carroll, Kelli"/>
        <t:Anchor>
          <t:Comment id="802390838"/>
        </t:Anchor>
        <t:SetTitle title="@Verschuyl, Christopher flagging for consistency. Capitalize L in Levy as it refers to the proper noun of BSK or nah? Either way, let's be consistent, please. (I lean toward capitalization...TBH)"/>
      </t:Event>
    </t:History>
  </t:Task>
  <t:Task id="{6379AC03-E2C7-4AF8-99C3-A003D89AC346}">
    <t:Anchor>
      <t:Comment id="1716864002"/>
    </t:Anchor>
    <t:History>
      <t:Event id="{778F2D3A-29A9-402D-B4B7-9FEBFB71DDCF}" time="2021-05-12T16:22:50Z">
        <t:Attribution userId="S::kelli.carroll@kingcounty.gov::d1baf964-a1a8-460a-9731-78c08687eb49" userProvider="AD" userName="Carroll, Kelli"/>
        <t:Anchor>
          <t:Comment id="1716864002"/>
        </t:Anchor>
        <t:Create/>
      </t:Event>
      <t:Event id="{38348B6C-24A6-43D4-8290-91E37AB0F8BE}" time="2021-05-12T16:22:50Z">
        <t:Attribution userId="S::kelli.carroll@kingcounty.gov::d1baf964-a1a8-460a-9731-78c08687eb49" userProvider="AD" userName="Carroll, Kelli"/>
        <t:Anchor>
          <t:Comment id="1716864002"/>
        </t:Anchor>
        <t:Assign userId="S::Chris.Verschuyl@kingcounty.gov::50ff3ba9-3c47-4bf7-9542-3fa4607895af" userProvider="AD" userName="Verschuyl, Christopher"/>
      </t:Event>
      <t:Event id="{B54620EE-F000-4DDC-B3B1-D05B3C8E5E3B}" time="2021-05-12T16:22:50Z">
        <t:Attribution userId="S::kelli.carroll@kingcounty.gov::d1baf964-a1a8-460a-9731-78c08687eb49" userProvider="AD" userName="Carroll, Kelli"/>
        <t:Anchor>
          <t:Comment id="1716864002"/>
        </t:Anchor>
        <t:SetTitle title="@Rider, Kelly @Verschuyl, Christopher : we need to have a sidebar discussion on framing of recommendations. Probably sooner than later"/>
      </t:Event>
    </t:History>
  </t:Task>
  <t:Task id="{02C0185D-627D-4FC6-AC78-3C9E146EF296}">
    <t:Anchor>
      <t:Comment id="608412078"/>
    </t:Anchor>
    <t:History>
      <t:Event id="{AD4CE74F-E9E7-41F8-8351-9AF1E76BA49E}" time="2021-05-24T15:49:39Z">
        <t:Attribution userId="S::jecafferty@kingcounty.gov::1ae84186-2d10-41fd-b4b7-4b23e01eb8da" userProvider="AD" userName="Cafferty, Jessica"/>
        <t:Anchor>
          <t:Comment id="53164767"/>
        </t:Anchor>
        <t:Create/>
      </t:Event>
      <t:Event id="{3912AC2C-C6CF-4E28-A694-3243A00C8CE7}" time="2021-05-24T15:49:39Z">
        <t:Attribution userId="S::jecafferty@kingcounty.gov::1ae84186-2d10-41fd-b4b7-4b23e01eb8da" userProvider="AD" userName="Cafferty, Jessica"/>
        <t:Anchor>
          <t:Comment id="53164767"/>
        </t:Anchor>
        <t:Assign userId="S::Marcy.Miller@kingcounty.gov::734c1d5b-4a28-4c60-af4b-30b0c26e64a9" userProvider="AD" userName="Miller, Marcy"/>
      </t:Event>
      <t:Event id="{4C64E9B3-26D3-46C8-8F1E-4292493F88F1}" time="2021-05-24T15:49:39Z">
        <t:Attribution userId="S::jecafferty@kingcounty.gov::1ae84186-2d10-41fd-b4b7-4b23e01eb8da" userProvider="AD" userName="Cafferty, Jessica"/>
        <t:Anchor>
          <t:Comment id="53164767"/>
        </t:Anchor>
        <t:SetTitle title="@Miller, Marcy I'm not sure on this one - can you please weigh in? Leaving it here for now."/>
      </t:Event>
    </t:History>
  </t:Task>
  <t:Task id="{E64D78FB-3230-4096-9647-BDCDECBDAC8B}">
    <t:Anchor>
      <t:Comment id="608497172"/>
    </t:Anchor>
    <t:History>
      <t:Event id="{2DD2FDFE-D4A8-4836-A4AE-433329A365FA}" time="2021-05-26T19:29:17Z">
        <t:Attribution userId="S::sara.rigel@kingcounty.gov::becf8998-8ba5-4b7f-beff-7c562e524e7f" userProvider="AD" userName="Rigel, Sara"/>
        <t:Anchor>
          <t:Comment id="656314767"/>
        </t:Anchor>
        <t:Create/>
      </t:Event>
      <t:Event id="{63D69399-352F-4E9E-BD14-58CF827267A0}" time="2021-05-26T19:29:17Z">
        <t:Attribution userId="S::sara.rigel@kingcounty.gov::becf8998-8ba5-4b7f-beff-7c562e524e7f" userProvider="AD" userName="Rigel, Sara"/>
        <t:Anchor>
          <t:Comment id="656314767"/>
        </t:Anchor>
        <t:Assign userId="S::mmcjenn@kingcounty.gov::14c7b1c6-40f0-4c34-b047-4ca2537dcaf3" userProvider="AD" userName="McJennett, Megan"/>
      </t:Event>
      <t:Event id="{59632873-8368-403C-82A4-11B90DA3378C}" time="2021-05-26T19:29:17Z">
        <t:Attribution userId="S::sara.rigel@kingcounty.gov::becf8998-8ba5-4b7f-beff-7c562e524e7f" userProvider="AD" userName="Rigel, Sara"/>
        <t:Anchor>
          <t:Comment id="656314767"/>
        </t:Anchor>
        <t:SetTitle title="@McJennett, Megan i do not know about Dunns motion. This is part of basic SBHC work but the increase is to continue or expand the existing ZYD pilot work."/>
      </t:Event>
    </t:History>
  </t:Task>
  <t:Task id="{8E06E642-BAC9-4465-BFF9-7CDFBDC77311}">
    <t:Anchor>
      <t:Comment id="612046241"/>
    </t:Anchor>
    <t:History>
      <t:Event id="{96EFDA9C-C8EA-4D7A-BBA3-D5A34F11E784}" time="2021-06-22T16:21:15Z">
        <t:Attribution userId="S::andrea.akita@kingcounty.gov::1f53a658-efab-4953-8c70-0fce0cb50298" userProvider="AD" userName="Akita, Andrea"/>
        <t:Anchor>
          <t:Comment id="1857605731"/>
        </t:Anchor>
        <t:Create/>
      </t:Event>
      <t:Event id="{AF3D5B11-E505-4170-A1CC-92D4BF6C8B15}" time="2021-06-22T16:21:15Z">
        <t:Attribution userId="S::andrea.akita@kingcounty.gov::1f53a658-efab-4953-8c70-0fce0cb50298" userProvider="AD" userName="Akita, Andrea"/>
        <t:Anchor>
          <t:Comment id="1857605731"/>
        </t:Anchor>
        <t:Assign userId="S::mmcjenn@kingcounty.gov::14c7b1c6-40f0-4c34-b047-4ca2537dcaf3" userProvider="AD" userName="McJennett, Megan"/>
      </t:Event>
      <t:Event id="{B1B9EFEA-9AF3-4B5A-A79A-7A41F3888E2F}" time="2021-06-22T16:21:15Z">
        <t:Attribution userId="S::andrea.akita@kingcounty.gov::1f53a658-efab-4953-8c70-0fce0cb50298" userProvider="AD" userName="Akita, Andrea"/>
        <t:Anchor>
          <t:Comment id="1857605731"/>
        </t:Anchor>
        <t:SetTitle title="@McJennett, Megan Does this work?"/>
      </t:Event>
    </t:History>
  </t:Task>
  <t:Task id="{00B0BB81-5C5E-4A87-98FE-60D9B5CFAA11}">
    <t:Anchor>
      <t:Comment id="612568346"/>
    </t:Anchor>
    <t:History>
      <t:Event id="{ED997DBC-60FB-44E7-9931-F3ABF4553C6C}" time="2021-06-29T15:05:01Z">
        <t:Attribution userId="S::jecafferty@kingcounty.gov::1ae84186-2d10-41fd-b4b7-4b23e01eb8da" userProvider="AD" userName="Cafferty, Jessica"/>
        <t:Anchor>
          <t:Comment id="63832437"/>
        </t:Anchor>
        <t:Create/>
      </t:Event>
      <t:Event id="{DA5B8143-EE4F-4604-8C21-937784CA6774}" time="2021-06-29T15:05:01Z">
        <t:Attribution userId="S::jecafferty@kingcounty.gov::1ae84186-2d10-41fd-b4b7-4b23e01eb8da" userProvider="AD" userName="Cafferty, Jessica"/>
        <t:Anchor>
          <t:Comment id="63832437"/>
        </t:Anchor>
        <t:Assign userId="S::Marcy.Miller@kingcounty.gov::734c1d5b-4a28-4c60-af4b-30b0c26e64a9" userProvider="AD" userName="Miller, Marcy"/>
      </t:Event>
      <t:Event id="{A986C12C-2050-41C7-8BD5-D57569945CE9}" time="2021-06-29T15:05:01Z">
        <t:Attribution userId="S::jecafferty@kingcounty.gov::1ae84186-2d10-41fd-b4b7-4b23e01eb8da" userProvider="AD" userName="Cafferty, Jessica"/>
        <t:Anchor>
          <t:Comment id="63832437"/>
        </t:Anchor>
        <t:SetTitle title="@Miller, Marcy is it appropriate to include some information around PSTAA's ELF fund here?"/>
      </t:Event>
    </t:History>
  </t:Task>
  <t:Task id="{362E484E-FBCE-4F58-A070-B2A5998BA6F8}">
    <t:Anchor>
      <t:Comment id="1711143620"/>
    </t:Anchor>
    <t:History>
      <t:Event id="{08534F46-6C22-4F3A-AF20-A00F13E8E612}" time="2021-06-29T16:11:32Z">
        <t:Attribution userId="S::andrea.akita@kingcounty.gov::1f53a658-efab-4953-8c70-0fce0cb50298" userProvider="AD" userName="Akita, Andrea"/>
        <t:Anchor>
          <t:Comment id="1711143620"/>
        </t:Anchor>
        <t:Create/>
      </t:Event>
      <t:Event id="{45F59069-16F3-49CE-8326-749D14725A8C}" time="2021-06-29T16:11:32Z">
        <t:Attribution userId="S::andrea.akita@kingcounty.gov::1f53a658-efab-4953-8c70-0fce0cb50298" userProvider="AD" userName="Akita, Andrea"/>
        <t:Anchor>
          <t:Comment id="1711143620"/>
        </t:Anchor>
        <t:Assign userId="S::Andrea.Akita@kingcounty.gov::1f53a658-efab-4953-8c70-0fce0cb50298" userProvider="AD" userName="Akita, Andrea"/>
      </t:Event>
      <t:Event id="{5E0CE053-730E-45AA-ABF7-62F528708603}" time="2021-06-29T16:11:32Z">
        <t:Attribution userId="S::andrea.akita@kingcounty.gov::1f53a658-efab-4953-8c70-0fce0cb50298" userProvider="AD" userName="Akita, Andrea"/>
        <t:Anchor>
          <t:Comment id="1711143620"/>
        </t:Anchor>
        <t:SetTitle title="*checking w/Blishda on editing this, as M.Ro suggested for consistency with other Systems, Policy Change strategies. @Akita, Andrea"/>
      </t:Event>
      <t:Event id="{72908D0F-808B-4327-9620-B44744D61896}" time="2021-06-29T19:54:47Z">
        <t:Attribution userId="S::andrea.akita@kingcounty.gov::1f53a658-efab-4953-8c70-0fce0cb50298" userProvider="AD" userName="Akita, Andrea"/>
        <t:Progress percentComplete="100"/>
      </t:Event>
      <t:Event id="{0F1CD83B-6336-4FE0-883E-4E269C51452C}" time="2021-06-29T19:55:16Z">
        <t:Attribution userId="S::andrea.akita@kingcounty.gov::1f53a658-efab-4953-8c70-0fce0cb50298" userProvider="AD" userName="Akita, Andrea"/>
        <t:Progress percentComplete="0"/>
      </t:Event>
      <t:Event id="{7205EEFE-0DE4-42B6-9611-E72FC69CEC7B}" time="2021-06-29T19:55:21Z">
        <t:Attribution userId="S::andrea.akita@kingcounty.gov::1f53a658-efab-4953-8c70-0fce0cb50298" userProvider="AD" userName="Akita, Andre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{1CB23ED7-53A8-4697-8262-8FFE5BD027C9}</b:Guid>
    <b:URL>https://www.kingcounty.gov/depts/community-human-services/initiatives/best-starts-for-kids/dashboards.aspx</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Reviewer Log" ma:contentTypeID="0x010100D03C1FEDB24A304B88B22491CFC0976900439C0B438D39E641BC7BB72D65436508" ma:contentTypeVersion="13" ma:contentTypeDescription="" ma:contentTypeScope="" ma:versionID="1ef4869109e5b3ec269783d1dd8c0b99">
  <xsd:schema xmlns:xsd="http://www.w3.org/2001/XMLSchema" xmlns:xs="http://www.w3.org/2001/XMLSchema" xmlns:p="http://schemas.microsoft.com/office/2006/metadata/properties" xmlns:ns1="http://schemas.microsoft.com/sharepoint/v3" xmlns:ns2="308dc21f-8940-46b7-9ee9-f86b439897b1" xmlns:ns3="cc811197-5a73-4d86-a206-c117da05ddaa" xmlns:ns4="5749be02-1652-4e46-a5f7-bcebca5f275b" targetNamespace="http://schemas.microsoft.com/office/2006/metadata/properties" ma:root="true" ma:fieldsID="e4aa23d5d0965ae57e68be78c24f1632" ns1:_="" ns2:_="" ns3:_="" ns4:_="">
    <xsd:import namespace="http://schemas.microsoft.com/sharepoint/v3"/>
    <xsd:import namespace="308dc21f-8940-46b7-9ee9-f86b439897b1"/>
    <xsd:import namespace="cc811197-5a73-4d86-a206-c117da05ddaa"/>
    <xsd:import namespace="5749be02-1652-4e46-a5f7-bcebca5f275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PSB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9be02-1652-4e46-a5f7-bcebca5f275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PSBReviewer" ma:index="15" nillable="true" ma:displayName="PSB Reviewer" ma:format="Dropdown" ma:list="UserInfo" ma:SharePointGroup="0" ma:internalName="PSB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cc811197-5a73-4d86-a206-c117da05ddaa">
      <UserInfo>
        <DisplayName>Miller, Marcy</DisplayName>
        <AccountId>11</AccountId>
        <AccountType/>
      </UserInfo>
      <UserInfo>
        <DisplayName>McJennett, Megan</DisplayName>
        <AccountId>12</AccountId>
        <AccountType/>
      </UserInfo>
      <UserInfo>
        <DisplayName>Wong, Eva</DisplayName>
        <AccountId>29</AccountId>
        <AccountType/>
      </UserInfo>
      <UserInfo>
        <DisplayName>Lovett, Kelly</DisplayName>
        <AccountId>27</AccountId>
        <AccountType/>
      </UserInfo>
      <UserInfo>
        <DisplayName>Roberts, Yvonne</DisplayName>
        <AccountId>28</AccountId>
        <AccountType/>
      </UserInfo>
      <UserInfo>
        <DisplayName>Cafferty, Jessica</DisplayName>
        <AccountId>24</AccountId>
        <AccountType/>
      </UserInfo>
      <UserInfo>
        <DisplayName>Fluckinger, Bonnie</DisplayName>
        <AccountId>121</AccountId>
        <AccountType/>
      </UserInfo>
      <UserInfo>
        <DisplayName>Hall, Caitlyn</DisplayName>
        <AccountId>34</AccountId>
        <AccountType/>
      </UserInfo>
      <UserInfo>
        <DisplayName>Pitarys, Laura</DisplayName>
        <AccountId>35</AccountId>
        <AccountType/>
      </UserInfo>
      <UserInfo>
        <DisplayName>Verschuyl, Christopher</DisplayName>
        <AccountId>67</AccountId>
        <AccountType/>
      </UserInfo>
      <UserInfo>
        <DisplayName>Hill, Jennifer-Community Services</DisplayName>
        <AccountId>98</AccountId>
        <AccountType/>
      </UserInfo>
      <UserInfo>
        <DisplayName>Tanaka, Jennifer</DisplayName>
        <AccountId>58</AccountId>
        <AccountType/>
      </UserInfo>
      <UserInfo>
        <DisplayName>Capestany, Sheila</DisplayName>
        <AccountId>10</AccountId>
        <AccountType/>
      </UserInfo>
      <UserInfo>
        <DisplayName>Ospina-Velez, Stephany</DisplayName>
        <AccountId>6</AccountId>
        <AccountType/>
      </UserInfo>
      <UserInfo>
        <DisplayName>Burkland, Anne</DisplayName>
        <AccountId>36</AccountId>
        <AccountType/>
      </UserInfo>
      <UserInfo>
        <DisplayName>Wilhelm, Sarah</DisplayName>
        <AccountId>13</AccountId>
        <AccountType/>
      </UserInfo>
      <UserInfo>
        <DisplayName>Flor, Leonardo</DisplayName>
        <AccountId>235</AccountId>
        <AccountType/>
      </UserInfo>
      <UserInfo>
        <DisplayName>Moynahan, Jaclyn</DisplayName>
        <AccountId>123</AccountId>
        <AccountType/>
      </UserInfo>
      <UserInfo>
        <DisplayName>Mcveigh, Emma</DisplayName>
        <AccountId>101</AccountId>
        <AccountType/>
      </UserInfo>
    </SharedWithUsers>
    <AssignedTo xmlns="http://schemas.microsoft.com/sharepoint/v3">
      <UserInfo>
        <DisplayName/>
        <AccountId xsi:nil="true"/>
        <AccountType/>
      </UserInfo>
    </AssignedTo>
    <Proposed_x002f_Passed_x0020__x0023__x003a_ xmlns="308dc21f-8940-46b7-9ee9-f86b439897b1" xsi:nil="true"/>
    <PSBReviewer xmlns="5749be02-1652-4e46-a5f7-bcebca5f275b">
      <UserInfo>
        <DisplayName/>
        <AccountId xsi:nil="true"/>
        <AccountType/>
      </UserInfo>
    </PSBReviewer>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07F8B6-F0EA-42E9-8943-4CA5C084680E}">
  <ds:schemaRefs>
    <ds:schemaRef ds:uri="http://schemas.openxmlformats.org/officeDocument/2006/bibliography"/>
  </ds:schemaRefs>
</ds:datastoreItem>
</file>

<file path=customXml/itemProps3.xml><?xml version="1.0" encoding="utf-8"?>
<ds:datastoreItem xmlns:ds="http://schemas.openxmlformats.org/officeDocument/2006/customXml" ds:itemID="{789546DB-9999-4FF6-A114-BC2771B1B444}">
  <ds:schemaRefs>
    <ds:schemaRef ds:uri="http://schemas.microsoft.com/sharepoint/v3/contenttype/forms"/>
  </ds:schemaRefs>
</ds:datastoreItem>
</file>

<file path=customXml/itemProps4.xml><?xml version="1.0" encoding="utf-8"?>
<ds:datastoreItem xmlns:ds="http://schemas.openxmlformats.org/officeDocument/2006/customXml" ds:itemID="{3810108C-2D44-4139-8F1F-23F7F1787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5749be02-1652-4e46-a5f7-bcebca5f2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173506-BE07-443F-B297-EC1A6D9E8295}">
  <ds:schemaRefs>
    <ds:schemaRef ds:uri="cc811197-5a73-4d86-a206-c117da05ddaa"/>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749be02-1652-4e46-a5f7-bcebca5f275b"/>
    <ds:schemaRef ds:uri="http://purl.org/dc/elements/1.1/"/>
    <ds:schemaRef ds:uri="http://schemas.microsoft.com/office/2006/metadata/properties"/>
    <ds:schemaRef ds:uri="308dc21f-8940-46b7-9ee9-f86b439897b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127</Pages>
  <Words>39514</Words>
  <Characters>225231</Characters>
  <Application>Microsoft Office Word</Application>
  <DocSecurity>0</DocSecurity>
  <Lines>1876</Lines>
  <Paragraphs>528</Paragraphs>
  <ScaleCrop>false</ScaleCrop>
  <HeadingPairs>
    <vt:vector size="2" baseType="variant">
      <vt:variant>
        <vt:lpstr>Title</vt:lpstr>
      </vt:variant>
      <vt:variant>
        <vt:i4>1</vt:i4>
      </vt:variant>
    </vt:vector>
  </HeadingPairs>
  <TitlesOfParts>
    <vt:vector size="1" baseType="lpstr">
      <vt:lpstr>report - NEW</vt:lpstr>
    </vt:vector>
  </TitlesOfParts>
  <Company>King County</Company>
  <LinksUpToDate>false</LinksUpToDate>
  <CharactersWithSpaces>264217</CharactersWithSpaces>
  <SharedDoc>false</SharedDoc>
  <HLinks>
    <vt:vector size="2088" baseType="variant">
      <vt:variant>
        <vt:i4>7602177</vt:i4>
      </vt:variant>
      <vt:variant>
        <vt:i4>593</vt:i4>
      </vt:variant>
      <vt:variant>
        <vt:i4>0</vt:i4>
      </vt:variant>
      <vt:variant>
        <vt:i4>5</vt:i4>
      </vt:variant>
      <vt:variant>
        <vt:lpwstr>http://www.kingcounty.gov/~/media/elected/executive/equity-social-justice/2016/The_Equity_Impact_Review_checklist_Mar2016.ashx?la=en</vt:lpwstr>
      </vt:variant>
      <vt:variant>
        <vt:lpwstr/>
      </vt:variant>
      <vt:variant>
        <vt:i4>1048638</vt:i4>
      </vt:variant>
      <vt:variant>
        <vt:i4>590</vt:i4>
      </vt:variant>
      <vt:variant>
        <vt:i4>0</vt:i4>
      </vt:variant>
      <vt:variant>
        <vt:i4>5</vt:i4>
      </vt:variant>
      <vt:variant>
        <vt:lpwstr/>
      </vt:variant>
      <vt:variant>
        <vt:lpwstr>_Sustain_the_Gain</vt:lpwstr>
      </vt:variant>
      <vt:variant>
        <vt:i4>1048638</vt:i4>
      </vt:variant>
      <vt:variant>
        <vt:i4>587</vt:i4>
      </vt:variant>
      <vt:variant>
        <vt:i4>0</vt:i4>
      </vt:variant>
      <vt:variant>
        <vt:i4>5</vt:i4>
      </vt:variant>
      <vt:variant>
        <vt:lpwstr/>
      </vt:variant>
      <vt:variant>
        <vt:lpwstr>_Sustain_the_Gain</vt:lpwstr>
      </vt:variant>
      <vt:variant>
        <vt:i4>1507386</vt:i4>
      </vt:variant>
      <vt:variant>
        <vt:i4>584</vt:i4>
      </vt:variant>
      <vt:variant>
        <vt:i4>0</vt:i4>
      </vt:variant>
      <vt:variant>
        <vt:i4>5</vt:i4>
      </vt:variant>
      <vt:variant>
        <vt:lpwstr/>
      </vt:variant>
      <vt:variant>
        <vt:lpwstr>School_BasedHealthCenters</vt:lpwstr>
      </vt:variant>
      <vt:variant>
        <vt:i4>7143519</vt:i4>
      </vt:variant>
      <vt:variant>
        <vt:i4>581</vt:i4>
      </vt:variant>
      <vt:variant>
        <vt:i4>0</vt:i4>
      </vt:variant>
      <vt:variant>
        <vt:i4>5</vt:i4>
      </vt:variant>
      <vt:variant>
        <vt:lpwstr/>
      </vt:variant>
      <vt:variant>
        <vt:lpwstr>Liberation_Healing</vt:lpwstr>
      </vt:variant>
      <vt:variant>
        <vt:i4>131120</vt:i4>
      </vt:variant>
      <vt:variant>
        <vt:i4>578</vt:i4>
      </vt:variant>
      <vt:variant>
        <vt:i4>0</vt:i4>
      </vt:variant>
      <vt:variant>
        <vt:i4>5</vt:i4>
      </vt:variant>
      <vt:variant>
        <vt:lpwstr/>
      </vt:variant>
      <vt:variant>
        <vt:lpwstr>_Data_and_Evaluation</vt:lpwstr>
      </vt:variant>
      <vt:variant>
        <vt:i4>131120</vt:i4>
      </vt:variant>
      <vt:variant>
        <vt:i4>575</vt:i4>
      </vt:variant>
      <vt:variant>
        <vt:i4>0</vt:i4>
      </vt:variant>
      <vt:variant>
        <vt:i4>5</vt:i4>
      </vt:variant>
      <vt:variant>
        <vt:lpwstr/>
      </vt:variant>
      <vt:variant>
        <vt:lpwstr>_Data_and_Evaluation</vt:lpwstr>
      </vt:variant>
      <vt:variant>
        <vt:i4>131120</vt:i4>
      </vt:variant>
      <vt:variant>
        <vt:i4>572</vt:i4>
      </vt:variant>
      <vt:variant>
        <vt:i4>0</vt:i4>
      </vt:variant>
      <vt:variant>
        <vt:i4>5</vt:i4>
      </vt:variant>
      <vt:variant>
        <vt:lpwstr/>
      </vt:variant>
      <vt:variant>
        <vt:lpwstr>_Data_and_Evaluation</vt:lpwstr>
      </vt:variant>
      <vt:variant>
        <vt:i4>720925</vt:i4>
      </vt:variant>
      <vt:variant>
        <vt:i4>569</vt:i4>
      </vt:variant>
      <vt:variant>
        <vt:i4>0</vt:i4>
      </vt:variant>
      <vt:variant>
        <vt:i4>5</vt:i4>
      </vt:variant>
      <vt:variant>
        <vt:lpwstr/>
      </vt:variant>
      <vt:variant>
        <vt:lpwstr>_Capital_Program</vt:lpwstr>
      </vt:variant>
      <vt:variant>
        <vt:i4>720925</vt:i4>
      </vt:variant>
      <vt:variant>
        <vt:i4>566</vt:i4>
      </vt:variant>
      <vt:variant>
        <vt:i4>0</vt:i4>
      </vt:variant>
      <vt:variant>
        <vt:i4>5</vt:i4>
      </vt:variant>
      <vt:variant>
        <vt:lpwstr/>
      </vt:variant>
      <vt:variant>
        <vt:lpwstr>_Capital_Program</vt:lpwstr>
      </vt:variant>
      <vt:variant>
        <vt:i4>720925</vt:i4>
      </vt:variant>
      <vt:variant>
        <vt:i4>563</vt:i4>
      </vt:variant>
      <vt:variant>
        <vt:i4>0</vt:i4>
      </vt:variant>
      <vt:variant>
        <vt:i4>5</vt:i4>
      </vt:variant>
      <vt:variant>
        <vt:lpwstr/>
      </vt:variant>
      <vt:variant>
        <vt:lpwstr>_Capital_Program</vt:lpwstr>
      </vt:variant>
      <vt:variant>
        <vt:i4>720925</vt:i4>
      </vt:variant>
      <vt:variant>
        <vt:i4>560</vt:i4>
      </vt:variant>
      <vt:variant>
        <vt:i4>0</vt:i4>
      </vt:variant>
      <vt:variant>
        <vt:i4>5</vt:i4>
      </vt:variant>
      <vt:variant>
        <vt:lpwstr/>
      </vt:variant>
      <vt:variant>
        <vt:lpwstr>_Capital_Program</vt:lpwstr>
      </vt:variant>
      <vt:variant>
        <vt:i4>720925</vt:i4>
      </vt:variant>
      <vt:variant>
        <vt:i4>557</vt:i4>
      </vt:variant>
      <vt:variant>
        <vt:i4>0</vt:i4>
      </vt:variant>
      <vt:variant>
        <vt:i4>5</vt:i4>
      </vt:variant>
      <vt:variant>
        <vt:lpwstr/>
      </vt:variant>
      <vt:variant>
        <vt:lpwstr>_Capital_Program</vt:lpwstr>
      </vt:variant>
      <vt:variant>
        <vt:i4>4325431</vt:i4>
      </vt:variant>
      <vt:variant>
        <vt:i4>554</vt:i4>
      </vt:variant>
      <vt:variant>
        <vt:i4>0</vt:i4>
      </vt:variant>
      <vt:variant>
        <vt:i4>5</vt:i4>
      </vt:variant>
      <vt:variant>
        <vt:lpwstr/>
      </vt:variant>
      <vt:variant>
        <vt:lpwstr>_B._Fiscal_Overview</vt:lpwstr>
      </vt:variant>
      <vt:variant>
        <vt:i4>720925</vt:i4>
      </vt:variant>
      <vt:variant>
        <vt:i4>551</vt:i4>
      </vt:variant>
      <vt:variant>
        <vt:i4>0</vt:i4>
      </vt:variant>
      <vt:variant>
        <vt:i4>5</vt:i4>
      </vt:variant>
      <vt:variant>
        <vt:lpwstr/>
      </vt:variant>
      <vt:variant>
        <vt:lpwstr>_Capital_Program</vt:lpwstr>
      </vt:variant>
      <vt:variant>
        <vt:i4>720925</vt:i4>
      </vt:variant>
      <vt:variant>
        <vt:i4>548</vt:i4>
      </vt:variant>
      <vt:variant>
        <vt:i4>0</vt:i4>
      </vt:variant>
      <vt:variant>
        <vt:i4>5</vt:i4>
      </vt:variant>
      <vt:variant>
        <vt:lpwstr/>
      </vt:variant>
      <vt:variant>
        <vt:lpwstr>_Capital_Program</vt:lpwstr>
      </vt:variant>
      <vt:variant>
        <vt:i4>720925</vt:i4>
      </vt:variant>
      <vt:variant>
        <vt:i4>545</vt:i4>
      </vt:variant>
      <vt:variant>
        <vt:i4>0</vt:i4>
      </vt:variant>
      <vt:variant>
        <vt:i4>5</vt:i4>
      </vt:variant>
      <vt:variant>
        <vt:lpwstr/>
      </vt:variant>
      <vt:variant>
        <vt:lpwstr>_Capital_Program</vt:lpwstr>
      </vt:variant>
      <vt:variant>
        <vt:i4>4325431</vt:i4>
      </vt:variant>
      <vt:variant>
        <vt:i4>542</vt:i4>
      </vt:variant>
      <vt:variant>
        <vt:i4>0</vt:i4>
      </vt:variant>
      <vt:variant>
        <vt:i4>5</vt:i4>
      </vt:variant>
      <vt:variant>
        <vt:lpwstr/>
      </vt:variant>
      <vt:variant>
        <vt:lpwstr>_B._Fiscal_Overview</vt:lpwstr>
      </vt:variant>
      <vt:variant>
        <vt:i4>8323173</vt:i4>
      </vt:variant>
      <vt:variant>
        <vt:i4>539</vt:i4>
      </vt:variant>
      <vt:variant>
        <vt:i4>0</vt:i4>
      </vt:variant>
      <vt:variant>
        <vt:i4>5</vt:i4>
      </vt:variant>
      <vt:variant>
        <vt:lpwstr/>
      </vt:variant>
      <vt:variant>
        <vt:lpwstr>_Child_Care</vt:lpwstr>
      </vt:variant>
      <vt:variant>
        <vt:i4>2359297</vt:i4>
      </vt:variant>
      <vt:variant>
        <vt:i4>536</vt:i4>
      </vt:variant>
      <vt:variant>
        <vt:i4>0</vt:i4>
      </vt:variant>
      <vt:variant>
        <vt:i4>5</vt:i4>
      </vt:variant>
      <vt:variant>
        <vt:lpwstr/>
      </vt:variant>
      <vt:variant>
        <vt:lpwstr>_Technical_Assistance_and</vt:lpwstr>
      </vt:variant>
      <vt:variant>
        <vt:i4>393250</vt:i4>
      </vt:variant>
      <vt:variant>
        <vt:i4>533</vt:i4>
      </vt:variant>
      <vt:variant>
        <vt:i4>0</vt:i4>
      </vt:variant>
      <vt:variant>
        <vt:i4>5</vt:i4>
      </vt:variant>
      <vt:variant>
        <vt:lpwstr/>
      </vt:variant>
      <vt:variant>
        <vt:lpwstr>_Youth_and_Family</vt:lpwstr>
      </vt:variant>
      <vt:variant>
        <vt:i4>2359297</vt:i4>
      </vt:variant>
      <vt:variant>
        <vt:i4>530</vt:i4>
      </vt:variant>
      <vt:variant>
        <vt:i4>0</vt:i4>
      </vt:variant>
      <vt:variant>
        <vt:i4>5</vt:i4>
      </vt:variant>
      <vt:variant>
        <vt:lpwstr/>
      </vt:variant>
      <vt:variant>
        <vt:lpwstr>_Technical_Assistance_and</vt:lpwstr>
      </vt:variant>
      <vt:variant>
        <vt:i4>2359297</vt:i4>
      </vt:variant>
      <vt:variant>
        <vt:i4>527</vt:i4>
      </vt:variant>
      <vt:variant>
        <vt:i4>0</vt:i4>
      </vt:variant>
      <vt:variant>
        <vt:i4>5</vt:i4>
      </vt:variant>
      <vt:variant>
        <vt:lpwstr/>
      </vt:variant>
      <vt:variant>
        <vt:lpwstr>_Technical_Assistance_and</vt:lpwstr>
      </vt:variant>
      <vt:variant>
        <vt:i4>2359297</vt:i4>
      </vt:variant>
      <vt:variant>
        <vt:i4>524</vt:i4>
      </vt:variant>
      <vt:variant>
        <vt:i4>0</vt:i4>
      </vt:variant>
      <vt:variant>
        <vt:i4>5</vt:i4>
      </vt:variant>
      <vt:variant>
        <vt:lpwstr/>
      </vt:variant>
      <vt:variant>
        <vt:lpwstr>_Technical_Assistance_and</vt:lpwstr>
      </vt:variant>
      <vt:variant>
        <vt:i4>2359297</vt:i4>
      </vt:variant>
      <vt:variant>
        <vt:i4>521</vt:i4>
      </vt:variant>
      <vt:variant>
        <vt:i4>0</vt:i4>
      </vt:variant>
      <vt:variant>
        <vt:i4>5</vt:i4>
      </vt:variant>
      <vt:variant>
        <vt:lpwstr/>
      </vt:variant>
      <vt:variant>
        <vt:lpwstr>_Technical_Assistance_and</vt:lpwstr>
      </vt:variant>
      <vt:variant>
        <vt:i4>2359297</vt:i4>
      </vt:variant>
      <vt:variant>
        <vt:i4>518</vt:i4>
      </vt:variant>
      <vt:variant>
        <vt:i4>0</vt:i4>
      </vt:variant>
      <vt:variant>
        <vt:i4>5</vt:i4>
      </vt:variant>
      <vt:variant>
        <vt:lpwstr/>
      </vt:variant>
      <vt:variant>
        <vt:lpwstr>_Technical_Assistance_and</vt:lpwstr>
      </vt:variant>
      <vt:variant>
        <vt:i4>8323173</vt:i4>
      </vt:variant>
      <vt:variant>
        <vt:i4>515</vt:i4>
      </vt:variant>
      <vt:variant>
        <vt:i4>0</vt:i4>
      </vt:variant>
      <vt:variant>
        <vt:i4>5</vt:i4>
      </vt:variant>
      <vt:variant>
        <vt:lpwstr/>
      </vt:variant>
      <vt:variant>
        <vt:lpwstr>_Child_Care</vt:lpwstr>
      </vt:variant>
      <vt:variant>
        <vt:i4>8323173</vt:i4>
      </vt:variant>
      <vt:variant>
        <vt:i4>512</vt:i4>
      </vt:variant>
      <vt:variant>
        <vt:i4>0</vt:i4>
      </vt:variant>
      <vt:variant>
        <vt:i4>5</vt:i4>
      </vt:variant>
      <vt:variant>
        <vt:lpwstr/>
      </vt:variant>
      <vt:variant>
        <vt:lpwstr>_Child_Care</vt:lpwstr>
      </vt:variant>
      <vt:variant>
        <vt:i4>393250</vt:i4>
      </vt:variant>
      <vt:variant>
        <vt:i4>509</vt:i4>
      </vt:variant>
      <vt:variant>
        <vt:i4>0</vt:i4>
      </vt:variant>
      <vt:variant>
        <vt:i4>5</vt:i4>
      </vt:variant>
      <vt:variant>
        <vt:lpwstr/>
      </vt:variant>
      <vt:variant>
        <vt:lpwstr>_Youth_and_Family</vt:lpwstr>
      </vt:variant>
      <vt:variant>
        <vt:i4>5505060</vt:i4>
      </vt:variant>
      <vt:variant>
        <vt:i4>506</vt:i4>
      </vt:variant>
      <vt:variant>
        <vt:i4>0</vt:i4>
      </vt:variant>
      <vt:variant>
        <vt:i4>5</vt:i4>
      </vt:variant>
      <vt:variant>
        <vt:lpwstr/>
      </vt:variant>
      <vt:variant>
        <vt:lpwstr>_F.__Governing</vt:lpwstr>
      </vt:variant>
      <vt:variant>
        <vt:i4>131120</vt:i4>
      </vt:variant>
      <vt:variant>
        <vt:i4>503</vt:i4>
      </vt:variant>
      <vt:variant>
        <vt:i4>0</vt:i4>
      </vt:variant>
      <vt:variant>
        <vt:i4>5</vt:i4>
      </vt:variant>
      <vt:variant>
        <vt:lpwstr/>
      </vt:variant>
      <vt:variant>
        <vt:lpwstr>_Data_and_Evaluation</vt:lpwstr>
      </vt:variant>
      <vt:variant>
        <vt:i4>4784234</vt:i4>
      </vt:variant>
      <vt:variant>
        <vt:i4>500</vt:i4>
      </vt:variant>
      <vt:variant>
        <vt:i4>0</vt:i4>
      </vt:variant>
      <vt:variant>
        <vt:i4>5</vt:i4>
      </vt:variant>
      <vt:variant>
        <vt:lpwstr/>
      </vt:variant>
      <vt:variant>
        <vt:lpwstr>_Communities_of_Opportunity</vt:lpwstr>
      </vt:variant>
      <vt:variant>
        <vt:i4>1048638</vt:i4>
      </vt:variant>
      <vt:variant>
        <vt:i4>497</vt:i4>
      </vt:variant>
      <vt:variant>
        <vt:i4>0</vt:i4>
      </vt:variant>
      <vt:variant>
        <vt:i4>5</vt:i4>
      </vt:variant>
      <vt:variant>
        <vt:lpwstr/>
      </vt:variant>
      <vt:variant>
        <vt:lpwstr>_Sustain_the_Gain</vt:lpwstr>
      </vt:variant>
      <vt:variant>
        <vt:i4>2097238</vt:i4>
      </vt:variant>
      <vt:variant>
        <vt:i4>494</vt:i4>
      </vt:variant>
      <vt:variant>
        <vt:i4>0</vt:i4>
      </vt:variant>
      <vt:variant>
        <vt:i4>5</vt:i4>
      </vt:variant>
      <vt:variant>
        <vt:lpwstr/>
      </vt:variant>
      <vt:variant>
        <vt:lpwstr>_Investing_Early_(Prenatal</vt:lpwstr>
      </vt:variant>
      <vt:variant>
        <vt:i4>4325431</vt:i4>
      </vt:variant>
      <vt:variant>
        <vt:i4>491</vt:i4>
      </vt:variant>
      <vt:variant>
        <vt:i4>0</vt:i4>
      </vt:variant>
      <vt:variant>
        <vt:i4>5</vt:i4>
      </vt:variant>
      <vt:variant>
        <vt:lpwstr/>
      </vt:variant>
      <vt:variant>
        <vt:lpwstr>_B._Fiscal_Overview</vt:lpwstr>
      </vt:variant>
      <vt:variant>
        <vt:i4>2490372</vt:i4>
      </vt:variant>
      <vt:variant>
        <vt:i4>488</vt:i4>
      </vt:variant>
      <vt:variant>
        <vt:i4>0</vt:i4>
      </vt:variant>
      <vt:variant>
        <vt:i4>5</vt:i4>
      </vt:variant>
      <vt:variant>
        <vt:lpwstr/>
      </vt:variant>
      <vt:variant>
        <vt:lpwstr>_Investment_Area_and</vt:lpwstr>
      </vt:variant>
      <vt:variant>
        <vt:i4>4325431</vt:i4>
      </vt:variant>
      <vt:variant>
        <vt:i4>485</vt:i4>
      </vt:variant>
      <vt:variant>
        <vt:i4>0</vt:i4>
      </vt:variant>
      <vt:variant>
        <vt:i4>5</vt:i4>
      </vt:variant>
      <vt:variant>
        <vt:lpwstr/>
      </vt:variant>
      <vt:variant>
        <vt:lpwstr>_B._Fiscal_Overview</vt:lpwstr>
      </vt:variant>
      <vt:variant>
        <vt:i4>4325431</vt:i4>
      </vt:variant>
      <vt:variant>
        <vt:i4>482</vt:i4>
      </vt:variant>
      <vt:variant>
        <vt:i4>0</vt:i4>
      </vt:variant>
      <vt:variant>
        <vt:i4>5</vt:i4>
      </vt:variant>
      <vt:variant>
        <vt:lpwstr/>
      </vt:variant>
      <vt:variant>
        <vt:lpwstr>_B._Fiscal_Overview</vt:lpwstr>
      </vt:variant>
      <vt:variant>
        <vt:i4>4325431</vt:i4>
      </vt:variant>
      <vt:variant>
        <vt:i4>479</vt:i4>
      </vt:variant>
      <vt:variant>
        <vt:i4>0</vt:i4>
      </vt:variant>
      <vt:variant>
        <vt:i4>5</vt:i4>
      </vt:variant>
      <vt:variant>
        <vt:lpwstr/>
      </vt:variant>
      <vt:variant>
        <vt:lpwstr>_B._Fiscal_Overview</vt:lpwstr>
      </vt:variant>
      <vt:variant>
        <vt:i4>4325431</vt:i4>
      </vt:variant>
      <vt:variant>
        <vt:i4>476</vt:i4>
      </vt:variant>
      <vt:variant>
        <vt:i4>0</vt:i4>
      </vt:variant>
      <vt:variant>
        <vt:i4>5</vt:i4>
      </vt:variant>
      <vt:variant>
        <vt:lpwstr/>
      </vt:variant>
      <vt:variant>
        <vt:lpwstr>_B._Fiscal_Overview</vt:lpwstr>
      </vt:variant>
      <vt:variant>
        <vt:i4>7864411</vt:i4>
      </vt:variant>
      <vt:variant>
        <vt:i4>473</vt:i4>
      </vt:variant>
      <vt:variant>
        <vt:i4>0</vt:i4>
      </vt:variant>
      <vt:variant>
        <vt:i4>5</vt:i4>
      </vt:variant>
      <vt:variant>
        <vt:lpwstr/>
      </vt:variant>
      <vt:variant>
        <vt:lpwstr>_Procurement_and_Financial</vt:lpwstr>
      </vt:variant>
      <vt:variant>
        <vt:i4>7864411</vt:i4>
      </vt:variant>
      <vt:variant>
        <vt:i4>470</vt:i4>
      </vt:variant>
      <vt:variant>
        <vt:i4>0</vt:i4>
      </vt:variant>
      <vt:variant>
        <vt:i4>5</vt:i4>
      </vt:variant>
      <vt:variant>
        <vt:lpwstr/>
      </vt:variant>
      <vt:variant>
        <vt:lpwstr>_Procurement_and_Financial</vt:lpwstr>
      </vt:variant>
      <vt:variant>
        <vt:i4>4390976</vt:i4>
      </vt:variant>
      <vt:variant>
        <vt:i4>467</vt:i4>
      </vt:variant>
      <vt:variant>
        <vt:i4>0</vt:i4>
      </vt:variant>
      <vt:variant>
        <vt:i4>5</vt:i4>
      </vt:variant>
      <vt:variant>
        <vt:lpwstr/>
      </vt:variant>
      <vt:variant>
        <vt:lpwstr>_Fiscal_Detail</vt:lpwstr>
      </vt:variant>
      <vt:variant>
        <vt:i4>4325431</vt:i4>
      </vt:variant>
      <vt:variant>
        <vt:i4>464</vt:i4>
      </vt:variant>
      <vt:variant>
        <vt:i4>0</vt:i4>
      </vt:variant>
      <vt:variant>
        <vt:i4>5</vt:i4>
      </vt:variant>
      <vt:variant>
        <vt:lpwstr/>
      </vt:variant>
      <vt:variant>
        <vt:lpwstr>_B._Fiscal_Overview</vt:lpwstr>
      </vt:variant>
      <vt:variant>
        <vt:i4>2359297</vt:i4>
      </vt:variant>
      <vt:variant>
        <vt:i4>461</vt:i4>
      </vt:variant>
      <vt:variant>
        <vt:i4>0</vt:i4>
      </vt:variant>
      <vt:variant>
        <vt:i4>5</vt:i4>
      </vt:variant>
      <vt:variant>
        <vt:lpwstr/>
      </vt:variant>
      <vt:variant>
        <vt:lpwstr>_Technical_Assistance_and</vt:lpwstr>
      </vt:variant>
      <vt:variant>
        <vt:i4>8323138</vt:i4>
      </vt:variant>
      <vt:variant>
        <vt:i4>458</vt:i4>
      </vt:variant>
      <vt:variant>
        <vt:i4>0</vt:i4>
      </vt:variant>
      <vt:variant>
        <vt:i4>5</vt:i4>
      </vt:variant>
      <vt:variant>
        <vt:lpwstr/>
      </vt:variant>
      <vt:variant>
        <vt:lpwstr>Innovation_Supports</vt:lpwstr>
      </vt:variant>
      <vt:variant>
        <vt:i4>8126465</vt:i4>
      </vt:variant>
      <vt:variant>
        <vt:i4>455</vt:i4>
      </vt:variant>
      <vt:variant>
        <vt:i4>0</vt:i4>
      </vt:variant>
      <vt:variant>
        <vt:i4>5</vt:i4>
      </vt:variant>
      <vt:variant>
        <vt:lpwstr/>
      </vt:variant>
      <vt:variant>
        <vt:lpwstr>_IV._Best_Starts</vt:lpwstr>
      </vt:variant>
      <vt:variant>
        <vt:i4>1507386</vt:i4>
      </vt:variant>
      <vt:variant>
        <vt:i4>452</vt:i4>
      </vt:variant>
      <vt:variant>
        <vt:i4>0</vt:i4>
      </vt:variant>
      <vt:variant>
        <vt:i4>5</vt:i4>
      </vt:variant>
      <vt:variant>
        <vt:lpwstr/>
      </vt:variant>
      <vt:variant>
        <vt:lpwstr>School_BasedHealthCenters</vt:lpwstr>
      </vt:variant>
      <vt:variant>
        <vt:i4>196611</vt:i4>
      </vt:variant>
      <vt:variant>
        <vt:i4>449</vt:i4>
      </vt:variant>
      <vt:variant>
        <vt:i4>0</vt:i4>
      </vt:variant>
      <vt:variant>
        <vt:i4>5</vt:i4>
      </vt:variant>
      <vt:variant>
        <vt:lpwstr/>
      </vt:variant>
      <vt:variant>
        <vt:lpwstr>SSPP</vt:lpwstr>
      </vt:variant>
      <vt:variant>
        <vt:i4>2621455</vt:i4>
      </vt:variant>
      <vt:variant>
        <vt:i4>446</vt:i4>
      </vt:variant>
      <vt:variant>
        <vt:i4>0</vt:i4>
      </vt:variant>
      <vt:variant>
        <vt:i4>5</vt:i4>
      </vt:variant>
      <vt:variant>
        <vt:lpwstr/>
      </vt:variant>
      <vt:variant>
        <vt:lpwstr>Youth_Development</vt:lpwstr>
      </vt:variant>
      <vt:variant>
        <vt:i4>393250</vt:i4>
      </vt:variant>
      <vt:variant>
        <vt:i4>443</vt:i4>
      </vt:variant>
      <vt:variant>
        <vt:i4>0</vt:i4>
      </vt:variant>
      <vt:variant>
        <vt:i4>5</vt:i4>
      </vt:variant>
      <vt:variant>
        <vt:lpwstr/>
      </vt:variant>
      <vt:variant>
        <vt:lpwstr>_Youth_and_Family</vt:lpwstr>
      </vt:variant>
      <vt:variant>
        <vt:i4>4784226</vt:i4>
      </vt:variant>
      <vt:variant>
        <vt:i4>440</vt:i4>
      </vt:variant>
      <vt:variant>
        <vt:i4>0</vt:i4>
      </vt:variant>
      <vt:variant>
        <vt:i4>5</vt:i4>
      </vt:variant>
      <vt:variant>
        <vt:lpwstr/>
      </vt:variant>
      <vt:variant>
        <vt:lpwstr>Maternal_Child_Health_Services</vt:lpwstr>
      </vt:variant>
      <vt:variant>
        <vt:i4>393250</vt:i4>
      </vt:variant>
      <vt:variant>
        <vt:i4>437</vt:i4>
      </vt:variant>
      <vt:variant>
        <vt:i4>0</vt:i4>
      </vt:variant>
      <vt:variant>
        <vt:i4>5</vt:i4>
      </vt:variant>
      <vt:variant>
        <vt:lpwstr/>
      </vt:variant>
      <vt:variant>
        <vt:lpwstr>_Youth_and_Family</vt:lpwstr>
      </vt:variant>
      <vt:variant>
        <vt:i4>4784226</vt:i4>
      </vt:variant>
      <vt:variant>
        <vt:i4>434</vt:i4>
      </vt:variant>
      <vt:variant>
        <vt:i4>0</vt:i4>
      </vt:variant>
      <vt:variant>
        <vt:i4>5</vt:i4>
      </vt:variant>
      <vt:variant>
        <vt:lpwstr/>
      </vt:variant>
      <vt:variant>
        <vt:lpwstr>Maternal_Child_Health_Services</vt:lpwstr>
      </vt:variant>
      <vt:variant>
        <vt:i4>2359333</vt:i4>
      </vt:variant>
      <vt:variant>
        <vt:i4>431</vt:i4>
      </vt:variant>
      <vt:variant>
        <vt:i4>0</vt:i4>
      </vt:variant>
      <vt:variant>
        <vt:i4>5</vt:i4>
      </vt:variant>
      <vt:variant>
        <vt:lpwstr/>
      </vt:variant>
      <vt:variant>
        <vt:lpwstr>Healthy_Safe_Environments</vt:lpwstr>
      </vt:variant>
      <vt:variant>
        <vt:i4>7471209</vt:i4>
      </vt:variant>
      <vt:variant>
        <vt:i4>428</vt:i4>
      </vt:variant>
      <vt:variant>
        <vt:i4>0</vt:i4>
      </vt:variant>
      <vt:variant>
        <vt:i4>5</vt:i4>
      </vt:variant>
      <vt:variant>
        <vt:lpwstr/>
      </vt:variant>
      <vt:variant>
        <vt:lpwstr>SBSBIRT</vt:lpwstr>
      </vt:variant>
      <vt:variant>
        <vt:i4>1048638</vt:i4>
      </vt:variant>
      <vt:variant>
        <vt:i4>425</vt:i4>
      </vt:variant>
      <vt:variant>
        <vt:i4>0</vt:i4>
      </vt:variant>
      <vt:variant>
        <vt:i4>5</vt:i4>
      </vt:variant>
      <vt:variant>
        <vt:lpwstr/>
      </vt:variant>
      <vt:variant>
        <vt:lpwstr>_Sustain_the_Gain</vt:lpwstr>
      </vt:variant>
      <vt:variant>
        <vt:i4>7471209</vt:i4>
      </vt:variant>
      <vt:variant>
        <vt:i4>422</vt:i4>
      </vt:variant>
      <vt:variant>
        <vt:i4>0</vt:i4>
      </vt:variant>
      <vt:variant>
        <vt:i4>5</vt:i4>
      </vt:variant>
      <vt:variant>
        <vt:lpwstr/>
      </vt:variant>
      <vt:variant>
        <vt:lpwstr>SBSBIRT</vt:lpwstr>
      </vt:variant>
      <vt:variant>
        <vt:i4>7143519</vt:i4>
      </vt:variant>
      <vt:variant>
        <vt:i4>419</vt:i4>
      </vt:variant>
      <vt:variant>
        <vt:i4>0</vt:i4>
      </vt:variant>
      <vt:variant>
        <vt:i4>5</vt:i4>
      </vt:variant>
      <vt:variant>
        <vt:lpwstr/>
      </vt:variant>
      <vt:variant>
        <vt:lpwstr>Liberation_Healing</vt:lpwstr>
      </vt:variant>
      <vt:variant>
        <vt:i4>1966127</vt:i4>
      </vt:variant>
      <vt:variant>
        <vt:i4>416</vt:i4>
      </vt:variant>
      <vt:variant>
        <vt:i4>0</vt:i4>
      </vt:variant>
      <vt:variant>
        <vt:i4>5</vt:i4>
      </vt:variant>
      <vt:variant>
        <vt:lpwstr/>
      </vt:variant>
      <vt:variant>
        <vt:lpwstr>Systems_Building_for_Infant_Mental_Heath</vt:lpwstr>
      </vt:variant>
      <vt:variant>
        <vt:i4>1048638</vt:i4>
      </vt:variant>
      <vt:variant>
        <vt:i4>413</vt:i4>
      </vt:variant>
      <vt:variant>
        <vt:i4>0</vt:i4>
      </vt:variant>
      <vt:variant>
        <vt:i4>5</vt:i4>
      </vt:variant>
      <vt:variant>
        <vt:lpwstr/>
      </vt:variant>
      <vt:variant>
        <vt:lpwstr>_Sustain_the_Gain</vt:lpwstr>
      </vt:variant>
      <vt:variant>
        <vt:i4>7471209</vt:i4>
      </vt:variant>
      <vt:variant>
        <vt:i4>410</vt:i4>
      </vt:variant>
      <vt:variant>
        <vt:i4>0</vt:i4>
      </vt:variant>
      <vt:variant>
        <vt:i4>5</vt:i4>
      </vt:variant>
      <vt:variant>
        <vt:lpwstr/>
      </vt:variant>
      <vt:variant>
        <vt:lpwstr>SBSBIRT</vt:lpwstr>
      </vt:variant>
      <vt:variant>
        <vt:i4>7143519</vt:i4>
      </vt:variant>
      <vt:variant>
        <vt:i4>407</vt:i4>
      </vt:variant>
      <vt:variant>
        <vt:i4>0</vt:i4>
      </vt:variant>
      <vt:variant>
        <vt:i4>5</vt:i4>
      </vt:variant>
      <vt:variant>
        <vt:lpwstr/>
      </vt:variant>
      <vt:variant>
        <vt:lpwstr>Liberation_Healing</vt:lpwstr>
      </vt:variant>
      <vt:variant>
        <vt:i4>1966127</vt:i4>
      </vt:variant>
      <vt:variant>
        <vt:i4>404</vt:i4>
      </vt:variant>
      <vt:variant>
        <vt:i4>0</vt:i4>
      </vt:variant>
      <vt:variant>
        <vt:i4>5</vt:i4>
      </vt:variant>
      <vt:variant>
        <vt:lpwstr/>
      </vt:variant>
      <vt:variant>
        <vt:lpwstr>Systems_Building_for_Infant_Mental_Heath</vt:lpwstr>
      </vt:variant>
      <vt:variant>
        <vt:i4>5308522</vt:i4>
      </vt:variant>
      <vt:variant>
        <vt:i4>401</vt:i4>
      </vt:variant>
      <vt:variant>
        <vt:i4>0</vt:i4>
      </vt:variant>
      <vt:variant>
        <vt:i4>5</vt:i4>
      </vt:variant>
      <vt:variant>
        <vt:lpwstr/>
      </vt:variant>
      <vt:variant>
        <vt:lpwstr>Environmental_Supports</vt:lpwstr>
      </vt:variant>
      <vt:variant>
        <vt:i4>4784226</vt:i4>
      </vt:variant>
      <vt:variant>
        <vt:i4>398</vt:i4>
      </vt:variant>
      <vt:variant>
        <vt:i4>0</vt:i4>
      </vt:variant>
      <vt:variant>
        <vt:i4>5</vt:i4>
      </vt:variant>
      <vt:variant>
        <vt:lpwstr/>
      </vt:variant>
      <vt:variant>
        <vt:lpwstr>Maternal_Child_Health_Services</vt:lpwstr>
      </vt:variant>
      <vt:variant>
        <vt:i4>2228278</vt:i4>
      </vt:variant>
      <vt:variant>
        <vt:i4>395</vt:i4>
      </vt:variant>
      <vt:variant>
        <vt:i4>0</vt:i4>
      </vt:variant>
      <vt:variant>
        <vt:i4>5</vt:i4>
      </vt:variant>
      <vt:variant>
        <vt:lpwstr/>
      </vt:variant>
      <vt:variant>
        <vt:lpwstr>Help_Me_Grow</vt:lpwstr>
      </vt:variant>
      <vt:variant>
        <vt:i4>24</vt:i4>
      </vt:variant>
      <vt:variant>
        <vt:i4>392</vt:i4>
      </vt:variant>
      <vt:variant>
        <vt:i4>0</vt:i4>
      </vt:variant>
      <vt:variant>
        <vt:i4>5</vt:i4>
      </vt:variant>
      <vt:variant>
        <vt:lpwstr/>
      </vt:variant>
      <vt:variant>
        <vt:lpwstr>Universal_Developmental_Screening</vt:lpwstr>
      </vt:variant>
      <vt:variant>
        <vt:i4>7471217</vt:i4>
      </vt:variant>
      <vt:variant>
        <vt:i4>389</vt:i4>
      </vt:variant>
      <vt:variant>
        <vt:i4>0</vt:i4>
      </vt:variant>
      <vt:variant>
        <vt:i4>5</vt:i4>
      </vt:variant>
      <vt:variant>
        <vt:lpwstr/>
      </vt:variant>
      <vt:variant>
        <vt:lpwstr>Home_based_Services</vt:lpwstr>
      </vt:variant>
      <vt:variant>
        <vt:i4>4325494</vt:i4>
      </vt:variant>
      <vt:variant>
        <vt:i4>386</vt:i4>
      </vt:variant>
      <vt:variant>
        <vt:i4>0</vt:i4>
      </vt:variant>
      <vt:variant>
        <vt:i4>5</vt:i4>
      </vt:variant>
      <vt:variant>
        <vt:lpwstr/>
      </vt:variant>
      <vt:variant>
        <vt:lpwstr>Early_Support_for_Infacts_and_Toddlers</vt:lpwstr>
      </vt:variant>
      <vt:variant>
        <vt:i4>5832804</vt:i4>
      </vt:variant>
      <vt:variant>
        <vt:i4>383</vt:i4>
      </vt:variant>
      <vt:variant>
        <vt:i4>0</vt:i4>
      </vt:variant>
      <vt:variant>
        <vt:i4>5</vt:i4>
      </vt:variant>
      <vt:variant>
        <vt:lpwstr/>
      </vt:variant>
      <vt:variant>
        <vt:lpwstr>Community_Based_Parenting_Supports</vt:lpwstr>
      </vt:variant>
      <vt:variant>
        <vt:i4>7471217</vt:i4>
      </vt:variant>
      <vt:variant>
        <vt:i4>380</vt:i4>
      </vt:variant>
      <vt:variant>
        <vt:i4>0</vt:i4>
      </vt:variant>
      <vt:variant>
        <vt:i4>5</vt:i4>
      </vt:variant>
      <vt:variant>
        <vt:lpwstr/>
      </vt:variant>
      <vt:variant>
        <vt:lpwstr>Home_based_Services</vt:lpwstr>
      </vt:variant>
      <vt:variant>
        <vt:i4>4784226</vt:i4>
      </vt:variant>
      <vt:variant>
        <vt:i4>377</vt:i4>
      </vt:variant>
      <vt:variant>
        <vt:i4>0</vt:i4>
      </vt:variant>
      <vt:variant>
        <vt:i4>5</vt:i4>
      </vt:variant>
      <vt:variant>
        <vt:lpwstr/>
      </vt:variant>
      <vt:variant>
        <vt:lpwstr>Maternal_Child_Health_Services</vt:lpwstr>
      </vt:variant>
      <vt:variant>
        <vt:i4>7012438</vt:i4>
      </vt:variant>
      <vt:variant>
        <vt:i4>374</vt:i4>
      </vt:variant>
      <vt:variant>
        <vt:i4>0</vt:i4>
      </vt:variant>
      <vt:variant>
        <vt:i4>5</vt:i4>
      </vt:variant>
      <vt:variant>
        <vt:lpwstr/>
      </vt:variant>
      <vt:variant>
        <vt:lpwstr>Child_Care_Health_Consultation</vt:lpwstr>
      </vt:variant>
      <vt:variant>
        <vt:i4>24</vt:i4>
      </vt:variant>
      <vt:variant>
        <vt:i4>371</vt:i4>
      </vt:variant>
      <vt:variant>
        <vt:i4>0</vt:i4>
      </vt:variant>
      <vt:variant>
        <vt:i4>5</vt:i4>
      </vt:variant>
      <vt:variant>
        <vt:lpwstr/>
      </vt:variant>
      <vt:variant>
        <vt:lpwstr>Universal_Developmental_Screening</vt:lpwstr>
      </vt:variant>
      <vt:variant>
        <vt:i4>24</vt:i4>
      </vt:variant>
      <vt:variant>
        <vt:i4>368</vt:i4>
      </vt:variant>
      <vt:variant>
        <vt:i4>0</vt:i4>
      </vt:variant>
      <vt:variant>
        <vt:i4>5</vt:i4>
      </vt:variant>
      <vt:variant>
        <vt:lpwstr/>
      </vt:variant>
      <vt:variant>
        <vt:lpwstr>Universal_Developmental_Screening</vt:lpwstr>
      </vt:variant>
      <vt:variant>
        <vt:i4>2228278</vt:i4>
      </vt:variant>
      <vt:variant>
        <vt:i4>365</vt:i4>
      </vt:variant>
      <vt:variant>
        <vt:i4>0</vt:i4>
      </vt:variant>
      <vt:variant>
        <vt:i4>5</vt:i4>
      </vt:variant>
      <vt:variant>
        <vt:lpwstr/>
      </vt:variant>
      <vt:variant>
        <vt:lpwstr>Help_Me_Grow</vt:lpwstr>
      </vt:variant>
      <vt:variant>
        <vt:i4>24</vt:i4>
      </vt:variant>
      <vt:variant>
        <vt:i4>362</vt:i4>
      </vt:variant>
      <vt:variant>
        <vt:i4>0</vt:i4>
      </vt:variant>
      <vt:variant>
        <vt:i4>5</vt:i4>
      </vt:variant>
      <vt:variant>
        <vt:lpwstr/>
      </vt:variant>
      <vt:variant>
        <vt:lpwstr>Universal_Developmental_Screening</vt:lpwstr>
      </vt:variant>
      <vt:variant>
        <vt:i4>4784234</vt:i4>
      </vt:variant>
      <vt:variant>
        <vt:i4>359</vt:i4>
      </vt:variant>
      <vt:variant>
        <vt:i4>0</vt:i4>
      </vt:variant>
      <vt:variant>
        <vt:i4>5</vt:i4>
      </vt:variant>
      <vt:variant>
        <vt:lpwstr/>
      </vt:variant>
      <vt:variant>
        <vt:lpwstr>_Communities_of_Opportunity</vt:lpwstr>
      </vt:variant>
      <vt:variant>
        <vt:i4>2359333</vt:i4>
      </vt:variant>
      <vt:variant>
        <vt:i4>356</vt:i4>
      </vt:variant>
      <vt:variant>
        <vt:i4>0</vt:i4>
      </vt:variant>
      <vt:variant>
        <vt:i4>5</vt:i4>
      </vt:variant>
      <vt:variant>
        <vt:lpwstr/>
      </vt:variant>
      <vt:variant>
        <vt:lpwstr>Healthy_Safe_Environments</vt:lpwstr>
      </vt:variant>
      <vt:variant>
        <vt:i4>5832804</vt:i4>
      </vt:variant>
      <vt:variant>
        <vt:i4>353</vt:i4>
      </vt:variant>
      <vt:variant>
        <vt:i4>0</vt:i4>
      </vt:variant>
      <vt:variant>
        <vt:i4>5</vt:i4>
      </vt:variant>
      <vt:variant>
        <vt:lpwstr/>
      </vt:variant>
      <vt:variant>
        <vt:lpwstr>Community_Based_Parenting_Supports</vt:lpwstr>
      </vt:variant>
      <vt:variant>
        <vt:i4>5832804</vt:i4>
      </vt:variant>
      <vt:variant>
        <vt:i4>350</vt:i4>
      </vt:variant>
      <vt:variant>
        <vt:i4>0</vt:i4>
      </vt:variant>
      <vt:variant>
        <vt:i4>5</vt:i4>
      </vt:variant>
      <vt:variant>
        <vt:lpwstr/>
      </vt:variant>
      <vt:variant>
        <vt:lpwstr>Community_Based_Parenting_Supports</vt:lpwstr>
      </vt:variant>
      <vt:variant>
        <vt:i4>7471217</vt:i4>
      </vt:variant>
      <vt:variant>
        <vt:i4>347</vt:i4>
      </vt:variant>
      <vt:variant>
        <vt:i4>0</vt:i4>
      </vt:variant>
      <vt:variant>
        <vt:i4>5</vt:i4>
      </vt:variant>
      <vt:variant>
        <vt:lpwstr/>
      </vt:variant>
      <vt:variant>
        <vt:lpwstr>Home_based_Services</vt:lpwstr>
      </vt:variant>
      <vt:variant>
        <vt:i4>4784226</vt:i4>
      </vt:variant>
      <vt:variant>
        <vt:i4>344</vt:i4>
      </vt:variant>
      <vt:variant>
        <vt:i4>0</vt:i4>
      </vt:variant>
      <vt:variant>
        <vt:i4>5</vt:i4>
      </vt:variant>
      <vt:variant>
        <vt:lpwstr/>
      </vt:variant>
      <vt:variant>
        <vt:lpwstr>Maternal_Child_Health_Services</vt:lpwstr>
      </vt:variant>
      <vt:variant>
        <vt:i4>720925</vt:i4>
      </vt:variant>
      <vt:variant>
        <vt:i4>341</vt:i4>
      </vt:variant>
      <vt:variant>
        <vt:i4>0</vt:i4>
      </vt:variant>
      <vt:variant>
        <vt:i4>5</vt:i4>
      </vt:variant>
      <vt:variant>
        <vt:lpwstr/>
      </vt:variant>
      <vt:variant>
        <vt:lpwstr>_Capital_Program</vt:lpwstr>
      </vt:variant>
      <vt:variant>
        <vt:i4>1507386</vt:i4>
      </vt:variant>
      <vt:variant>
        <vt:i4>338</vt:i4>
      </vt:variant>
      <vt:variant>
        <vt:i4>0</vt:i4>
      </vt:variant>
      <vt:variant>
        <vt:i4>5</vt:i4>
      </vt:variant>
      <vt:variant>
        <vt:lpwstr/>
      </vt:variant>
      <vt:variant>
        <vt:lpwstr>School_BasedHealthCenters</vt:lpwstr>
      </vt:variant>
      <vt:variant>
        <vt:i4>2621455</vt:i4>
      </vt:variant>
      <vt:variant>
        <vt:i4>335</vt:i4>
      </vt:variant>
      <vt:variant>
        <vt:i4>0</vt:i4>
      </vt:variant>
      <vt:variant>
        <vt:i4>5</vt:i4>
      </vt:variant>
      <vt:variant>
        <vt:lpwstr/>
      </vt:variant>
      <vt:variant>
        <vt:lpwstr>Youth_Development</vt:lpwstr>
      </vt:variant>
      <vt:variant>
        <vt:i4>1310783</vt:i4>
      </vt:variant>
      <vt:variant>
        <vt:i4>332</vt:i4>
      </vt:variant>
      <vt:variant>
        <vt:i4>0</vt:i4>
      </vt:variant>
      <vt:variant>
        <vt:i4>5</vt:i4>
      </vt:variant>
      <vt:variant>
        <vt:lpwstr/>
      </vt:variant>
      <vt:variant>
        <vt:lpwstr>Expanded_Learning</vt:lpwstr>
      </vt:variant>
      <vt:variant>
        <vt:i4>7143519</vt:i4>
      </vt:variant>
      <vt:variant>
        <vt:i4>329</vt:i4>
      </vt:variant>
      <vt:variant>
        <vt:i4>0</vt:i4>
      </vt:variant>
      <vt:variant>
        <vt:i4>5</vt:i4>
      </vt:variant>
      <vt:variant>
        <vt:lpwstr/>
      </vt:variant>
      <vt:variant>
        <vt:lpwstr>Liberation_Healing</vt:lpwstr>
      </vt:variant>
      <vt:variant>
        <vt:i4>7471209</vt:i4>
      </vt:variant>
      <vt:variant>
        <vt:i4>326</vt:i4>
      </vt:variant>
      <vt:variant>
        <vt:i4>0</vt:i4>
      </vt:variant>
      <vt:variant>
        <vt:i4>5</vt:i4>
      </vt:variant>
      <vt:variant>
        <vt:lpwstr/>
      </vt:variant>
      <vt:variant>
        <vt:lpwstr>SBSBIRT</vt:lpwstr>
      </vt:variant>
      <vt:variant>
        <vt:i4>7143519</vt:i4>
      </vt:variant>
      <vt:variant>
        <vt:i4>323</vt:i4>
      </vt:variant>
      <vt:variant>
        <vt:i4>0</vt:i4>
      </vt:variant>
      <vt:variant>
        <vt:i4>5</vt:i4>
      </vt:variant>
      <vt:variant>
        <vt:lpwstr/>
      </vt:variant>
      <vt:variant>
        <vt:lpwstr>Liberation_Healing</vt:lpwstr>
      </vt:variant>
      <vt:variant>
        <vt:i4>1966127</vt:i4>
      </vt:variant>
      <vt:variant>
        <vt:i4>320</vt:i4>
      </vt:variant>
      <vt:variant>
        <vt:i4>0</vt:i4>
      </vt:variant>
      <vt:variant>
        <vt:i4>5</vt:i4>
      </vt:variant>
      <vt:variant>
        <vt:lpwstr/>
      </vt:variant>
      <vt:variant>
        <vt:lpwstr>Systems_Building_for_Infant_Mental_Heath</vt:lpwstr>
      </vt:variant>
      <vt:variant>
        <vt:i4>1310783</vt:i4>
      </vt:variant>
      <vt:variant>
        <vt:i4>317</vt:i4>
      </vt:variant>
      <vt:variant>
        <vt:i4>0</vt:i4>
      </vt:variant>
      <vt:variant>
        <vt:i4>5</vt:i4>
      </vt:variant>
      <vt:variant>
        <vt:lpwstr/>
      </vt:variant>
      <vt:variant>
        <vt:lpwstr>Expanded_Learning</vt:lpwstr>
      </vt:variant>
      <vt:variant>
        <vt:i4>7012438</vt:i4>
      </vt:variant>
      <vt:variant>
        <vt:i4>314</vt:i4>
      </vt:variant>
      <vt:variant>
        <vt:i4>0</vt:i4>
      </vt:variant>
      <vt:variant>
        <vt:i4>5</vt:i4>
      </vt:variant>
      <vt:variant>
        <vt:lpwstr/>
      </vt:variant>
      <vt:variant>
        <vt:lpwstr>Child_Care_Health_Consultation</vt:lpwstr>
      </vt:variant>
      <vt:variant>
        <vt:i4>24</vt:i4>
      </vt:variant>
      <vt:variant>
        <vt:i4>311</vt:i4>
      </vt:variant>
      <vt:variant>
        <vt:i4>0</vt:i4>
      </vt:variant>
      <vt:variant>
        <vt:i4>5</vt:i4>
      </vt:variant>
      <vt:variant>
        <vt:lpwstr/>
      </vt:variant>
      <vt:variant>
        <vt:lpwstr>Universal_Developmental_Screening</vt:lpwstr>
      </vt:variant>
      <vt:variant>
        <vt:i4>24</vt:i4>
      </vt:variant>
      <vt:variant>
        <vt:i4>308</vt:i4>
      </vt:variant>
      <vt:variant>
        <vt:i4>0</vt:i4>
      </vt:variant>
      <vt:variant>
        <vt:i4>5</vt:i4>
      </vt:variant>
      <vt:variant>
        <vt:lpwstr/>
      </vt:variant>
      <vt:variant>
        <vt:lpwstr>Universal_Developmental_Screening</vt:lpwstr>
      </vt:variant>
      <vt:variant>
        <vt:i4>2228278</vt:i4>
      </vt:variant>
      <vt:variant>
        <vt:i4>305</vt:i4>
      </vt:variant>
      <vt:variant>
        <vt:i4>0</vt:i4>
      </vt:variant>
      <vt:variant>
        <vt:i4>5</vt:i4>
      </vt:variant>
      <vt:variant>
        <vt:lpwstr/>
      </vt:variant>
      <vt:variant>
        <vt:lpwstr>Help_Me_Grow</vt:lpwstr>
      </vt:variant>
      <vt:variant>
        <vt:i4>24</vt:i4>
      </vt:variant>
      <vt:variant>
        <vt:i4>302</vt:i4>
      </vt:variant>
      <vt:variant>
        <vt:i4>0</vt:i4>
      </vt:variant>
      <vt:variant>
        <vt:i4>5</vt:i4>
      </vt:variant>
      <vt:variant>
        <vt:lpwstr/>
      </vt:variant>
      <vt:variant>
        <vt:lpwstr>Universal_Developmental_Screening</vt:lpwstr>
      </vt:variant>
      <vt:variant>
        <vt:i4>4784234</vt:i4>
      </vt:variant>
      <vt:variant>
        <vt:i4>299</vt:i4>
      </vt:variant>
      <vt:variant>
        <vt:i4>0</vt:i4>
      </vt:variant>
      <vt:variant>
        <vt:i4>5</vt:i4>
      </vt:variant>
      <vt:variant>
        <vt:lpwstr/>
      </vt:variant>
      <vt:variant>
        <vt:lpwstr>_Communities_of_Opportunity</vt:lpwstr>
      </vt:variant>
      <vt:variant>
        <vt:i4>2359333</vt:i4>
      </vt:variant>
      <vt:variant>
        <vt:i4>296</vt:i4>
      </vt:variant>
      <vt:variant>
        <vt:i4>0</vt:i4>
      </vt:variant>
      <vt:variant>
        <vt:i4>5</vt:i4>
      </vt:variant>
      <vt:variant>
        <vt:lpwstr/>
      </vt:variant>
      <vt:variant>
        <vt:lpwstr>Healthy_Safe_Environments</vt:lpwstr>
      </vt:variant>
      <vt:variant>
        <vt:i4>5832804</vt:i4>
      </vt:variant>
      <vt:variant>
        <vt:i4>293</vt:i4>
      </vt:variant>
      <vt:variant>
        <vt:i4>0</vt:i4>
      </vt:variant>
      <vt:variant>
        <vt:i4>5</vt:i4>
      </vt:variant>
      <vt:variant>
        <vt:lpwstr/>
      </vt:variant>
      <vt:variant>
        <vt:lpwstr>Community_Based_Parenting_Supports</vt:lpwstr>
      </vt:variant>
      <vt:variant>
        <vt:i4>5832804</vt:i4>
      </vt:variant>
      <vt:variant>
        <vt:i4>290</vt:i4>
      </vt:variant>
      <vt:variant>
        <vt:i4>0</vt:i4>
      </vt:variant>
      <vt:variant>
        <vt:i4>5</vt:i4>
      </vt:variant>
      <vt:variant>
        <vt:lpwstr/>
      </vt:variant>
      <vt:variant>
        <vt:lpwstr>Community_Based_Parenting_Supports</vt:lpwstr>
      </vt:variant>
      <vt:variant>
        <vt:i4>7471217</vt:i4>
      </vt:variant>
      <vt:variant>
        <vt:i4>287</vt:i4>
      </vt:variant>
      <vt:variant>
        <vt:i4>0</vt:i4>
      </vt:variant>
      <vt:variant>
        <vt:i4>5</vt:i4>
      </vt:variant>
      <vt:variant>
        <vt:lpwstr/>
      </vt:variant>
      <vt:variant>
        <vt:lpwstr>Home_based_Services</vt:lpwstr>
      </vt:variant>
      <vt:variant>
        <vt:i4>4784226</vt:i4>
      </vt:variant>
      <vt:variant>
        <vt:i4>284</vt:i4>
      </vt:variant>
      <vt:variant>
        <vt:i4>0</vt:i4>
      </vt:variant>
      <vt:variant>
        <vt:i4>5</vt:i4>
      </vt:variant>
      <vt:variant>
        <vt:lpwstr/>
      </vt:variant>
      <vt:variant>
        <vt:lpwstr>Maternal_Child_Health_Services</vt:lpwstr>
      </vt:variant>
      <vt:variant>
        <vt:i4>7864411</vt:i4>
      </vt:variant>
      <vt:variant>
        <vt:i4>281</vt:i4>
      </vt:variant>
      <vt:variant>
        <vt:i4>0</vt:i4>
      </vt:variant>
      <vt:variant>
        <vt:i4>5</vt:i4>
      </vt:variant>
      <vt:variant>
        <vt:lpwstr/>
      </vt:variant>
      <vt:variant>
        <vt:lpwstr>_Procurement_and_Financial</vt:lpwstr>
      </vt:variant>
      <vt:variant>
        <vt:i4>1179679</vt:i4>
      </vt:variant>
      <vt:variant>
        <vt:i4>246</vt:i4>
      </vt:variant>
      <vt:variant>
        <vt:i4>0</vt:i4>
      </vt:variant>
      <vt:variant>
        <vt:i4>5</vt:i4>
      </vt:variant>
      <vt:variant>
        <vt:lpwstr>https://www.kingcounty.gov/elected/executive/constantine/news/release/2018/March/30-homelessness-prevention-2017-results.aspx</vt:lpwstr>
      </vt:variant>
      <vt:variant>
        <vt:lpwstr/>
      </vt:variant>
      <vt:variant>
        <vt:i4>1310833</vt:i4>
      </vt:variant>
      <vt:variant>
        <vt:i4>219</vt:i4>
      </vt:variant>
      <vt:variant>
        <vt:i4>0</vt:i4>
      </vt:variant>
      <vt:variant>
        <vt:i4>5</vt:i4>
      </vt:variant>
      <vt:variant>
        <vt:lpwstr/>
      </vt:variant>
      <vt:variant>
        <vt:lpwstr>_Best_Starts_2016-2021</vt:lpwstr>
      </vt:variant>
      <vt:variant>
        <vt:i4>1179704</vt:i4>
      </vt:variant>
      <vt:variant>
        <vt:i4>212</vt:i4>
      </vt:variant>
      <vt:variant>
        <vt:i4>0</vt:i4>
      </vt:variant>
      <vt:variant>
        <vt:i4>5</vt:i4>
      </vt:variant>
      <vt:variant>
        <vt:lpwstr/>
      </vt:variant>
      <vt:variant>
        <vt:lpwstr>_Toc77768105</vt:lpwstr>
      </vt:variant>
      <vt:variant>
        <vt:i4>1245240</vt:i4>
      </vt:variant>
      <vt:variant>
        <vt:i4>206</vt:i4>
      </vt:variant>
      <vt:variant>
        <vt:i4>0</vt:i4>
      </vt:variant>
      <vt:variant>
        <vt:i4>5</vt:i4>
      </vt:variant>
      <vt:variant>
        <vt:lpwstr/>
      </vt:variant>
      <vt:variant>
        <vt:lpwstr>_Toc77768104</vt:lpwstr>
      </vt:variant>
      <vt:variant>
        <vt:i4>1310776</vt:i4>
      </vt:variant>
      <vt:variant>
        <vt:i4>200</vt:i4>
      </vt:variant>
      <vt:variant>
        <vt:i4>0</vt:i4>
      </vt:variant>
      <vt:variant>
        <vt:i4>5</vt:i4>
      </vt:variant>
      <vt:variant>
        <vt:lpwstr/>
      </vt:variant>
      <vt:variant>
        <vt:lpwstr>_Toc77768103</vt:lpwstr>
      </vt:variant>
      <vt:variant>
        <vt:i4>1376312</vt:i4>
      </vt:variant>
      <vt:variant>
        <vt:i4>194</vt:i4>
      </vt:variant>
      <vt:variant>
        <vt:i4>0</vt:i4>
      </vt:variant>
      <vt:variant>
        <vt:i4>5</vt:i4>
      </vt:variant>
      <vt:variant>
        <vt:lpwstr/>
      </vt:variant>
      <vt:variant>
        <vt:lpwstr>_Toc77768102</vt:lpwstr>
      </vt:variant>
      <vt:variant>
        <vt:i4>1441848</vt:i4>
      </vt:variant>
      <vt:variant>
        <vt:i4>188</vt:i4>
      </vt:variant>
      <vt:variant>
        <vt:i4>0</vt:i4>
      </vt:variant>
      <vt:variant>
        <vt:i4>5</vt:i4>
      </vt:variant>
      <vt:variant>
        <vt:lpwstr/>
      </vt:variant>
      <vt:variant>
        <vt:lpwstr>_Toc77768101</vt:lpwstr>
      </vt:variant>
      <vt:variant>
        <vt:i4>1507384</vt:i4>
      </vt:variant>
      <vt:variant>
        <vt:i4>182</vt:i4>
      </vt:variant>
      <vt:variant>
        <vt:i4>0</vt:i4>
      </vt:variant>
      <vt:variant>
        <vt:i4>5</vt:i4>
      </vt:variant>
      <vt:variant>
        <vt:lpwstr/>
      </vt:variant>
      <vt:variant>
        <vt:lpwstr>_Toc77768100</vt:lpwstr>
      </vt:variant>
      <vt:variant>
        <vt:i4>2031665</vt:i4>
      </vt:variant>
      <vt:variant>
        <vt:i4>176</vt:i4>
      </vt:variant>
      <vt:variant>
        <vt:i4>0</vt:i4>
      </vt:variant>
      <vt:variant>
        <vt:i4>5</vt:i4>
      </vt:variant>
      <vt:variant>
        <vt:lpwstr/>
      </vt:variant>
      <vt:variant>
        <vt:lpwstr>_Toc77768099</vt:lpwstr>
      </vt:variant>
      <vt:variant>
        <vt:i4>1966129</vt:i4>
      </vt:variant>
      <vt:variant>
        <vt:i4>170</vt:i4>
      </vt:variant>
      <vt:variant>
        <vt:i4>0</vt:i4>
      </vt:variant>
      <vt:variant>
        <vt:i4>5</vt:i4>
      </vt:variant>
      <vt:variant>
        <vt:lpwstr/>
      </vt:variant>
      <vt:variant>
        <vt:lpwstr>_Toc77768098</vt:lpwstr>
      </vt:variant>
      <vt:variant>
        <vt:i4>1114161</vt:i4>
      </vt:variant>
      <vt:variant>
        <vt:i4>164</vt:i4>
      </vt:variant>
      <vt:variant>
        <vt:i4>0</vt:i4>
      </vt:variant>
      <vt:variant>
        <vt:i4>5</vt:i4>
      </vt:variant>
      <vt:variant>
        <vt:lpwstr/>
      </vt:variant>
      <vt:variant>
        <vt:lpwstr>_Toc77768097</vt:lpwstr>
      </vt:variant>
      <vt:variant>
        <vt:i4>1048625</vt:i4>
      </vt:variant>
      <vt:variant>
        <vt:i4>158</vt:i4>
      </vt:variant>
      <vt:variant>
        <vt:i4>0</vt:i4>
      </vt:variant>
      <vt:variant>
        <vt:i4>5</vt:i4>
      </vt:variant>
      <vt:variant>
        <vt:lpwstr/>
      </vt:variant>
      <vt:variant>
        <vt:lpwstr>_Toc77768096</vt:lpwstr>
      </vt:variant>
      <vt:variant>
        <vt:i4>1245233</vt:i4>
      </vt:variant>
      <vt:variant>
        <vt:i4>152</vt:i4>
      </vt:variant>
      <vt:variant>
        <vt:i4>0</vt:i4>
      </vt:variant>
      <vt:variant>
        <vt:i4>5</vt:i4>
      </vt:variant>
      <vt:variant>
        <vt:lpwstr/>
      </vt:variant>
      <vt:variant>
        <vt:lpwstr>_Toc77768095</vt:lpwstr>
      </vt:variant>
      <vt:variant>
        <vt:i4>1179697</vt:i4>
      </vt:variant>
      <vt:variant>
        <vt:i4>146</vt:i4>
      </vt:variant>
      <vt:variant>
        <vt:i4>0</vt:i4>
      </vt:variant>
      <vt:variant>
        <vt:i4>5</vt:i4>
      </vt:variant>
      <vt:variant>
        <vt:lpwstr/>
      </vt:variant>
      <vt:variant>
        <vt:lpwstr>_Toc77768094</vt:lpwstr>
      </vt:variant>
      <vt:variant>
        <vt:i4>1376305</vt:i4>
      </vt:variant>
      <vt:variant>
        <vt:i4>140</vt:i4>
      </vt:variant>
      <vt:variant>
        <vt:i4>0</vt:i4>
      </vt:variant>
      <vt:variant>
        <vt:i4>5</vt:i4>
      </vt:variant>
      <vt:variant>
        <vt:lpwstr/>
      </vt:variant>
      <vt:variant>
        <vt:lpwstr>_Toc77768093</vt:lpwstr>
      </vt:variant>
      <vt:variant>
        <vt:i4>1310769</vt:i4>
      </vt:variant>
      <vt:variant>
        <vt:i4>134</vt:i4>
      </vt:variant>
      <vt:variant>
        <vt:i4>0</vt:i4>
      </vt:variant>
      <vt:variant>
        <vt:i4>5</vt:i4>
      </vt:variant>
      <vt:variant>
        <vt:lpwstr/>
      </vt:variant>
      <vt:variant>
        <vt:lpwstr>_Toc77768092</vt:lpwstr>
      </vt:variant>
      <vt:variant>
        <vt:i4>1507377</vt:i4>
      </vt:variant>
      <vt:variant>
        <vt:i4>128</vt:i4>
      </vt:variant>
      <vt:variant>
        <vt:i4>0</vt:i4>
      </vt:variant>
      <vt:variant>
        <vt:i4>5</vt:i4>
      </vt:variant>
      <vt:variant>
        <vt:lpwstr/>
      </vt:variant>
      <vt:variant>
        <vt:lpwstr>_Toc77768091</vt:lpwstr>
      </vt:variant>
      <vt:variant>
        <vt:i4>1441841</vt:i4>
      </vt:variant>
      <vt:variant>
        <vt:i4>122</vt:i4>
      </vt:variant>
      <vt:variant>
        <vt:i4>0</vt:i4>
      </vt:variant>
      <vt:variant>
        <vt:i4>5</vt:i4>
      </vt:variant>
      <vt:variant>
        <vt:lpwstr/>
      </vt:variant>
      <vt:variant>
        <vt:lpwstr>_Toc77768090</vt:lpwstr>
      </vt:variant>
      <vt:variant>
        <vt:i4>2031664</vt:i4>
      </vt:variant>
      <vt:variant>
        <vt:i4>116</vt:i4>
      </vt:variant>
      <vt:variant>
        <vt:i4>0</vt:i4>
      </vt:variant>
      <vt:variant>
        <vt:i4>5</vt:i4>
      </vt:variant>
      <vt:variant>
        <vt:lpwstr/>
      </vt:variant>
      <vt:variant>
        <vt:lpwstr>_Toc77768089</vt:lpwstr>
      </vt:variant>
      <vt:variant>
        <vt:i4>1966128</vt:i4>
      </vt:variant>
      <vt:variant>
        <vt:i4>110</vt:i4>
      </vt:variant>
      <vt:variant>
        <vt:i4>0</vt:i4>
      </vt:variant>
      <vt:variant>
        <vt:i4>5</vt:i4>
      </vt:variant>
      <vt:variant>
        <vt:lpwstr/>
      </vt:variant>
      <vt:variant>
        <vt:lpwstr>_Toc77768088</vt:lpwstr>
      </vt:variant>
      <vt:variant>
        <vt:i4>1114160</vt:i4>
      </vt:variant>
      <vt:variant>
        <vt:i4>104</vt:i4>
      </vt:variant>
      <vt:variant>
        <vt:i4>0</vt:i4>
      </vt:variant>
      <vt:variant>
        <vt:i4>5</vt:i4>
      </vt:variant>
      <vt:variant>
        <vt:lpwstr/>
      </vt:variant>
      <vt:variant>
        <vt:lpwstr>_Toc77768087</vt:lpwstr>
      </vt:variant>
      <vt:variant>
        <vt:i4>1048624</vt:i4>
      </vt:variant>
      <vt:variant>
        <vt:i4>98</vt:i4>
      </vt:variant>
      <vt:variant>
        <vt:i4>0</vt:i4>
      </vt:variant>
      <vt:variant>
        <vt:i4>5</vt:i4>
      </vt:variant>
      <vt:variant>
        <vt:lpwstr/>
      </vt:variant>
      <vt:variant>
        <vt:lpwstr>_Toc77768086</vt:lpwstr>
      </vt:variant>
      <vt:variant>
        <vt:i4>1245232</vt:i4>
      </vt:variant>
      <vt:variant>
        <vt:i4>92</vt:i4>
      </vt:variant>
      <vt:variant>
        <vt:i4>0</vt:i4>
      </vt:variant>
      <vt:variant>
        <vt:i4>5</vt:i4>
      </vt:variant>
      <vt:variant>
        <vt:lpwstr/>
      </vt:variant>
      <vt:variant>
        <vt:lpwstr>_Toc77768085</vt:lpwstr>
      </vt:variant>
      <vt:variant>
        <vt:i4>1179696</vt:i4>
      </vt:variant>
      <vt:variant>
        <vt:i4>86</vt:i4>
      </vt:variant>
      <vt:variant>
        <vt:i4>0</vt:i4>
      </vt:variant>
      <vt:variant>
        <vt:i4>5</vt:i4>
      </vt:variant>
      <vt:variant>
        <vt:lpwstr/>
      </vt:variant>
      <vt:variant>
        <vt:lpwstr>_Toc77768084</vt:lpwstr>
      </vt:variant>
      <vt:variant>
        <vt:i4>1376304</vt:i4>
      </vt:variant>
      <vt:variant>
        <vt:i4>80</vt:i4>
      </vt:variant>
      <vt:variant>
        <vt:i4>0</vt:i4>
      </vt:variant>
      <vt:variant>
        <vt:i4>5</vt:i4>
      </vt:variant>
      <vt:variant>
        <vt:lpwstr/>
      </vt:variant>
      <vt:variant>
        <vt:lpwstr>_Toc77768083</vt:lpwstr>
      </vt:variant>
      <vt:variant>
        <vt:i4>1310768</vt:i4>
      </vt:variant>
      <vt:variant>
        <vt:i4>74</vt:i4>
      </vt:variant>
      <vt:variant>
        <vt:i4>0</vt:i4>
      </vt:variant>
      <vt:variant>
        <vt:i4>5</vt:i4>
      </vt:variant>
      <vt:variant>
        <vt:lpwstr/>
      </vt:variant>
      <vt:variant>
        <vt:lpwstr>_Toc77768082</vt:lpwstr>
      </vt:variant>
      <vt:variant>
        <vt:i4>1507376</vt:i4>
      </vt:variant>
      <vt:variant>
        <vt:i4>68</vt:i4>
      </vt:variant>
      <vt:variant>
        <vt:i4>0</vt:i4>
      </vt:variant>
      <vt:variant>
        <vt:i4>5</vt:i4>
      </vt:variant>
      <vt:variant>
        <vt:lpwstr/>
      </vt:variant>
      <vt:variant>
        <vt:lpwstr>_Toc77768081</vt:lpwstr>
      </vt:variant>
      <vt:variant>
        <vt:i4>1441840</vt:i4>
      </vt:variant>
      <vt:variant>
        <vt:i4>62</vt:i4>
      </vt:variant>
      <vt:variant>
        <vt:i4>0</vt:i4>
      </vt:variant>
      <vt:variant>
        <vt:i4>5</vt:i4>
      </vt:variant>
      <vt:variant>
        <vt:lpwstr/>
      </vt:variant>
      <vt:variant>
        <vt:lpwstr>_Toc77768080</vt:lpwstr>
      </vt:variant>
      <vt:variant>
        <vt:i4>2031679</vt:i4>
      </vt:variant>
      <vt:variant>
        <vt:i4>56</vt:i4>
      </vt:variant>
      <vt:variant>
        <vt:i4>0</vt:i4>
      </vt:variant>
      <vt:variant>
        <vt:i4>5</vt:i4>
      </vt:variant>
      <vt:variant>
        <vt:lpwstr/>
      </vt:variant>
      <vt:variant>
        <vt:lpwstr>_Toc77768079</vt:lpwstr>
      </vt:variant>
      <vt:variant>
        <vt:i4>1966143</vt:i4>
      </vt:variant>
      <vt:variant>
        <vt:i4>50</vt:i4>
      </vt:variant>
      <vt:variant>
        <vt:i4>0</vt:i4>
      </vt:variant>
      <vt:variant>
        <vt:i4>5</vt:i4>
      </vt:variant>
      <vt:variant>
        <vt:lpwstr/>
      </vt:variant>
      <vt:variant>
        <vt:lpwstr>_Toc77768078</vt:lpwstr>
      </vt:variant>
      <vt:variant>
        <vt:i4>1114175</vt:i4>
      </vt:variant>
      <vt:variant>
        <vt:i4>44</vt:i4>
      </vt:variant>
      <vt:variant>
        <vt:i4>0</vt:i4>
      </vt:variant>
      <vt:variant>
        <vt:i4>5</vt:i4>
      </vt:variant>
      <vt:variant>
        <vt:lpwstr/>
      </vt:variant>
      <vt:variant>
        <vt:lpwstr>_Toc77768077</vt:lpwstr>
      </vt:variant>
      <vt:variant>
        <vt:i4>1048639</vt:i4>
      </vt:variant>
      <vt:variant>
        <vt:i4>38</vt:i4>
      </vt:variant>
      <vt:variant>
        <vt:i4>0</vt:i4>
      </vt:variant>
      <vt:variant>
        <vt:i4>5</vt:i4>
      </vt:variant>
      <vt:variant>
        <vt:lpwstr/>
      </vt:variant>
      <vt:variant>
        <vt:lpwstr>_Toc77768076</vt:lpwstr>
      </vt:variant>
      <vt:variant>
        <vt:i4>1245247</vt:i4>
      </vt:variant>
      <vt:variant>
        <vt:i4>32</vt:i4>
      </vt:variant>
      <vt:variant>
        <vt:i4>0</vt:i4>
      </vt:variant>
      <vt:variant>
        <vt:i4>5</vt:i4>
      </vt:variant>
      <vt:variant>
        <vt:lpwstr/>
      </vt:variant>
      <vt:variant>
        <vt:lpwstr>_Toc77768075</vt:lpwstr>
      </vt:variant>
      <vt:variant>
        <vt:i4>1179711</vt:i4>
      </vt:variant>
      <vt:variant>
        <vt:i4>26</vt:i4>
      </vt:variant>
      <vt:variant>
        <vt:i4>0</vt:i4>
      </vt:variant>
      <vt:variant>
        <vt:i4>5</vt:i4>
      </vt:variant>
      <vt:variant>
        <vt:lpwstr/>
      </vt:variant>
      <vt:variant>
        <vt:lpwstr>_Toc77768074</vt:lpwstr>
      </vt:variant>
      <vt:variant>
        <vt:i4>1376319</vt:i4>
      </vt:variant>
      <vt:variant>
        <vt:i4>20</vt:i4>
      </vt:variant>
      <vt:variant>
        <vt:i4>0</vt:i4>
      </vt:variant>
      <vt:variant>
        <vt:i4>5</vt:i4>
      </vt:variant>
      <vt:variant>
        <vt:lpwstr/>
      </vt:variant>
      <vt:variant>
        <vt:lpwstr>_Toc77768073</vt:lpwstr>
      </vt:variant>
      <vt:variant>
        <vt:i4>1310783</vt:i4>
      </vt:variant>
      <vt:variant>
        <vt:i4>14</vt:i4>
      </vt:variant>
      <vt:variant>
        <vt:i4>0</vt:i4>
      </vt:variant>
      <vt:variant>
        <vt:i4>5</vt:i4>
      </vt:variant>
      <vt:variant>
        <vt:lpwstr/>
      </vt:variant>
      <vt:variant>
        <vt:lpwstr>_Toc77768072</vt:lpwstr>
      </vt:variant>
      <vt:variant>
        <vt:i4>1507391</vt:i4>
      </vt:variant>
      <vt:variant>
        <vt:i4>8</vt:i4>
      </vt:variant>
      <vt:variant>
        <vt:i4>0</vt:i4>
      </vt:variant>
      <vt:variant>
        <vt:i4>5</vt:i4>
      </vt:variant>
      <vt:variant>
        <vt:lpwstr/>
      </vt:variant>
      <vt:variant>
        <vt:lpwstr>_Toc77768071</vt:lpwstr>
      </vt:variant>
      <vt:variant>
        <vt:i4>1441855</vt:i4>
      </vt:variant>
      <vt:variant>
        <vt:i4>2</vt:i4>
      </vt:variant>
      <vt:variant>
        <vt:i4>0</vt:i4>
      </vt:variant>
      <vt:variant>
        <vt:i4>5</vt:i4>
      </vt:variant>
      <vt:variant>
        <vt:lpwstr/>
      </vt:variant>
      <vt:variant>
        <vt:lpwstr>_Toc77768070</vt:lpwstr>
      </vt:variant>
      <vt:variant>
        <vt:i4>1769538</vt:i4>
      </vt:variant>
      <vt:variant>
        <vt:i4>612</vt:i4>
      </vt:variant>
      <vt:variant>
        <vt:i4>0</vt:i4>
      </vt:variant>
      <vt:variant>
        <vt:i4>5</vt:i4>
      </vt:variant>
      <vt:variant>
        <vt:lpwstr>https://kingcounty.legistar.com/LegislationDetail.aspx?ID=3685952&amp;GUID=1E85F01F-3146-499F-BB69-7F7645D84F03&amp;Options=Advanced&amp;Search=</vt:lpwstr>
      </vt:variant>
      <vt:variant>
        <vt:lpwstr/>
      </vt:variant>
      <vt:variant>
        <vt:i4>3342448</vt:i4>
      </vt:variant>
      <vt:variant>
        <vt:i4>609</vt:i4>
      </vt:variant>
      <vt:variant>
        <vt:i4>0</vt:i4>
      </vt:variant>
      <vt:variant>
        <vt:i4>5</vt:i4>
      </vt:variant>
      <vt:variant>
        <vt:lpwstr>https://www.kingcounty.gov/depts/community-human-services/initiatives/best-starts-for-kids/advisory-board.aspx</vt:lpwstr>
      </vt:variant>
      <vt:variant>
        <vt:lpwstr/>
      </vt:variant>
      <vt:variant>
        <vt:i4>6553655</vt:i4>
      </vt:variant>
      <vt:variant>
        <vt:i4>606</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6488167</vt:i4>
      </vt:variant>
      <vt:variant>
        <vt:i4>603</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7602294</vt:i4>
      </vt:variant>
      <vt:variant>
        <vt:i4>600</vt:i4>
      </vt:variant>
      <vt:variant>
        <vt:i4>0</vt:i4>
      </vt:variant>
      <vt:variant>
        <vt:i4>5</vt:i4>
      </vt:variant>
      <vt:variant>
        <vt:lpwstr>https://app.leg.wa.gov/rcw/default.aspx?cite=84.52.010</vt:lpwstr>
      </vt:variant>
      <vt:variant>
        <vt:lpwstr/>
      </vt:variant>
      <vt:variant>
        <vt:i4>2097207</vt:i4>
      </vt:variant>
      <vt:variant>
        <vt:i4>597</vt:i4>
      </vt:variant>
      <vt:variant>
        <vt:i4>0</vt:i4>
      </vt:variant>
      <vt:variant>
        <vt:i4>5</vt:i4>
      </vt:variant>
      <vt:variant>
        <vt:lpwstr>https://mrsc.org/Home/Explore-Topics/Finance/Revenues/The-Property-Tax-in-Washington-State.aspx</vt:lpwstr>
      </vt:variant>
      <vt:variant>
        <vt:lpwstr/>
      </vt:variant>
      <vt:variant>
        <vt:i4>1703966</vt:i4>
      </vt:variant>
      <vt:variant>
        <vt:i4>594</vt:i4>
      </vt:variant>
      <vt:variant>
        <vt:i4>0</vt:i4>
      </vt:variant>
      <vt:variant>
        <vt:i4>5</vt:i4>
      </vt:variant>
      <vt:variant>
        <vt:lpwstr>https://belonging.berkeley.edu/implementing-targeted-universalism</vt:lpwstr>
      </vt:variant>
      <vt:variant>
        <vt:lpwstr/>
      </vt:variant>
      <vt:variant>
        <vt:i4>5832730</vt:i4>
      </vt:variant>
      <vt:variant>
        <vt:i4>591</vt:i4>
      </vt:variant>
      <vt:variant>
        <vt:i4>0</vt:i4>
      </vt:variant>
      <vt:variant>
        <vt:i4>5</vt:i4>
      </vt:variant>
      <vt:variant>
        <vt:lpwstr>https://kingcounty.gov/~/media/elected/executive/constantine/initiatives/best-starts-for-kids/documents/BSK-Plan-final.ashx?la=en</vt:lpwstr>
      </vt:variant>
      <vt:variant>
        <vt:lpwstr/>
      </vt:variant>
      <vt:variant>
        <vt:i4>917585</vt:i4>
      </vt:variant>
      <vt:variant>
        <vt:i4>588</vt:i4>
      </vt:variant>
      <vt:variant>
        <vt:i4>0</vt:i4>
      </vt:variant>
      <vt:variant>
        <vt:i4>5</vt:i4>
      </vt:variant>
      <vt:variant>
        <vt:lpwstr>https://www.healthypeople.gov/2020/topics-objectives/topic/social-determinants-of-health</vt:lpwstr>
      </vt:variant>
      <vt:variant>
        <vt:lpwstr/>
      </vt:variant>
      <vt:variant>
        <vt:i4>3866658</vt:i4>
      </vt:variant>
      <vt:variant>
        <vt:i4>585</vt:i4>
      </vt:variant>
      <vt:variant>
        <vt:i4>0</vt:i4>
      </vt:variant>
      <vt:variant>
        <vt:i4>5</vt:i4>
      </vt:variant>
      <vt:variant>
        <vt:lpwstr>https://kingcounty.gov/~/media/depts/community-human-services/best-starts-kids/documents/technical-evaluation-reports/BSK_COVID-19_Impacts_Report_through_August_2020.ashx?la=en</vt:lpwstr>
      </vt:variant>
      <vt:variant>
        <vt:lpwstr/>
      </vt:variant>
      <vt:variant>
        <vt:i4>5308470</vt:i4>
      </vt:variant>
      <vt:variant>
        <vt:i4>582</vt:i4>
      </vt:variant>
      <vt:variant>
        <vt:i4>0</vt:i4>
      </vt:variant>
      <vt:variant>
        <vt:i4>5</vt:i4>
      </vt:variant>
      <vt:variant>
        <vt:lpwstr/>
      </vt:variant>
      <vt:variant>
        <vt:lpwstr>_E.__Community</vt:lpwstr>
      </vt:variant>
      <vt:variant>
        <vt:i4>7864411</vt:i4>
      </vt:variant>
      <vt:variant>
        <vt:i4>579</vt:i4>
      </vt:variant>
      <vt:variant>
        <vt:i4>0</vt:i4>
      </vt:variant>
      <vt:variant>
        <vt:i4>5</vt:i4>
      </vt:variant>
      <vt:variant>
        <vt:lpwstr/>
      </vt:variant>
      <vt:variant>
        <vt:lpwstr>_Procurement_and_Financial</vt:lpwstr>
      </vt:variant>
      <vt:variant>
        <vt:i4>7864411</vt:i4>
      </vt:variant>
      <vt:variant>
        <vt:i4>576</vt:i4>
      </vt:variant>
      <vt:variant>
        <vt:i4>0</vt:i4>
      </vt:variant>
      <vt:variant>
        <vt:i4>5</vt:i4>
      </vt:variant>
      <vt:variant>
        <vt:lpwstr/>
      </vt:variant>
      <vt:variant>
        <vt:lpwstr>_Procurement_and_Financial</vt:lpwstr>
      </vt:variant>
      <vt:variant>
        <vt:i4>6357108</vt:i4>
      </vt:variant>
      <vt:variant>
        <vt:i4>573</vt:i4>
      </vt:variant>
      <vt:variant>
        <vt:i4>0</vt:i4>
      </vt:variant>
      <vt:variant>
        <vt:i4>5</vt:i4>
      </vt:variant>
      <vt:variant>
        <vt:lpwstr/>
      </vt:variant>
      <vt:variant>
        <vt:lpwstr>TA</vt:lpwstr>
      </vt:variant>
      <vt:variant>
        <vt:i4>6488167</vt:i4>
      </vt:variant>
      <vt:variant>
        <vt:i4>570</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567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564</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6029324</vt:i4>
      </vt:variant>
      <vt:variant>
        <vt:i4>561</vt:i4>
      </vt:variant>
      <vt:variant>
        <vt:i4>0</vt:i4>
      </vt:variant>
      <vt:variant>
        <vt:i4>5</vt:i4>
      </vt:variant>
      <vt:variant>
        <vt:lpwstr>https://kingcounty.gov/depts/community-human-services/initiatives/best-starts-for-kids/data.aspx</vt:lpwstr>
      </vt:variant>
      <vt:variant>
        <vt:lpwstr/>
      </vt:variant>
      <vt:variant>
        <vt:i4>6488167</vt:i4>
      </vt:variant>
      <vt:variant>
        <vt:i4>558</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786506</vt:i4>
      </vt:variant>
      <vt:variant>
        <vt:i4>555</vt:i4>
      </vt:variant>
      <vt:variant>
        <vt:i4>0</vt:i4>
      </vt:variant>
      <vt:variant>
        <vt:i4>5</vt:i4>
      </vt:variant>
      <vt:variant>
        <vt:lpwstr>https://www.kingcounty.gov/~/media/depts/community-human-services/VHS-Levy/VSHSL Planning/VSHSL_Implementation_Plan_-_Passed_-_Sans_Line_Numbering.ashx?la=en</vt:lpwstr>
      </vt:variant>
      <vt:variant>
        <vt:lpwstr/>
      </vt:variant>
      <vt:variant>
        <vt:i4>6488167</vt:i4>
      </vt:variant>
      <vt:variant>
        <vt:i4>552</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6488175</vt:i4>
      </vt:variant>
      <vt:variant>
        <vt:i4>549</vt:i4>
      </vt:variant>
      <vt:variant>
        <vt:i4>0</vt:i4>
      </vt:variant>
      <vt:variant>
        <vt:i4>5</vt:i4>
      </vt:variant>
      <vt:variant>
        <vt:lpwstr>https://mkcclegisearch.kingcounty.gov/LegislationDetail.aspx?ID=2740600&amp;GUID=517E0FBB-17E3-4A00-B63F-E41CE27522E9&amp;Options=Advanced&amp;Search=</vt:lpwstr>
      </vt:variant>
      <vt:variant>
        <vt:lpwstr/>
      </vt:variant>
      <vt:variant>
        <vt:i4>1507403</vt:i4>
      </vt:variant>
      <vt:variant>
        <vt:i4>546</vt:i4>
      </vt:variant>
      <vt:variant>
        <vt:i4>0</vt:i4>
      </vt:variant>
      <vt:variant>
        <vt:i4>5</vt:i4>
      </vt:variant>
      <vt:variant>
        <vt:lpwstr/>
      </vt:variant>
      <vt:variant>
        <vt:lpwstr>_Evaluation_Plan_Example_1</vt:lpwstr>
      </vt:variant>
      <vt:variant>
        <vt:i4>1507403</vt:i4>
      </vt:variant>
      <vt:variant>
        <vt:i4>543</vt:i4>
      </vt:variant>
      <vt:variant>
        <vt:i4>0</vt:i4>
      </vt:variant>
      <vt:variant>
        <vt:i4>5</vt:i4>
      </vt:variant>
      <vt:variant>
        <vt:lpwstr/>
      </vt:variant>
      <vt:variant>
        <vt:lpwstr>_Evaluation_Plan_Example_1</vt:lpwstr>
      </vt:variant>
      <vt:variant>
        <vt:i4>3539002</vt:i4>
      </vt:variant>
      <vt:variant>
        <vt:i4>540</vt:i4>
      </vt:variant>
      <vt:variant>
        <vt:i4>0</vt:i4>
      </vt:variant>
      <vt:variant>
        <vt:i4>5</vt:i4>
      </vt:variant>
      <vt:variant>
        <vt:lpwstr>https://beststartsblog.com/2017/06/13/best-starts-for-kids-health-survey-recognized-with-national-equity-award/</vt:lpwstr>
      </vt:variant>
      <vt:variant>
        <vt:lpwstr/>
      </vt:variant>
      <vt:variant>
        <vt:i4>3211313</vt:i4>
      </vt:variant>
      <vt:variant>
        <vt:i4>537</vt:i4>
      </vt:variant>
      <vt:variant>
        <vt:i4>0</vt:i4>
      </vt:variant>
      <vt:variant>
        <vt:i4>5</vt:i4>
      </vt:variant>
      <vt:variant>
        <vt:lpwstr>https://mkcclegisearch.kingcounty.gov/LegislationDetail.aspx?ID=3094878&amp;GUID=38AA5568-3B98-443B-A3D9-D1E2AF13A61F&amp;Options=Advanced&amp;Search=</vt:lpwstr>
      </vt:variant>
      <vt:variant>
        <vt:lpwstr/>
      </vt:variant>
      <vt:variant>
        <vt:i4>1179728</vt:i4>
      </vt:variant>
      <vt:variant>
        <vt:i4>534</vt:i4>
      </vt:variant>
      <vt:variant>
        <vt:i4>0</vt:i4>
      </vt:variant>
      <vt:variant>
        <vt:i4>5</vt:i4>
      </vt:variant>
      <vt:variant>
        <vt:lpwstr>https://clearimpact.com/results-based-accountability/</vt:lpwstr>
      </vt:variant>
      <vt:variant>
        <vt:lpwstr/>
      </vt:variant>
      <vt:variant>
        <vt:i4>1441840</vt:i4>
      </vt:variant>
      <vt:variant>
        <vt:i4>531</vt:i4>
      </vt:variant>
      <vt:variant>
        <vt:i4>0</vt:i4>
      </vt:variant>
      <vt:variant>
        <vt:i4>5</vt:i4>
      </vt:variant>
      <vt:variant>
        <vt:lpwstr>https://ncg.org/sites/default/files/resources/EvaluationFor Strategic Learning_CenterForEvaluationInnovation.pdf</vt:lpwstr>
      </vt:variant>
      <vt:variant>
        <vt:lpwstr/>
      </vt:variant>
      <vt:variant>
        <vt:i4>6684717</vt:i4>
      </vt:variant>
      <vt:variant>
        <vt:i4>528</vt:i4>
      </vt:variant>
      <vt:variant>
        <vt:i4>0</vt:i4>
      </vt:variant>
      <vt:variant>
        <vt:i4>5</vt:i4>
      </vt:variant>
      <vt:variant>
        <vt:lpwstr>https://montanabudget.org/post/time-to-decolonize-data</vt:lpwstr>
      </vt:variant>
      <vt:variant>
        <vt:lpwstr/>
      </vt:variant>
      <vt:variant>
        <vt:i4>131083</vt:i4>
      </vt:variant>
      <vt:variant>
        <vt:i4>525</vt:i4>
      </vt:variant>
      <vt:variant>
        <vt:i4>0</vt:i4>
      </vt:variant>
      <vt:variant>
        <vt:i4>5</vt:i4>
      </vt:variant>
      <vt:variant>
        <vt:lpwstr>https://crosscut.com/2019/05/abigail-echo-hawk-art-and-science-decolonizing-data</vt:lpwstr>
      </vt:variant>
      <vt:variant>
        <vt:lpwstr/>
      </vt:variant>
      <vt:variant>
        <vt:i4>7077994</vt:i4>
      </vt:variant>
      <vt:variant>
        <vt:i4>522</vt:i4>
      </vt:variant>
      <vt:variant>
        <vt:i4>0</vt:i4>
      </vt:variant>
      <vt:variant>
        <vt:i4>5</vt:i4>
      </vt:variant>
      <vt:variant>
        <vt:lpwstr>https://www.aecf.org/resources/reflections-on-applying-principles-of-equitable-evaluation/</vt:lpwstr>
      </vt:variant>
      <vt:variant>
        <vt:lpwstr/>
      </vt:variant>
      <vt:variant>
        <vt:i4>6225939</vt:i4>
      </vt:variant>
      <vt:variant>
        <vt:i4>519</vt:i4>
      </vt:variant>
      <vt:variant>
        <vt:i4>0</vt:i4>
      </vt:variant>
      <vt:variant>
        <vt:i4>5</vt:i4>
      </vt:variant>
      <vt:variant>
        <vt:lpwstr>https://www.eval.org/Portals/0/Docs/AEA_289398-18_GuidingPrinciples_Brochure_2.pdf</vt:lpwstr>
      </vt:variant>
      <vt:variant>
        <vt:lpwstr/>
      </vt:variant>
      <vt:variant>
        <vt:i4>5046274</vt:i4>
      </vt:variant>
      <vt:variant>
        <vt:i4>516</vt:i4>
      </vt:variant>
      <vt:variant>
        <vt:i4>0</vt:i4>
      </vt:variant>
      <vt:variant>
        <vt:i4>5</vt:i4>
      </vt:variant>
      <vt:variant>
        <vt:lpwstr>https://static1.squarespace.com/static/5ac7d99d372b963841f131a8/t/5e0bbd29a72072138c9ca53c/1577827626078/1_COO_Grounding.pdf</vt:lpwstr>
      </vt:variant>
      <vt:variant>
        <vt:lpwstr/>
      </vt:variant>
      <vt:variant>
        <vt:i4>6946928</vt:i4>
      </vt:variant>
      <vt:variant>
        <vt:i4>513</vt:i4>
      </vt:variant>
      <vt:variant>
        <vt:i4>0</vt:i4>
      </vt:variant>
      <vt:variant>
        <vt:i4>5</vt:i4>
      </vt:variant>
      <vt:variant>
        <vt:lpwstr>https://kingcounty.gov/depts/community-human-services/initiatives/best-starts-for-kids/advisory-board.aspx</vt:lpwstr>
      </vt:variant>
      <vt:variant>
        <vt:lpwstr/>
      </vt:variant>
      <vt:variant>
        <vt:i4>5308470</vt:i4>
      </vt:variant>
      <vt:variant>
        <vt:i4>510</vt:i4>
      </vt:variant>
      <vt:variant>
        <vt:i4>0</vt:i4>
      </vt:variant>
      <vt:variant>
        <vt:i4>5</vt:i4>
      </vt:variant>
      <vt:variant>
        <vt:lpwstr/>
      </vt:variant>
      <vt:variant>
        <vt:lpwstr>_E.__Community</vt:lpwstr>
      </vt:variant>
      <vt:variant>
        <vt:i4>3342381</vt:i4>
      </vt:variant>
      <vt:variant>
        <vt:i4>507</vt:i4>
      </vt:variant>
      <vt:variant>
        <vt:i4>0</vt:i4>
      </vt:variant>
      <vt:variant>
        <vt:i4>5</vt:i4>
      </vt:variant>
      <vt:variant>
        <vt:lpwstr>https://mkcclegisearch.kingcounty.gov/LegislationDetail.aspx?ID=3094878&amp;GUID=38AA5568-3B98-443B-A3D9-D1E2AF13A61F&amp;Options=&amp;Search=</vt:lpwstr>
      </vt:variant>
      <vt:variant>
        <vt:lpwstr/>
      </vt:variant>
      <vt:variant>
        <vt:i4>3145789</vt:i4>
      </vt:variant>
      <vt:variant>
        <vt:i4>504</vt:i4>
      </vt:variant>
      <vt:variant>
        <vt:i4>0</vt:i4>
      </vt:variant>
      <vt:variant>
        <vt:i4>5</vt:i4>
      </vt:variant>
      <vt:variant>
        <vt:lpwstr>https://beststartsblog.com/2020/10/22/making-government-funding-applications-more-accessible-an-evaluation-of-best-starts-technical-assistance/</vt:lpwstr>
      </vt:variant>
      <vt:variant>
        <vt:lpwstr/>
      </vt:variant>
      <vt:variant>
        <vt:i4>6029324</vt:i4>
      </vt:variant>
      <vt:variant>
        <vt:i4>501</vt:i4>
      </vt:variant>
      <vt:variant>
        <vt:i4>0</vt:i4>
      </vt:variant>
      <vt:variant>
        <vt:i4>5</vt:i4>
      </vt:variant>
      <vt:variant>
        <vt:lpwstr>https://kingcounty.gov/depts/community-human-services/initiatives/best-starts-for-kids/data.aspx</vt:lpwstr>
      </vt:variant>
      <vt:variant>
        <vt:lpwstr/>
      </vt:variant>
      <vt:variant>
        <vt:i4>6488167</vt:i4>
      </vt:variant>
      <vt:variant>
        <vt:i4>498</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495</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7864411</vt:i4>
      </vt:variant>
      <vt:variant>
        <vt:i4>492</vt:i4>
      </vt:variant>
      <vt:variant>
        <vt:i4>0</vt:i4>
      </vt:variant>
      <vt:variant>
        <vt:i4>5</vt:i4>
      </vt:variant>
      <vt:variant>
        <vt:lpwstr/>
      </vt:variant>
      <vt:variant>
        <vt:lpwstr>_Procurement_and_Financial</vt:lpwstr>
      </vt:variant>
      <vt:variant>
        <vt:i4>6553722</vt:i4>
      </vt:variant>
      <vt:variant>
        <vt:i4>489</vt:i4>
      </vt:variant>
      <vt:variant>
        <vt:i4>0</vt:i4>
      </vt:variant>
      <vt:variant>
        <vt:i4>5</vt:i4>
      </vt:variant>
      <vt:variant>
        <vt:lpwstr>https://kingcounty.gov/depts/community-human-services/housing.aspx</vt:lpwstr>
      </vt:variant>
      <vt:variant>
        <vt:lpwstr/>
      </vt:variant>
      <vt:variant>
        <vt:i4>917598</vt:i4>
      </vt:variant>
      <vt:variant>
        <vt:i4>486</vt:i4>
      </vt:variant>
      <vt:variant>
        <vt:i4>0</vt:i4>
      </vt:variant>
      <vt:variant>
        <vt:i4>5</vt:i4>
      </vt:variant>
      <vt:variant>
        <vt:lpwstr>http://www.seattle.gov/opcd/ongoing-initiatives/equitable-development-initiative</vt:lpwstr>
      </vt:variant>
      <vt:variant>
        <vt:lpwstr/>
      </vt:variant>
      <vt:variant>
        <vt:i4>7077920</vt:i4>
      </vt:variant>
      <vt:variant>
        <vt:i4>483</vt:i4>
      </vt:variant>
      <vt:variant>
        <vt:i4>0</vt:i4>
      </vt:variant>
      <vt:variant>
        <vt:i4>5</vt:i4>
      </vt:variant>
      <vt:variant>
        <vt:lpwstr>https://kingcounty.gov/depts/community-human-services/housing/services/housing-finance.aspx</vt:lpwstr>
      </vt:variant>
      <vt:variant>
        <vt:lpwstr/>
      </vt:variant>
      <vt:variant>
        <vt:i4>6422634</vt:i4>
      </vt:variant>
      <vt:variant>
        <vt:i4>480</vt:i4>
      </vt:variant>
      <vt:variant>
        <vt:i4>0</vt:i4>
      </vt:variant>
      <vt:variant>
        <vt:i4>5</vt:i4>
      </vt:variant>
      <vt:variant>
        <vt:lpwstr>https://kingcounty.legistar.com/LegislationDetail.aspx?ID=4590304&amp;GUID=C221D79B-7615-488E-BF47-2687836803EA</vt:lpwstr>
      </vt:variant>
      <vt:variant>
        <vt:lpwstr/>
      </vt:variant>
      <vt:variant>
        <vt:i4>1310724</vt:i4>
      </vt:variant>
      <vt:variant>
        <vt:i4>477</vt:i4>
      </vt:variant>
      <vt:variant>
        <vt:i4>0</vt:i4>
      </vt:variant>
      <vt:variant>
        <vt:i4>5</vt:i4>
      </vt:variant>
      <vt:variant>
        <vt:lpwstr>https://kingcounty.gov/~/media/Council/documents/Issues/PSTAA/FINAL-Implementation-Plan-PSTAA-Proceeds.ashx?la=en</vt:lpwstr>
      </vt:variant>
      <vt:variant>
        <vt:lpwstr/>
      </vt:variant>
      <vt:variant>
        <vt:i4>6291501</vt:i4>
      </vt:variant>
      <vt:variant>
        <vt:i4>474</vt:i4>
      </vt:variant>
      <vt:variant>
        <vt:i4>0</vt:i4>
      </vt:variant>
      <vt:variant>
        <vt:i4>5</vt:i4>
      </vt:variant>
      <vt:variant>
        <vt:lpwstr>https://youth.gov/youth-topics/afterschool-programs/benefits-youth-families-and-communities</vt:lpwstr>
      </vt:variant>
      <vt:variant>
        <vt:lpwstr/>
      </vt:variant>
      <vt:variant>
        <vt:i4>5570583</vt:i4>
      </vt:variant>
      <vt:variant>
        <vt:i4>471</vt:i4>
      </vt:variant>
      <vt:variant>
        <vt:i4>0</vt:i4>
      </vt:variant>
      <vt:variant>
        <vt:i4>5</vt:i4>
      </vt:variant>
      <vt:variant>
        <vt:lpwstr>https://jbcc.harvard.edu/sites/default/files/impact_of_the_covid-19_pandemic_on_children_youth_and_families_.pdf</vt:lpwstr>
      </vt:variant>
      <vt:variant>
        <vt:lpwstr/>
      </vt:variant>
      <vt:variant>
        <vt:i4>1179739</vt:i4>
      </vt:variant>
      <vt:variant>
        <vt:i4>468</vt:i4>
      </vt:variant>
      <vt:variant>
        <vt:i4>0</vt:i4>
      </vt:variant>
      <vt:variant>
        <vt:i4>5</vt:i4>
      </vt:variant>
      <vt:variant>
        <vt:lpwstr>https://www.nrpa.org/globalassets/research/witt-caldwell-full-research-paper.pdf</vt:lpwstr>
      </vt:variant>
      <vt:variant>
        <vt:lpwstr/>
      </vt:variant>
      <vt:variant>
        <vt:i4>1376325</vt:i4>
      </vt:variant>
      <vt:variant>
        <vt:i4>465</vt:i4>
      </vt:variant>
      <vt:variant>
        <vt:i4>0</vt:i4>
      </vt:variant>
      <vt:variant>
        <vt:i4>5</vt:i4>
      </vt:variant>
      <vt:variant>
        <vt:lpwstr>https://www.ncbi.nlm.nih.gov/pmc/articles/PMC4082954/</vt:lpwstr>
      </vt:variant>
      <vt:variant>
        <vt:lpwstr/>
      </vt:variant>
      <vt:variant>
        <vt:i4>3801139</vt:i4>
      </vt:variant>
      <vt:variant>
        <vt:i4>462</vt:i4>
      </vt:variant>
      <vt:variant>
        <vt:i4>0</vt:i4>
      </vt:variant>
      <vt:variant>
        <vt:i4>5</vt:i4>
      </vt:variant>
      <vt:variant>
        <vt:lpwstr>https://www.cdc.gov/healthyschools/ost.htm</vt:lpwstr>
      </vt:variant>
      <vt:variant>
        <vt:lpwstr/>
      </vt:variant>
      <vt:variant>
        <vt:i4>917575</vt:i4>
      </vt:variant>
      <vt:variant>
        <vt:i4>459</vt:i4>
      </vt:variant>
      <vt:variant>
        <vt:i4>0</vt:i4>
      </vt:variant>
      <vt:variant>
        <vt:i4>5</vt:i4>
      </vt:variant>
      <vt:variant>
        <vt:lpwstr>http://www.afterschoolalliance.org/policyExpandedLearning.cfm</vt:lpwstr>
      </vt:variant>
      <vt:variant>
        <vt:lpwstr/>
      </vt:variant>
      <vt:variant>
        <vt:i4>7929979</vt:i4>
      </vt:variant>
      <vt:variant>
        <vt:i4>456</vt:i4>
      </vt:variant>
      <vt:variant>
        <vt:i4>0</vt:i4>
      </vt:variant>
      <vt:variant>
        <vt:i4>5</vt:i4>
      </vt:variant>
      <vt:variant>
        <vt:lpwstr>https://www.dcyf.wa.gov/sites/default/files/pdf/eceap/Facility_Needs_Assessment_for_ECEAP_Expansion_September_2016_0.pdf</vt:lpwstr>
      </vt:variant>
      <vt:variant>
        <vt:lpwstr/>
      </vt:variant>
      <vt:variant>
        <vt:i4>7274542</vt:i4>
      </vt:variant>
      <vt:variant>
        <vt:i4>453</vt:i4>
      </vt:variant>
      <vt:variant>
        <vt:i4>0</vt:i4>
      </vt:variant>
      <vt:variant>
        <vt:i4>5</vt:i4>
      </vt:variant>
      <vt:variant>
        <vt:lpwstr>https://kingcounty.gov/independent/forecasting.aspx</vt:lpwstr>
      </vt:variant>
      <vt:variant>
        <vt:lpwstr/>
      </vt:variant>
      <vt:variant>
        <vt:i4>6553705</vt:i4>
      </vt:variant>
      <vt:variant>
        <vt:i4>450</vt:i4>
      </vt:variant>
      <vt:variant>
        <vt:i4>0</vt:i4>
      </vt:variant>
      <vt:variant>
        <vt:i4>5</vt:i4>
      </vt:variant>
      <vt:variant>
        <vt:lpwstr>https://mkcclegisearch.kingcounty.gov/LegislationDetail.aspx?ID=2740623&amp;GUID=BE56F984-F187-4903-86CC-907CE53438AA&amp;Options=Advanced&amp;Search=</vt:lpwstr>
      </vt:variant>
      <vt:variant>
        <vt:lpwstr/>
      </vt:variant>
      <vt:variant>
        <vt:i4>5963847</vt:i4>
      </vt:variant>
      <vt:variant>
        <vt:i4>447</vt:i4>
      </vt:variant>
      <vt:variant>
        <vt:i4>0</vt:i4>
      </vt:variant>
      <vt:variant>
        <vt:i4>5</vt:i4>
      </vt:variant>
      <vt:variant>
        <vt:lpwstr>https://kingcounty.gov/depts/community-human-services/COVID/eviction-prevention-rent-assistance/program-data.aspx</vt:lpwstr>
      </vt:variant>
      <vt:variant>
        <vt:lpwstr/>
      </vt:variant>
      <vt:variant>
        <vt:i4>3342450</vt:i4>
      </vt:variant>
      <vt:variant>
        <vt:i4>444</vt:i4>
      </vt:variant>
      <vt:variant>
        <vt:i4>0</vt:i4>
      </vt:variant>
      <vt:variant>
        <vt:i4>5</vt:i4>
      </vt:variant>
      <vt:variant>
        <vt:lpwstr>https://leo.nd.edu/partners-projects/projects/youth-and-family-homelessness-prevention-initiative/</vt:lpwstr>
      </vt:variant>
      <vt:variant>
        <vt:lpwstr/>
      </vt:variant>
      <vt:variant>
        <vt:i4>6619182</vt:i4>
      </vt:variant>
      <vt:variant>
        <vt:i4>441</vt:i4>
      </vt:variant>
      <vt:variant>
        <vt:i4>0</vt:i4>
      </vt:variant>
      <vt:variant>
        <vt:i4>5</vt:i4>
      </vt:variant>
      <vt:variant>
        <vt:lpwstr>https://kingcounty.gov/depts/health/communicable-diseases/immunization/child/school-immunizations.aspx</vt:lpwstr>
      </vt:variant>
      <vt:variant>
        <vt:lpwstr/>
      </vt:variant>
      <vt:variant>
        <vt:i4>1310724</vt:i4>
      </vt:variant>
      <vt:variant>
        <vt:i4>438</vt:i4>
      </vt:variant>
      <vt:variant>
        <vt:i4>0</vt:i4>
      </vt:variant>
      <vt:variant>
        <vt:i4>5</vt:i4>
      </vt:variant>
      <vt:variant>
        <vt:lpwstr>https://kingcounty.gov/~/media/Council/documents/Issues/PSTAA/FINAL-Implementation-Plan-PSTAA-Proceeds.ashx?la=en</vt:lpwstr>
      </vt:variant>
      <vt:variant>
        <vt:lpwstr/>
      </vt:variant>
      <vt:variant>
        <vt:i4>1769564</vt:i4>
      </vt:variant>
      <vt:variant>
        <vt:i4>435</vt:i4>
      </vt:variant>
      <vt:variant>
        <vt:i4>0</vt:i4>
      </vt:variant>
      <vt:variant>
        <vt:i4>5</vt:i4>
      </vt:variant>
      <vt:variant>
        <vt:lpwstr>https://www.washingtonstem.org/wp-content/uploads/2018/11/STEM-by-the-Numbers-King-County.1.1.pdf</vt:lpwstr>
      </vt:variant>
      <vt:variant>
        <vt:lpwstr/>
      </vt:variant>
      <vt:variant>
        <vt:i4>5832730</vt:i4>
      </vt:variant>
      <vt:variant>
        <vt:i4>432</vt:i4>
      </vt:variant>
      <vt:variant>
        <vt:i4>0</vt:i4>
      </vt:variant>
      <vt:variant>
        <vt:i4>5</vt:i4>
      </vt:variant>
      <vt:variant>
        <vt:lpwstr>https://kingcounty.gov/~/media/elected/executive/constantine/initiatives/best-starts-for-kids/documents/BSK-Plan-final.ashx?la=en</vt:lpwstr>
      </vt:variant>
      <vt:variant>
        <vt:lpwstr/>
      </vt:variant>
      <vt:variant>
        <vt:i4>1441873</vt:i4>
      </vt:variant>
      <vt:variant>
        <vt:i4>429</vt:i4>
      </vt:variant>
      <vt:variant>
        <vt:i4>0</vt:i4>
      </vt:variant>
      <vt:variant>
        <vt:i4>5</vt:i4>
      </vt:variant>
      <vt:variant>
        <vt:lpwstr>https://roadmapproject.org/resources/in-their-own-words-young-people-describe-the-impact-of-covid-19/</vt:lpwstr>
      </vt:variant>
      <vt:variant>
        <vt:lpwstr/>
      </vt:variant>
      <vt:variant>
        <vt:i4>6619250</vt:i4>
      </vt:variant>
      <vt:variant>
        <vt:i4>426</vt:i4>
      </vt:variant>
      <vt:variant>
        <vt:i4>0</vt:i4>
      </vt:variant>
      <vt:variant>
        <vt:i4>5</vt:i4>
      </vt:variant>
      <vt:variant>
        <vt:lpwstr>https://nam.edu/public-health-covid-19-impact-assessment-lessons-learned-and-compelling-needs/</vt:lpwstr>
      </vt:variant>
      <vt:variant>
        <vt:lpwstr/>
      </vt:variant>
      <vt:variant>
        <vt:i4>1048606</vt:i4>
      </vt:variant>
      <vt:variant>
        <vt:i4>423</vt:i4>
      </vt:variant>
      <vt:variant>
        <vt:i4>0</vt:i4>
      </vt:variant>
      <vt:variant>
        <vt:i4>5</vt:i4>
      </vt:variant>
      <vt:variant>
        <vt:lpwstr>https://kingcounty.gov/~/media/depts/community-human-services/best-starts-kids/documents/Community_Conversations_2020.ashx?la=en</vt:lpwstr>
      </vt:variant>
      <vt:variant>
        <vt:lpwstr/>
      </vt:variant>
      <vt:variant>
        <vt:i4>1048599</vt:i4>
      </vt:variant>
      <vt:variant>
        <vt:i4>420</vt:i4>
      </vt:variant>
      <vt:variant>
        <vt:i4>0</vt:i4>
      </vt:variant>
      <vt:variant>
        <vt:i4>5</vt:i4>
      </vt:variant>
      <vt:variant>
        <vt:lpwstr>https://kingcounty.legistar.com/LegislationDetail.aspx?ID=4769147&amp;GUID=D66186DB-DAAC-46FC-8A44-CC5FD645AC09&amp;Options=Advanced&amp;Search=</vt:lpwstr>
      </vt:variant>
      <vt:variant>
        <vt:lpwstr/>
      </vt:variant>
      <vt:variant>
        <vt:i4>3080255</vt:i4>
      </vt:variant>
      <vt:variant>
        <vt:i4>417</vt:i4>
      </vt:variant>
      <vt:variant>
        <vt:i4>0</vt:i4>
      </vt:variant>
      <vt:variant>
        <vt:i4>5</vt:i4>
      </vt:variant>
      <vt:variant>
        <vt:lpwstr>https://kingcounty.legistar.com/LegislationDetail.aspx?ID=4913461&amp;GUID=45ED00FB-0BF6-444A-B66A-9E32B176B3A1&amp;FullText=1</vt:lpwstr>
      </vt:variant>
      <vt:variant>
        <vt:lpwstr/>
      </vt:variant>
      <vt:variant>
        <vt:i4>8061031</vt:i4>
      </vt:variant>
      <vt:variant>
        <vt:i4>414</vt:i4>
      </vt:variant>
      <vt:variant>
        <vt:i4>0</vt:i4>
      </vt:variant>
      <vt:variant>
        <vt:i4>5</vt:i4>
      </vt:variant>
      <vt:variant>
        <vt:lpwstr>https://www.seattle.gov/education/big-initiatives/fepp-levy</vt:lpwstr>
      </vt:variant>
      <vt:variant>
        <vt:lpwstr/>
      </vt:variant>
      <vt:variant>
        <vt:i4>2228347</vt:i4>
      </vt:variant>
      <vt:variant>
        <vt:i4>411</vt:i4>
      </vt:variant>
      <vt:variant>
        <vt:i4>0</vt:i4>
      </vt:variant>
      <vt:variant>
        <vt:i4>5</vt:i4>
      </vt:variant>
      <vt:variant>
        <vt:lpwstr>https://www.tandfonline.com/doi/full/10.1080/09515070.2020.1766420</vt:lpwstr>
      </vt:variant>
      <vt:variant>
        <vt:lpwstr/>
      </vt:variant>
      <vt:variant>
        <vt:i4>3080255</vt:i4>
      </vt:variant>
      <vt:variant>
        <vt:i4>408</vt:i4>
      </vt:variant>
      <vt:variant>
        <vt:i4>0</vt:i4>
      </vt:variant>
      <vt:variant>
        <vt:i4>5</vt:i4>
      </vt:variant>
      <vt:variant>
        <vt:lpwstr>https://kingcounty.legistar.com/LegislationDetail.aspx?ID=4913461&amp;GUID=45ED00FB-0BF6-444A-B66A-9E32B176B3A1&amp;FullText=1</vt:lpwstr>
      </vt:variant>
      <vt:variant>
        <vt:lpwstr/>
      </vt:variant>
      <vt:variant>
        <vt:i4>4522072</vt:i4>
      </vt:variant>
      <vt:variant>
        <vt:i4>405</vt:i4>
      </vt:variant>
      <vt:variant>
        <vt:i4>0</vt:i4>
      </vt:variant>
      <vt:variant>
        <vt:i4>5</vt:i4>
      </vt:variant>
      <vt:variant>
        <vt:lpwstr>https://kc1.sharepoint.com/teams/BSKRenewalTeamSite/Shared Documents/09. Implementation Plan/School-Based Health Centers to Advance Health Equity</vt:lpwstr>
      </vt:variant>
      <vt:variant>
        <vt:lpwstr/>
      </vt:variant>
      <vt:variant>
        <vt:i4>6488167</vt:i4>
      </vt:variant>
      <vt:variant>
        <vt:i4>402</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3080255</vt:i4>
      </vt:variant>
      <vt:variant>
        <vt:i4>399</vt:i4>
      </vt:variant>
      <vt:variant>
        <vt:i4>0</vt:i4>
      </vt:variant>
      <vt:variant>
        <vt:i4>5</vt:i4>
      </vt:variant>
      <vt:variant>
        <vt:lpwstr>https://kingcounty.legistar.com/LegislationDetail.aspx?ID=4913461&amp;GUID=45ED00FB-0BF6-444A-B66A-9E32B176B3A1&amp;FullText=1</vt:lpwstr>
      </vt:variant>
      <vt:variant>
        <vt:lpwstr/>
      </vt:variant>
      <vt:variant>
        <vt:i4>26</vt:i4>
      </vt:variant>
      <vt:variant>
        <vt:i4>396</vt:i4>
      </vt:variant>
      <vt:variant>
        <vt:i4>0</vt:i4>
      </vt:variant>
      <vt:variant>
        <vt:i4>5</vt:i4>
      </vt:variant>
      <vt:variant>
        <vt:lpwstr>https://www.kingcounty.gov/~/media/elected/executive/constantine/initiatives/best-starts-for-kids/documents/BSK-Plan-final.ashx?la=en</vt:lpwstr>
      </vt:variant>
      <vt:variant>
        <vt:lpwstr/>
      </vt:variant>
      <vt:variant>
        <vt:i4>1900621</vt:i4>
      </vt:variant>
      <vt:variant>
        <vt:i4>393</vt:i4>
      </vt:variant>
      <vt:variant>
        <vt:i4>0</vt:i4>
      </vt:variant>
      <vt:variant>
        <vt:i4>5</vt:i4>
      </vt:variant>
      <vt:variant>
        <vt:lpwstr>https://journals.sagepub.com/doi/abs/10.1177/1098300717753832</vt:lpwstr>
      </vt:variant>
      <vt:variant>
        <vt:lpwstr/>
      </vt:variant>
      <vt:variant>
        <vt:i4>1310746</vt:i4>
      </vt:variant>
      <vt:variant>
        <vt:i4>390</vt:i4>
      </vt:variant>
      <vt:variant>
        <vt:i4>0</vt:i4>
      </vt:variant>
      <vt:variant>
        <vt:i4>5</vt:i4>
      </vt:variant>
      <vt:variant>
        <vt:lpwstr>https://www.samhsa.gov/data/sites/default/files/reports/rpt29393/2019NSDUHFFRPDFWHTML/2019NSDUHFFR1PDFW090120.pdf</vt:lpwstr>
      </vt:variant>
      <vt:variant>
        <vt:lpwstr/>
      </vt:variant>
      <vt:variant>
        <vt:i4>3080255</vt:i4>
      </vt:variant>
      <vt:variant>
        <vt:i4>387</vt:i4>
      </vt:variant>
      <vt:variant>
        <vt:i4>0</vt:i4>
      </vt:variant>
      <vt:variant>
        <vt:i4>5</vt:i4>
      </vt:variant>
      <vt:variant>
        <vt:lpwstr>https://kingcounty.legistar.com/LegislationDetail.aspx?ID=4913461&amp;GUID=45ED00FB-0BF6-444A-B66A-9E32B176B3A1&amp;FullText=1</vt:lpwstr>
      </vt:variant>
      <vt:variant>
        <vt:lpwstr/>
      </vt:variant>
      <vt:variant>
        <vt:i4>6488167</vt:i4>
      </vt:variant>
      <vt:variant>
        <vt:i4>384</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4128867</vt:i4>
      </vt:variant>
      <vt:variant>
        <vt:i4>381</vt:i4>
      </vt:variant>
      <vt:variant>
        <vt:i4>0</vt:i4>
      </vt:variant>
      <vt:variant>
        <vt:i4>5</vt:i4>
      </vt:variant>
      <vt:variant>
        <vt:lpwstr>https://medium.com/changing-the-odds/what-happens-when-out-of-school-time-is-all-the-time-78e5b253e6f6</vt:lpwstr>
      </vt:variant>
      <vt:variant>
        <vt:lpwstr/>
      </vt:variant>
      <vt:variant>
        <vt:i4>4128875</vt:i4>
      </vt:variant>
      <vt:variant>
        <vt:i4>378</vt:i4>
      </vt:variant>
      <vt:variant>
        <vt:i4>0</vt:i4>
      </vt:variant>
      <vt:variant>
        <vt:i4>5</vt:i4>
      </vt:variant>
      <vt:variant>
        <vt:lpwstr>http://cypq.org/assessment</vt:lpwstr>
      </vt:variant>
      <vt:variant>
        <vt:lpwstr/>
      </vt:variant>
      <vt:variant>
        <vt:i4>6094857</vt:i4>
      </vt:variant>
      <vt:variant>
        <vt:i4>375</vt:i4>
      </vt:variant>
      <vt:variant>
        <vt:i4>0</vt:i4>
      </vt:variant>
      <vt:variant>
        <vt:i4>5</vt:i4>
      </vt:variant>
      <vt:variant>
        <vt:lpwstr>https://www.schoolsoutwashington.org/pages/social-emotional-learning</vt:lpwstr>
      </vt:variant>
      <vt:variant>
        <vt:lpwstr/>
      </vt:variant>
      <vt:variant>
        <vt:i4>2687082</vt:i4>
      </vt:variant>
      <vt:variant>
        <vt:i4>372</vt:i4>
      </vt:variant>
      <vt:variant>
        <vt:i4>0</vt:i4>
      </vt:variant>
      <vt:variant>
        <vt:i4>5</vt:i4>
      </vt:variant>
      <vt:variant>
        <vt:lpwstr>https://www.schoolsoutwashington.org/pages/quality-improvement-process</vt:lpwstr>
      </vt:variant>
      <vt:variant>
        <vt:lpwstr/>
      </vt:variant>
      <vt:variant>
        <vt:i4>1441805</vt:i4>
      </vt:variant>
      <vt:variant>
        <vt:i4>369</vt:i4>
      </vt:variant>
      <vt:variant>
        <vt:i4>0</vt:i4>
      </vt:variant>
      <vt:variant>
        <vt:i4>5</vt:i4>
      </vt:variant>
      <vt:variant>
        <vt:lpwstr>https://kingcounty.gov/depts/community-human-services/mental-health-substance-abuse/midd.aspx</vt:lpwstr>
      </vt:variant>
      <vt:variant>
        <vt:lpwstr>:~:text=The%20King%20County%20MIDD%20is,risk%20of%20behavioral%20health%20conditions.</vt:lpwstr>
      </vt:variant>
      <vt:variant>
        <vt:i4>196696</vt:i4>
      </vt:variant>
      <vt:variant>
        <vt:i4>366</vt:i4>
      </vt:variant>
      <vt:variant>
        <vt:i4>0</vt:i4>
      </vt:variant>
      <vt:variant>
        <vt:i4>5</vt:i4>
      </vt:variant>
      <vt:variant>
        <vt:lpwstr>https://kingcounty.gov/depts/community-human-services/mental-health-substance-abuse.aspx</vt:lpwstr>
      </vt:variant>
      <vt:variant>
        <vt:lpwstr/>
      </vt:variant>
      <vt:variant>
        <vt:i4>3080255</vt:i4>
      </vt:variant>
      <vt:variant>
        <vt:i4>363</vt:i4>
      </vt:variant>
      <vt:variant>
        <vt:i4>0</vt:i4>
      </vt:variant>
      <vt:variant>
        <vt:i4>5</vt:i4>
      </vt:variant>
      <vt:variant>
        <vt:lpwstr>https://kingcounty.legistar.com/LegislationDetail.aspx?ID=4913461&amp;GUID=45ED00FB-0BF6-444A-B66A-9E32B176B3A1&amp;FullText=1</vt:lpwstr>
      </vt:variant>
      <vt:variant>
        <vt:lpwstr/>
      </vt:variant>
      <vt:variant>
        <vt:i4>6226003</vt:i4>
      </vt:variant>
      <vt:variant>
        <vt:i4>360</vt:i4>
      </vt:variant>
      <vt:variant>
        <vt:i4>0</vt:i4>
      </vt:variant>
      <vt:variant>
        <vt:i4>5</vt:i4>
      </vt:variant>
      <vt:variant>
        <vt:lpwstr>https://static1.squarespace.com/static/5b75d96ccc8fedfce4d3c5a8/t/5dee6a1d13bf9952af869c56/1575905822222/Funding+Brighter+Futures.pdf</vt:lpwstr>
      </vt:variant>
      <vt:variant>
        <vt:lpwstr/>
      </vt:variant>
      <vt:variant>
        <vt:i4>6488167</vt:i4>
      </vt:variant>
      <vt:variant>
        <vt:i4>357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3080255</vt:i4>
      </vt:variant>
      <vt:variant>
        <vt:i4>354</vt:i4>
      </vt:variant>
      <vt:variant>
        <vt:i4>0</vt:i4>
      </vt:variant>
      <vt:variant>
        <vt:i4>5</vt:i4>
      </vt:variant>
      <vt:variant>
        <vt:lpwstr>https://kingcounty.legistar.com/LegislationDetail.aspx?ID=4913461&amp;GUID=45ED00FB-0BF6-444A-B66A-9E32B176B3A1&amp;FullText=1</vt:lpwstr>
      </vt:variant>
      <vt:variant>
        <vt:lpwstr/>
      </vt:variant>
      <vt:variant>
        <vt:i4>5111873</vt:i4>
      </vt:variant>
      <vt:variant>
        <vt:i4>351</vt:i4>
      </vt:variant>
      <vt:variant>
        <vt:i4>0</vt:i4>
      </vt:variant>
      <vt:variant>
        <vt:i4>5</vt:i4>
      </vt:variant>
      <vt:variant>
        <vt:lpwstr>http://acycpjournal.pitt.edu/ojs/jcycw/article/view/70/54</vt:lpwstr>
      </vt:variant>
      <vt:variant>
        <vt:lpwstr/>
      </vt:variant>
      <vt:variant>
        <vt:i4>6553655</vt:i4>
      </vt:variant>
      <vt:variant>
        <vt:i4>348</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5701644</vt:i4>
      </vt:variant>
      <vt:variant>
        <vt:i4>345</vt:i4>
      </vt:variant>
      <vt:variant>
        <vt:i4>0</vt:i4>
      </vt:variant>
      <vt:variant>
        <vt:i4>5</vt:i4>
      </vt:variant>
      <vt:variant>
        <vt:lpwstr>https://kc1.sharepoint.com/teams/BSKRenewalTeamSite/Shared Documents/09. Implementation Plan/LINK</vt:lpwstr>
      </vt:variant>
      <vt:variant>
        <vt:lpwstr/>
      </vt:variant>
      <vt:variant>
        <vt:i4>262147</vt:i4>
      </vt:variant>
      <vt:variant>
        <vt:i4>342</vt:i4>
      </vt:variant>
      <vt:variant>
        <vt:i4>0</vt:i4>
      </vt:variant>
      <vt:variant>
        <vt:i4>5</vt:i4>
      </vt:variant>
      <vt:variant>
        <vt:lpwstr>https://helpmegrownational.org/hmg-system-model/</vt:lpwstr>
      </vt:variant>
      <vt:variant>
        <vt:lpwstr/>
      </vt:variant>
      <vt:variant>
        <vt:i4>131097</vt:i4>
      </vt:variant>
      <vt:variant>
        <vt:i4>339</vt:i4>
      </vt:variant>
      <vt:variant>
        <vt:i4>0</vt:i4>
      </vt:variant>
      <vt:variant>
        <vt:i4>5</vt:i4>
      </vt:variant>
      <vt:variant>
        <vt:lpwstr>https://nirn.fpg.unc.edu/national-implementation-research-network</vt:lpwstr>
      </vt:variant>
      <vt:variant>
        <vt:lpwstr/>
      </vt:variant>
      <vt:variant>
        <vt:i4>5832780</vt:i4>
      </vt:variant>
      <vt:variant>
        <vt:i4>336</vt:i4>
      </vt:variant>
      <vt:variant>
        <vt:i4>0</vt:i4>
      </vt:variant>
      <vt:variant>
        <vt:i4>5</vt:i4>
      </vt:variant>
      <vt:variant>
        <vt:lpwstr>https://www.creativereactionlab.com/</vt:lpwstr>
      </vt:variant>
      <vt:variant>
        <vt:lpwstr/>
      </vt:variant>
      <vt:variant>
        <vt:i4>7143531</vt:i4>
      </vt:variant>
      <vt:variant>
        <vt:i4>333</vt:i4>
      </vt:variant>
      <vt:variant>
        <vt:i4>0</vt:i4>
      </vt:variant>
      <vt:variant>
        <vt:i4>5</vt:i4>
      </vt:variant>
      <vt:variant>
        <vt:lpwstr>https://developingchild.harvard.edu/innovation-application/frontiers-of-innovation/</vt:lpwstr>
      </vt:variant>
      <vt:variant>
        <vt:lpwstr/>
      </vt:variant>
      <vt:variant>
        <vt:i4>1966149</vt:i4>
      </vt:variant>
      <vt:variant>
        <vt:i4>330</vt:i4>
      </vt:variant>
      <vt:variant>
        <vt:i4>0</vt:i4>
      </vt:variant>
      <vt:variant>
        <vt:i4>5</vt:i4>
      </vt:variant>
      <vt:variant>
        <vt:lpwstr>https://www.ncbi.nlm.nih.gov/pmc/articles/PMC7510529/</vt:lpwstr>
      </vt:variant>
      <vt:variant>
        <vt:lpwstr/>
      </vt:variant>
      <vt:variant>
        <vt:i4>3145834</vt:i4>
      </vt:variant>
      <vt:variant>
        <vt:i4>327</vt:i4>
      </vt:variant>
      <vt:variant>
        <vt:i4>0</vt:i4>
      </vt:variant>
      <vt:variant>
        <vt:i4>5</vt:i4>
      </vt:variant>
      <vt:variant>
        <vt:lpwstr>https://www.zerotothree.org/resources/2661-america-s-babies-making-their-potential-our-priority</vt:lpwstr>
      </vt:variant>
      <vt:variant>
        <vt:lpwstr/>
      </vt:variant>
      <vt:variant>
        <vt:i4>7340055</vt:i4>
      </vt:variant>
      <vt:variant>
        <vt:i4>324</vt:i4>
      </vt:variant>
      <vt:variant>
        <vt:i4>0</vt:i4>
      </vt:variant>
      <vt:variant>
        <vt:i4>5</vt:i4>
      </vt:variant>
      <vt:variant>
        <vt:lpwstr>https://www.kingcounty.gov/~/media/depts/community-human-services/best-starts-kids/documents/technical-evaluation-reports/Full_Report_-_CCHC.ashx?la=en</vt:lpwstr>
      </vt:variant>
      <vt:variant>
        <vt:lpwstr/>
      </vt:variant>
      <vt:variant>
        <vt:i4>6160474</vt:i4>
      </vt:variant>
      <vt:variant>
        <vt:i4>321</vt:i4>
      </vt:variant>
      <vt:variant>
        <vt:i4>0</vt:i4>
      </vt:variant>
      <vt:variant>
        <vt:i4>5</vt:i4>
      </vt:variant>
      <vt:variant>
        <vt:lpwstr>https://kingcounty.gov/depts/community-human-services/initiatives/best-starts-for-kids/data/0-5/developmental-screening-findings.aspx</vt:lpwstr>
      </vt:variant>
      <vt:variant>
        <vt:lpwstr/>
      </vt:variant>
      <vt:variant>
        <vt:i4>6619194</vt:i4>
      </vt:variant>
      <vt:variant>
        <vt:i4>318</vt:i4>
      </vt:variant>
      <vt:variant>
        <vt:i4>0</vt:i4>
      </vt:variant>
      <vt:variant>
        <vt:i4>5</vt:i4>
      </vt:variant>
      <vt:variant>
        <vt:lpwstr>https://sites.ed.gov/idea/</vt:lpwstr>
      </vt:variant>
      <vt:variant>
        <vt:lpwstr/>
      </vt:variant>
      <vt:variant>
        <vt:i4>5832730</vt:i4>
      </vt:variant>
      <vt:variant>
        <vt:i4>315</vt:i4>
      </vt:variant>
      <vt:variant>
        <vt:i4>0</vt:i4>
      </vt:variant>
      <vt:variant>
        <vt:i4>5</vt:i4>
      </vt:variant>
      <vt:variant>
        <vt:lpwstr>https://kingcounty.gov/~/media/elected/executive/constantine/initiatives/best-starts-for-kids/documents/BSK-Plan-final.ashx?la=en</vt:lpwstr>
      </vt:variant>
      <vt:variant>
        <vt:lpwstr/>
      </vt:variant>
      <vt:variant>
        <vt:i4>393294</vt:i4>
      </vt:variant>
      <vt:variant>
        <vt:i4>312</vt:i4>
      </vt:variant>
      <vt:variant>
        <vt:i4>0</vt:i4>
      </vt:variant>
      <vt:variant>
        <vt:i4>5</vt:i4>
      </vt:variant>
      <vt:variant>
        <vt:lpwstr>https://www.childcare.org/ckfinder/userfiles/files/Kaleidoscope_Play_%26_Learn_Description.pdf</vt:lpwstr>
      </vt:variant>
      <vt:variant>
        <vt:lpwstr/>
      </vt:variant>
      <vt:variant>
        <vt:i4>4849749</vt:i4>
      </vt:variant>
      <vt:variant>
        <vt:i4>309</vt:i4>
      </vt:variant>
      <vt:variant>
        <vt:i4>0</vt:i4>
      </vt:variant>
      <vt:variant>
        <vt:i4>5</vt:i4>
      </vt:variant>
      <vt:variant>
        <vt:lpwstr>https://www.parentchildplus.org/</vt:lpwstr>
      </vt:variant>
      <vt:variant>
        <vt:lpwstr/>
      </vt:variant>
      <vt:variant>
        <vt:i4>8257569</vt:i4>
      </vt:variant>
      <vt:variant>
        <vt:i4>306</vt:i4>
      </vt:variant>
      <vt:variant>
        <vt:i4>0</vt:i4>
      </vt:variant>
      <vt:variant>
        <vt:i4>5</vt:i4>
      </vt:variant>
      <vt:variant>
        <vt:lpwstr>https://kingcounty.gov/depts/health/child-teen-health/nurse-family-partnership.aspx</vt:lpwstr>
      </vt:variant>
      <vt:variant>
        <vt:lpwstr/>
      </vt:variant>
      <vt:variant>
        <vt:i4>393303</vt:i4>
      </vt:variant>
      <vt:variant>
        <vt:i4>303</vt:i4>
      </vt:variant>
      <vt:variant>
        <vt:i4>0</vt:i4>
      </vt:variant>
      <vt:variant>
        <vt:i4>5</vt:i4>
      </vt:variant>
      <vt:variant>
        <vt:lpwstr>https://heckmanequation.org/</vt:lpwstr>
      </vt:variant>
      <vt:variant>
        <vt:lpwstr/>
      </vt:variant>
      <vt:variant>
        <vt:i4>2621503</vt:i4>
      </vt:variant>
      <vt:variant>
        <vt:i4>300</vt:i4>
      </vt:variant>
      <vt:variant>
        <vt:i4>0</vt:i4>
      </vt:variant>
      <vt:variant>
        <vt:i4>5</vt:i4>
      </vt:variant>
      <vt:variant>
        <vt:lpwstr>https://www.urban.org/sites/default/files/publication/61121/310101-Models-for-Increasing-Child-Care-Worker-Compensation.PDF</vt:lpwstr>
      </vt:variant>
      <vt:variant>
        <vt:lpwstr/>
      </vt:variant>
      <vt:variant>
        <vt:i4>3145784</vt:i4>
      </vt:variant>
      <vt:variant>
        <vt:i4>297</vt:i4>
      </vt:variant>
      <vt:variant>
        <vt:i4>0</vt:i4>
      </vt:variant>
      <vt:variant>
        <vt:i4>5</vt:i4>
      </vt:variant>
      <vt:variant>
        <vt:lpwstr>https://childcareawarewa.org/advocacy/</vt:lpwstr>
      </vt:variant>
      <vt:variant>
        <vt:lpwstr/>
      </vt:variant>
      <vt:variant>
        <vt:i4>7078005</vt:i4>
      </vt:variant>
      <vt:variant>
        <vt:i4>294</vt:i4>
      </vt:variant>
      <vt:variant>
        <vt:i4>0</vt:i4>
      </vt:variant>
      <vt:variant>
        <vt:i4>5</vt:i4>
      </vt:variant>
      <vt:variant>
        <vt:lpwstr>https://www.epi.org/publication/child-care-workers-arent-paid-enough-to-make-ends-meet/</vt:lpwstr>
      </vt:variant>
      <vt:variant>
        <vt:lpwstr/>
      </vt:variant>
      <vt:variant>
        <vt:i4>6553640</vt:i4>
      </vt:variant>
      <vt:variant>
        <vt:i4>291</vt:i4>
      </vt:variant>
      <vt:variant>
        <vt:i4>0</vt:i4>
      </vt:variant>
      <vt:variant>
        <vt:i4>5</vt:i4>
      </vt:variant>
      <vt:variant>
        <vt:lpwstr>https://www.dcyf.wa.gov/sites/default/files/pdf/reports/CompensationTechWrkgrpRprt.pdf </vt:lpwstr>
      </vt:variant>
      <vt:variant>
        <vt:lpwstr/>
      </vt:variant>
      <vt:variant>
        <vt:i4>2883622</vt:i4>
      </vt:variant>
      <vt:variant>
        <vt:i4>288</vt:i4>
      </vt:variant>
      <vt:variant>
        <vt:i4>0</vt:i4>
      </vt:variant>
      <vt:variant>
        <vt:i4>5</vt:i4>
      </vt:variant>
      <vt:variant>
        <vt:lpwstr>https://gcc01.safelinks.protection.outlook.com/?url=https%3A%2F%2Fwww.nber.org%2Fpapers%2Fw23489&amp;data=04%7C01%7CKelli.Carroll%40kingcounty.gov%7C04e14391afd34ddfd83a08d8bf3a9549%7Cbae5059a76f049d7999672dfe95d69c7%7C0%7C0%7C637469605614265840%7CUnknown%7CTWFpbGZsb3d8eyJWIjoiMC4wLjAwMDAiLCJQIjoiV2luMzIiLCJBTiI6Ik1haWwiLCJXVCI6Mn0%3D%7C1000&amp;sdata=19c8ZVYhEJc%2Ft%2BbjpVjrFVq4Qy9wtmhRnepUXjFRrDk%3D&amp;reserved=0</vt:lpwstr>
      </vt:variant>
      <vt:variant>
        <vt:lpwstr/>
      </vt:variant>
      <vt:variant>
        <vt:i4>7798817</vt:i4>
      </vt:variant>
      <vt:variant>
        <vt:i4>285</vt:i4>
      </vt:variant>
      <vt:variant>
        <vt:i4>0</vt:i4>
      </vt:variant>
      <vt:variant>
        <vt:i4>5</vt:i4>
      </vt:variant>
      <vt:variant>
        <vt:lpwstr>https://gcc01.safelinks.protection.outlook.com/?url=https%3A%2F%2Fstrongnation.s3.amazonaws.com%2Fdocuments%2F602%2F83bb2275-ce07-4d74-bcee-ff6178daf6bd.pdf%3F1547054862%26inline%3B%2520filename%3D%2522Want%2520to%2520Grow%2520the%2520Economy%3F%2520Fix%2520the%2520Child%2520Care%2520Crisis.pdf%2522&amp;data=04%7C01%7CKelli.Carroll%40kingcounty.gov%7C09b35686bfc744038c7008d8c22488b8%7Cbae5059a76f049d7999672dfe95d69c7%7C0%7C0%7C637472809447045185%7CUnknown%7CTWFpbGZsb3d8eyJWIjoiMC4wLjAwMDAiLCJQIjoiV2luMzIiLCJBTiI6Ik1haWwiLCJXVCI6Mn0%3D%7C1000&amp;sdata=Fj6ws4RRNCdjIRBKqTaXoHG%2BdJVsoYFntKM1okWNKBo%3D&amp;reserved=0</vt:lpwstr>
      </vt:variant>
      <vt:variant>
        <vt:lpwstr/>
      </vt:variant>
      <vt:variant>
        <vt:i4>3342447</vt:i4>
      </vt:variant>
      <vt:variant>
        <vt:i4>282</vt:i4>
      </vt:variant>
      <vt:variant>
        <vt:i4>0</vt:i4>
      </vt:variant>
      <vt:variant>
        <vt:i4>5</vt:i4>
      </vt:variant>
      <vt:variant>
        <vt:lpwstr>https://mkcclegisearch.kingcounty.gov/LegislationDetail.aspx?ID=4661581&amp;GUID=F62BF7D6-9F4C-4473-BE71-9700F05431DA&amp;Options=Advanced&amp;Search=</vt:lpwstr>
      </vt:variant>
      <vt:variant>
        <vt:lpwstr/>
      </vt:variant>
      <vt:variant>
        <vt:i4>4653138</vt:i4>
      </vt:variant>
      <vt:variant>
        <vt:i4>279</vt:i4>
      </vt:variant>
      <vt:variant>
        <vt:i4>0</vt:i4>
      </vt:variant>
      <vt:variant>
        <vt:i4>5</vt:i4>
      </vt:variant>
      <vt:variant>
        <vt:lpwstr>https://www.govinfo.gov/content/pkg/FR-2016-09-30/pdf/2016-22986.pdf</vt:lpwstr>
      </vt:variant>
      <vt:variant>
        <vt:lpwstr/>
      </vt:variant>
      <vt:variant>
        <vt:i4>5046364</vt:i4>
      </vt:variant>
      <vt:variant>
        <vt:i4>276</vt:i4>
      </vt:variant>
      <vt:variant>
        <vt:i4>0</vt:i4>
      </vt:variant>
      <vt:variant>
        <vt:i4>5</vt:i4>
      </vt:variant>
      <vt:variant>
        <vt:lpwstr>https://info.childcareaware.org/hubfs/2019 Price of Care State Sheets/Final-TheUSandtheHighPriceofChildCare-AnExaminationofaBrokenSystem.pdf</vt:lpwstr>
      </vt:variant>
      <vt:variant>
        <vt:lpwstr/>
      </vt:variant>
      <vt:variant>
        <vt:i4>3473494</vt:i4>
      </vt:variant>
      <vt:variant>
        <vt:i4>273</vt:i4>
      </vt:variant>
      <vt:variant>
        <vt:i4>0</vt:i4>
      </vt:variant>
      <vt:variant>
        <vt:i4>5</vt:i4>
      </vt:variant>
      <vt:variant>
        <vt:lpwstr>https://ncearlyeducationcoalition.org/wp-content/uploads/2020/12/Full-Report-%E2%80%93-Building-For-the-Future_-Strong-Policies-for-Babies-and-Families-After-COVID-19-.pdf</vt:lpwstr>
      </vt:variant>
      <vt:variant>
        <vt:lpwstr/>
      </vt:variant>
      <vt:variant>
        <vt:i4>2293875</vt:i4>
      </vt:variant>
      <vt:variant>
        <vt:i4>270</vt:i4>
      </vt:variant>
      <vt:variant>
        <vt:i4>0</vt:i4>
      </vt:variant>
      <vt:variant>
        <vt:i4>5</vt:i4>
      </vt:variant>
      <vt:variant>
        <vt:lpwstr>https://kc1.sharepoint.com/teams/BSKRenewalTeamSite/Shared Documents/09. Implementation Plan/Vogtman, J. and White, C. (2019). Can We Rewrite the Shameful History of Undervaluing Child Care Workers?</vt:lpwstr>
      </vt:variant>
      <vt:variant>
        <vt:lpwstr/>
      </vt:variant>
      <vt:variant>
        <vt:i4>5898307</vt:i4>
      </vt:variant>
      <vt:variant>
        <vt:i4>267</vt:i4>
      </vt:variant>
      <vt:variant>
        <vt:i4>0</vt:i4>
      </vt:variant>
      <vt:variant>
        <vt:i4>5</vt:i4>
      </vt:variant>
      <vt:variant>
        <vt:lpwstr>C:\Users\sospina\AppData\Local\Microsoft\Windows\INetCache\Content.Outlook\I50S9SCC\Best Starts_2020 Annual Report_A2.pdf</vt:lpwstr>
      </vt:variant>
      <vt:variant>
        <vt:lpwstr/>
      </vt:variant>
      <vt:variant>
        <vt:i4>3604597</vt:i4>
      </vt:variant>
      <vt:variant>
        <vt:i4>264</vt:i4>
      </vt:variant>
      <vt:variant>
        <vt:i4>0</vt:i4>
      </vt:variant>
      <vt:variant>
        <vt:i4>5</vt:i4>
      </vt:variant>
      <vt:variant>
        <vt:lpwstr>https://www.childcareaware.org/wp-content/uploads/2016/09/Child-Care-Deserts-report-FINAL2.pdf</vt:lpwstr>
      </vt:variant>
      <vt:variant>
        <vt:lpwstr/>
      </vt:variant>
      <vt:variant>
        <vt:i4>655370</vt:i4>
      </vt:variant>
      <vt:variant>
        <vt:i4>261</vt:i4>
      </vt:variant>
      <vt:variant>
        <vt:i4>0</vt:i4>
      </vt:variant>
      <vt:variant>
        <vt:i4>5</vt:i4>
      </vt:variant>
      <vt:variant>
        <vt:lpwstr>https://ascend.aspeninstitute.org/reducing-the-cliff-effect-to-support-working-families/</vt:lpwstr>
      </vt:variant>
      <vt:variant>
        <vt:lpwstr/>
      </vt:variant>
      <vt:variant>
        <vt:i4>6553654</vt:i4>
      </vt:variant>
      <vt:variant>
        <vt:i4>258</vt:i4>
      </vt:variant>
      <vt:variant>
        <vt:i4>0</vt:i4>
      </vt:variant>
      <vt:variant>
        <vt:i4>5</vt:i4>
      </vt:variant>
      <vt:variant>
        <vt:lpwstr>https://info.childcareaware.org/hubfs/2019 Price of Care State Sheets/Washington.pdf?utm_campaign=2019%20Cost%20of%20Care&amp;utm_source=2019%20COC%20-%20WA</vt:lpwstr>
      </vt:variant>
      <vt:variant>
        <vt:lpwstr/>
      </vt:variant>
      <vt:variant>
        <vt:i4>655370</vt:i4>
      </vt:variant>
      <vt:variant>
        <vt:i4>255</vt:i4>
      </vt:variant>
      <vt:variant>
        <vt:i4>0</vt:i4>
      </vt:variant>
      <vt:variant>
        <vt:i4>5</vt:i4>
      </vt:variant>
      <vt:variant>
        <vt:lpwstr>https://ascend.aspeninstitute.org/reducing-the-cliff-effect-to-support-working-families/</vt:lpwstr>
      </vt:variant>
      <vt:variant>
        <vt:lpwstr/>
      </vt:variant>
      <vt:variant>
        <vt:i4>1966135</vt:i4>
      </vt:variant>
      <vt:variant>
        <vt:i4>252</vt:i4>
      </vt:variant>
      <vt:variant>
        <vt:i4>0</vt:i4>
      </vt:variant>
      <vt:variant>
        <vt:i4>5</vt:i4>
      </vt:variant>
      <vt:variant>
        <vt:lpwstr>https://s3.amazonaws.com/s3.momsrising.org/images/One-Pager_English.pdf</vt:lpwstr>
      </vt:variant>
      <vt:variant>
        <vt:lpwstr/>
      </vt:variant>
      <vt:variant>
        <vt:i4>8126576</vt:i4>
      </vt:variant>
      <vt:variant>
        <vt:i4>249</vt:i4>
      </vt:variant>
      <vt:variant>
        <vt:i4>0</vt:i4>
      </vt:variant>
      <vt:variant>
        <vt:i4>5</vt:i4>
      </vt:variant>
      <vt:variant>
        <vt:lpwstr>https://www.dshs.wa.gov/esa/eligibility-z-manual-ea-z/state-median-income-chart</vt:lpwstr>
      </vt:variant>
      <vt:variant>
        <vt:lpwstr/>
      </vt:variant>
      <vt:variant>
        <vt:i4>6422589</vt:i4>
      </vt:variant>
      <vt:variant>
        <vt:i4>246</vt:i4>
      </vt:variant>
      <vt:variant>
        <vt:i4>0</vt:i4>
      </vt:variant>
      <vt:variant>
        <vt:i4>5</vt:i4>
      </vt:variant>
      <vt:variant>
        <vt:lpwstr>http://lawfilesext.leg.wa.gov/biennium/2021-22/Pdf/Bills/Senate Passed Legislature/5237-S2.PL.pdf?q=20210519103414</vt:lpwstr>
      </vt:variant>
      <vt:variant>
        <vt:lpwstr/>
      </vt:variant>
      <vt:variant>
        <vt:i4>2621496</vt:i4>
      </vt:variant>
      <vt:variant>
        <vt:i4>243</vt:i4>
      </vt:variant>
      <vt:variant>
        <vt:i4>0</vt:i4>
      </vt:variant>
      <vt:variant>
        <vt:i4>5</vt:i4>
      </vt:variant>
      <vt:variant>
        <vt:lpwstr>https://www.seattle.gov/education/for-parents/child-care-and-preschool</vt:lpwstr>
      </vt:variant>
      <vt:variant>
        <vt:lpwstr/>
      </vt:variant>
      <vt:variant>
        <vt:i4>5570590</vt:i4>
      </vt:variant>
      <vt:variant>
        <vt:i4>240</vt:i4>
      </vt:variant>
      <vt:variant>
        <vt:i4>0</vt:i4>
      </vt:variant>
      <vt:variant>
        <vt:i4>5</vt:i4>
      </vt:variant>
      <vt:variant>
        <vt:lpwstr>https://www.dcyf.wa.gov/services/earlylearning-childcare/eceap-headstart</vt:lpwstr>
      </vt:variant>
      <vt:variant>
        <vt:lpwstr/>
      </vt:variant>
      <vt:variant>
        <vt:i4>5570590</vt:i4>
      </vt:variant>
      <vt:variant>
        <vt:i4>237</vt:i4>
      </vt:variant>
      <vt:variant>
        <vt:i4>0</vt:i4>
      </vt:variant>
      <vt:variant>
        <vt:i4>5</vt:i4>
      </vt:variant>
      <vt:variant>
        <vt:lpwstr>https://www.dcyf.wa.gov/services/earlylearning-childcare/eceap-headstart</vt:lpwstr>
      </vt:variant>
      <vt:variant>
        <vt:lpwstr/>
      </vt:variant>
      <vt:variant>
        <vt:i4>2424933</vt:i4>
      </vt:variant>
      <vt:variant>
        <vt:i4>234</vt:i4>
      </vt:variant>
      <vt:variant>
        <vt:i4>0</vt:i4>
      </vt:variant>
      <vt:variant>
        <vt:i4>5</vt:i4>
      </vt:variant>
      <vt:variant>
        <vt:lpwstr>https://dcyf.wa.gov/services/earlylearning-childcare/getting-help/wccc</vt:lpwstr>
      </vt:variant>
      <vt:variant>
        <vt:lpwstr/>
      </vt:variant>
      <vt:variant>
        <vt:i4>5111873</vt:i4>
      </vt:variant>
      <vt:variant>
        <vt:i4>231</vt:i4>
      </vt:variant>
      <vt:variant>
        <vt:i4>0</vt:i4>
      </vt:variant>
      <vt:variant>
        <vt:i4>5</vt:i4>
      </vt:variant>
      <vt:variant>
        <vt:lpwstr>http://acycpjournal.pitt.edu/ojs/jcycw/article/view/70/54</vt:lpwstr>
      </vt:variant>
      <vt:variant>
        <vt:lpwstr/>
      </vt:variant>
      <vt:variant>
        <vt:i4>393303</vt:i4>
      </vt:variant>
      <vt:variant>
        <vt:i4>228</vt:i4>
      </vt:variant>
      <vt:variant>
        <vt:i4>0</vt:i4>
      </vt:variant>
      <vt:variant>
        <vt:i4>5</vt:i4>
      </vt:variant>
      <vt:variant>
        <vt:lpwstr>https://heckmanequation.org/</vt:lpwstr>
      </vt:variant>
      <vt:variant>
        <vt:lpwstr/>
      </vt:variant>
      <vt:variant>
        <vt:i4>6488167</vt:i4>
      </vt:variant>
      <vt:variant>
        <vt:i4>225</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6094861</vt:i4>
      </vt:variant>
      <vt:variant>
        <vt:i4>222</vt:i4>
      </vt:variant>
      <vt:variant>
        <vt:i4>0</vt:i4>
      </vt:variant>
      <vt:variant>
        <vt:i4>5</vt:i4>
      </vt:variant>
      <vt:variant>
        <vt:lpwstr>https://mkcclegisearch.kingcounty.gov/LegislationDetail.aspx?ID=4072097&amp;GUID=700C62D6-F2B1-4064-ACA0-A121720F0890&amp;Options=&amp;Search=&amp;FullText=1</vt:lpwstr>
      </vt:variant>
      <vt:variant>
        <vt:lpwstr/>
      </vt:variant>
      <vt:variant>
        <vt:i4>1310801</vt:i4>
      </vt:variant>
      <vt:variant>
        <vt:i4>219</vt:i4>
      </vt:variant>
      <vt:variant>
        <vt:i4>0</vt:i4>
      </vt:variant>
      <vt:variant>
        <vt:i4>5</vt:i4>
      </vt:variant>
      <vt:variant>
        <vt:lpwstr>C:\Users\mamiller\Downloads\0148 REPORT - Best Start for Kids Assessment Report October 2020.pdf</vt:lpwstr>
      </vt:variant>
      <vt:variant>
        <vt:lpwstr/>
      </vt:variant>
      <vt:variant>
        <vt:i4>2228348</vt:i4>
      </vt:variant>
      <vt:variant>
        <vt:i4>216</vt:i4>
      </vt:variant>
      <vt:variant>
        <vt:i4>0</vt:i4>
      </vt:variant>
      <vt:variant>
        <vt:i4>5</vt:i4>
      </vt:variant>
      <vt:variant>
        <vt:lpwstr>https://www.kingcounty.gov/depts/assessor/Reports/annual-reports/~/media/depts/assessor/documents/annualreports/2020/20AVByCity.ashx?la=en</vt:lpwstr>
      </vt:variant>
      <vt:variant>
        <vt:lpwstr/>
      </vt:variant>
      <vt:variant>
        <vt:i4>1769538</vt:i4>
      </vt:variant>
      <vt:variant>
        <vt:i4>213</vt:i4>
      </vt:variant>
      <vt:variant>
        <vt:i4>0</vt:i4>
      </vt:variant>
      <vt:variant>
        <vt:i4>5</vt:i4>
      </vt:variant>
      <vt:variant>
        <vt:lpwstr>https://kingcounty.legistar.com/LegislationDetail.aspx?ID=3685952&amp;GUID=1E85F01F-3146-499F-BB69-7F7645D84F03&amp;Options=Advanced&amp;Search=</vt:lpwstr>
      </vt:variant>
      <vt:variant>
        <vt:lpwstr/>
      </vt:variant>
      <vt:variant>
        <vt:i4>2228348</vt:i4>
      </vt:variant>
      <vt:variant>
        <vt:i4>210</vt:i4>
      </vt:variant>
      <vt:variant>
        <vt:i4>0</vt:i4>
      </vt:variant>
      <vt:variant>
        <vt:i4>5</vt:i4>
      </vt:variant>
      <vt:variant>
        <vt:lpwstr>https://www.kingcounty.gov/depts/assessor/Reports/annual-reports/~/media/depts/assessor/documents/annualreports/2020/20AVByCity.ashx?la=en</vt:lpwstr>
      </vt:variant>
      <vt:variant>
        <vt:lpwstr/>
      </vt:variant>
      <vt:variant>
        <vt:i4>6488167</vt:i4>
      </vt:variant>
      <vt:variant>
        <vt:i4>207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131120</vt:i4>
      </vt:variant>
      <vt:variant>
        <vt:i4>204</vt:i4>
      </vt:variant>
      <vt:variant>
        <vt:i4>0</vt:i4>
      </vt:variant>
      <vt:variant>
        <vt:i4>5</vt:i4>
      </vt:variant>
      <vt:variant>
        <vt:lpwstr/>
      </vt:variant>
      <vt:variant>
        <vt:lpwstr>_Data_and_Evaluation</vt:lpwstr>
      </vt:variant>
      <vt:variant>
        <vt:i4>5111873</vt:i4>
      </vt:variant>
      <vt:variant>
        <vt:i4>201</vt:i4>
      </vt:variant>
      <vt:variant>
        <vt:i4>0</vt:i4>
      </vt:variant>
      <vt:variant>
        <vt:i4>5</vt:i4>
      </vt:variant>
      <vt:variant>
        <vt:lpwstr>http://acycpjournal.pitt.edu/ojs/jcycw/article/view/70/54</vt:lpwstr>
      </vt:variant>
      <vt:variant>
        <vt:lpwstr/>
      </vt:variant>
      <vt:variant>
        <vt:i4>2818149</vt:i4>
      </vt:variant>
      <vt:variant>
        <vt:i4>198</vt:i4>
      </vt:variant>
      <vt:variant>
        <vt:i4>0</vt:i4>
      </vt:variant>
      <vt:variant>
        <vt:i4>5</vt:i4>
      </vt:variant>
      <vt:variant>
        <vt:lpwstr>https://cssp.org/our-work/project/youth-thrive/</vt:lpwstr>
      </vt:variant>
      <vt:variant>
        <vt:lpwstr/>
      </vt:variant>
      <vt:variant>
        <vt:i4>6488167</vt:i4>
      </vt:variant>
      <vt:variant>
        <vt:i4>195</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6553705</vt:i4>
      </vt:variant>
      <vt:variant>
        <vt:i4>192</vt:i4>
      </vt:variant>
      <vt:variant>
        <vt:i4>0</vt:i4>
      </vt:variant>
      <vt:variant>
        <vt:i4>5</vt:i4>
      </vt:variant>
      <vt:variant>
        <vt:lpwstr>https://mkcclegisearch.kingcounty.gov/LegislationDetail.aspx?ID=2740623&amp;GUID=BE56F984-F187-4903-86CC-907CE53438AA&amp;Options=Advanced&amp;Search=</vt:lpwstr>
      </vt:variant>
      <vt:variant>
        <vt:lpwstr/>
      </vt:variant>
      <vt:variant>
        <vt:i4>3342440</vt:i4>
      </vt:variant>
      <vt:variant>
        <vt:i4>189</vt:i4>
      </vt:variant>
      <vt:variant>
        <vt:i4>0</vt:i4>
      </vt:variant>
      <vt:variant>
        <vt:i4>5</vt:i4>
      </vt:variant>
      <vt:variant>
        <vt:lpwstr>https://www.kingcounty.gov/council/issues/YouthActionPlan.aspx</vt:lpwstr>
      </vt:variant>
      <vt:variant>
        <vt:lpwstr/>
      </vt:variant>
      <vt:variant>
        <vt:i4>3342448</vt:i4>
      </vt:variant>
      <vt:variant>
        <vt:i4>186</vt:i4>
      </vt:variant>
      <vt:variant>
        <vt:i4>0</vt:i4>
      </vt:variant>
      <vt:variant>
        <vt:i4>5</vt:i4>
      </vt:variant>
      <vt:variant>
        <vt:lpwstr>https://www.kingcounty.gov/depts/community-human-services/initiatives/best-starts-for-kids/advisory-board.aspx</vt:lpwstr>
      </vt:variant>
      <vt:variant>
        <vt:lpwstr/>
      </vt:variant>
      <vt:variant>
        <vt:i4>6226029</vt:i4>
      </vt:variant>
      <vt:variant>
        <vt:i4>183</vt:i4>
      </vt:variant>
      <vt:variant>
        <vt:i4>0</vt:i4>
      </vt:variant>
      <vt:variant>
        <vt:i4>5</vt:i4>
      </vt:variant>
      <vt:variant>
        <vt:lpwstr/>
      </vt:variant>
      <vt:variant>
        <vt:lpwstr>_Community_Engagement_Stakeholders</vt:lpwstr>
      </vt:variant>
      <vt:variant>
        <vt:i4>3080255</vt:i4>
      </vt:variant>
      <vt:variant>
        <vt:i4>180</vt:i4>
      </vt:variant>
      <vt:variant>
        <vt:i4>0</vt:i4>
      </vt:variant>
      <vt:variant>
        <vt:i4>5</vt:i4>
      </vt:variant>
      <vt:variant>
        <vt:lpwstr>https://kingcounty.legistar.com/LegislationDetail.aspx?ID=4913461&amp;GUID=45ED00FB-0BF6-444A-B66A-9E32B176B3A1&amp;FullText=1</vt:lpwstr>
      </vt:variant>
      <vt:variant>
        <vt:lpwstr/>
      </vt:variant>
      <vt:variant>
        <vt:i4>6488167</vt:i4>
      </vt:variant>
      <vt:variant>
        <vt:i4>177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3145767</vt:i4>
      </vt:variant>
      <vt:variant>
        <vt:i4>174</vt:i4>
      </vt:variant>
      <vt:variant>
        <vt:i4>0</vt:i4>
      </vt:variant>
      <vt:variant>
        <vt:i4>5</vt:i4>
      </vt:variant>
      <vt:variant>
        <vt:lpwstr>https://aqua.kingcounty.gov/dnrp/library/dnrp-directors-office/equity-social-justice/201609-ESJ-SP-FULL.pdf</vt:lpwstr>
      </vt:variant>
      <vt:variant>
        <vt:lpwstr/>
      </vt:variant>
      <vt:variant>
        <vt:i4>7078005</vt:i4>
      </vt:variant>
      <vt:variant>
        <vt:i4>171</vt:i4>
      </vt:variant>
      <vt:variant>
        <vt:i4>0</vt:i4>
      </vt:variant>
      <vt:variant>
        <vt:i4>5</vt:i4>
      </vt:variant>
      <vt:variant>
        <vt:lpwstr>https://www.epi.org/publication/child-care-workers-arent-paid-enough-to-make-ends-meet/</vt:lpwstr>
      </vt:variant>
      <vt:variant>
        <vt:lpwstr/>
      </vt:variant>
      <vt:variant>
        <vt:i4>7798799</vt:i4>
      </vt:variant>
      <vt:variant>
        <vt:i4>168</vt:i4>
      </vt:variant>
      <vt:variant>
        <vt:i4>0</vt:i4>
      </vt:variant>
      <vt:variant>
        <vt:i4>5</vt:i4>
      </vt:variant>
      <vt:variant>
        <vt:lpwstr>http://www.commerce.wa.gov/wp-content/uploads/2019/10/Childcare-in-Washington-EWU-Study_FINAL.pdf</vt:lpwstr>
      </vt:variant>
      <vt:variant>
        <vt:lpwstr/>
      </vt:variant>
      <vt:variant>
        <vt:i4>5046364</vt:i4>
      </vt:variant>
      <vt:variant>
        <vt:i4>165</vt:i4>
      </vt:variant>
      <vt:variant>
        <vt:i4>0</vt:i4>
      </vt:variant>
      <vt:variant>
        <vt:i4>5</vt:i4>
      </vt:variant>
      <vt:variant>
        <vt:lpwstr>https://info.childcareaware.org/hubfs/2019 Price of Care State Sheets/Final-TheUSandtheHighPriceofChildCare-AnExaminationofaBrokenSystem.pdf</vt:lpwstr>
      </vt:variant>
      <vt:variant>
        <vt:lpwstr/>
      </vt:variant>
      <vt:variant>
        <vt:i4>3997821</vt:i4>
      </vt:variant>
      <vt:variant>
        <vt:i4>162</vt:i4>
      </vt:variant>
      <vt:variant>
        <vt:i4>0</vt:i4>
      </vt:variant>
      <vt:variant>
        <vt:i4>5</vt:i4>
      </vt:variant>
      <vt:variant>
        <vt:lpwstr>https://www.kingcounty.gov/depts/community-human-services/initiatives/best-starts-for-kids/dashboards/bskhs-combined.aspx?shortname=Basic%20needs%5c%3a%20child%20care</vt:lpwstr>
      </vt:variant>
      <vt:variant>
        <vt:lpwstr/>
      </vt:variant>
      <vt:variant>
        <vt:i4>5177437</vt:i4>
      </vt:variant>
      <vt:variant>
        <vt:i4>159</vt:i4>
      </vt:variant>
      <vt:variant>
        <vt:i4>0</vt:i4>
      </vt:variant>
      <vt:variant>
        <vt:i4>5</vt:i4>
      </vt:variant>
      <vt:variant>
        <vt:lpwstr>https://www.ofm.wa.gov/washington-dataresearch/population-demographics/population-estimates/estimates-april-1-population-age-sex-race-andhispanic-origin</vt:lpwstr>
      </vt:variant>
      <vt:variant>
        <vt:lpwstr/>
      </vt:variant>
      <vt:variant>
        <vt:i4>262214</vt:i4>
      </vt:variant>
      <vt:variant>
        <vt:i4>156</vt:i4>
      </vt:variant>
      <vt:variant>
        <vt:i4>0</vt:i4>
      </vt:variant>
      <vt:variant>
        <vt:i4>5</vt:i4>
      </vt:variant>
      <vt:variant>
        <vt:lpwstr>https://kc1.sharepoint.com/teams/BSKRenewalTeamSite/Shared Documents/09. Implementation Plan/Washington State Department of Commerce Child Care Collaborative Task Force (2019). Recommendations</vt:lpwstr>
      </vt:variant>
      <vt:variant>
        <vt:lpwstr/>
      </vt:variant>
      <vt:variant>
        <vt:i4>5374034</vt:i4>
      </vt:variant>
      <vt:variant>
        <vt:i4>153</vt:i4>
      </vt:variant>
      <vt:variant>
        <vt:i4>0</vt:i4>
      </vt:variant>
      <vt:variant>
        <vt:i4>5</vt:i4>
      </vt:variant>
      <vt:variant>
        <vt:lpwstr>https://www.commerce.wa.gov/wp-content/uploads/2019/11/Report-Child-Care-Collaborative-Task-Force-2019-Final.pdf</vt:lpwstr>
      </vt:variant>
      <vt:variant>
        <vt:lpwstr/>
      </vt:variant>
      <vt:variant>
        <vt:i4>8323173</vt:i4>
      </vt:variant>
      <vt:variant>
        <vt:i4>150</vt:i4>
      </vt:variant>
      <vt:variant>
        <vt:i4>0</vt:i4>
      </vt:variant>
      <vt:variant>
        <vt:i4>5</vt:i4>
      </vt:variant>
      <vt:variant>
        <vt:lpwstr/>
      </vt:variant>
      <vt:variant>
        <vt:lpwstr>_Child_Care</vt:lpwstr>
      </vt:variant>
      <vt:variant>
        <vt:i4>3342447</vt:i4>
      </vt:variant>
      <vt:variant>
        <vt:i4>147</vt:i4>
      </vt:variant>
      <vt:variant>
        <vt:i4>0</vt:i4>
      </vt:variant>
      <vt:variant>
        <vt:i4>5</vt:i4>
      </vt:variant>
      <vt:variant>
        <vt:lpwstr>https://mkcclegisearch.kingcounty.gov/LegislationDetail.aspx?ID=4661581&amp;GUID=F62BF7D6-9F4C-4473-BE71-9700F05431DA&amp;Options=Advanced&amp;Search=</vt:lpwstr>
      </vt:variant>
      <vt:variant>
        <vt:lpwstr/>
      </vt:variant>
      <vt:variant>
        <vt:i4>6684707</vt:i4>
      </vt:variant>
      <vt:variant>
        <vt:i4>144</vt:i4>
      </vt:variant>
      <vt:variant>
        <vt:i4>0</vt:i4>
      </vt:variant>
      <vt:variant>
        <vt:i4>5</vt:i4>
      </vt:variant>
      <vt:variant>
        <vt:lpwstr>https://mkcclegisearch.kingcounty.gov/LegislationDetail.aspx?ID=4072097&amp;GUID=700C62D6-F2B1-4064-ACA0-A121720F0890&amp;Options=&amp;Search=</vt:lpwstr>
      </vt:variant>
      <vt:variant>
        <vt:lpwstr/>
      </vt:variant>
      <vt:variant>
        <vt:i4>6225941</vt:i4>
      </vt:variant>
      <vt:variant>
        <vt:i4>141</vt:i4>
      </vt:variant>
      <vt:variant>
        <vt:i4>0</vt:i4>
      </vt:variant>
      <vt:variant>
        <vt:i4>5</vt:i4>
      </vt:variant>
      <vt:variant>
        <vt:lpwstr>https://kingcounty.gov/depts/community-human-services/initiatives/levy.aspx</vt:lpwstr>
      </vt:variant>
      <vt:variant>
        <vt:lpwstr>:~:text=The%20King%20County%20Veterans%2C%20Seniors,healthy%2C%20productive%20and%20meaningful%20lives</vt:lpwstr>
      </vt:variant>
      <vt:variant>
        <vt:i4>1376285</vt:i4>
      </vt:variant>
      <vt:variant>
        <vt:i4>138</vt:i4>
      </vt:variant>
      <vt:variant>
        <vt:i4>0</vt:i4>
      </vt:variant>
      <vt:variant>
        <vt:i4>5</vt:i4>
      </vt:variant>
      <vt:variant>
        <vt:lpwstr>https://kingcounty.gov/depts/community-human-services/mental-health-substance-abuse/midd.aspx</vt:lpwstr>
      </vt:variant>
      <vt:variant>
        <vt:lpwstr/>
      </vt:variant>
      <vt:variant>
        <vt:i4>7077989</vt:i4>
      </vt:variant>
      <vt:variant>
        <vt:i4>135</vt:i4>
      </vt:variant>
      <vt:variant>
        <vt:i4>0</vt:i4>
      </vt:variant>
      <vt:variant>
        <vt:i4>5</vt:i4>
      </vt:variant>
      <vt:variant>
        <vt:lpwstr>https://mkcclegisearch.kingcounty.gov/LegislationDetail.aspx?ID=2262393&amp;GUID=97785504-F62B-4D30-99EB-B73643996991&amp;Options=Advanced&amp;Search=</vt:lpwstr>
      </vt:variant>
      <vt:variant>
        <vt:lpwstr/>
      </vt:variant>
      <vt:variant>
        <vt:i4>7077997</vt:i4>
      </vt:variant>
      <vt:variant>
        <vt:i4>132</vt:i4>
      </vt:variant>
      <vt:variant>
        <vt:i4>0</vt:i4>
      </vt:variant>
      <vt:variant>
        <vt:i4>5</vt:i4>
      </vt:variant>
      <vt:variant>
        <vt:lpwstr>https://kingcounty.gov/elected/executive/equity-social-justice/strategic-plan.aspx</vt:lpwstr>
      </vt:variant>
      <vt:variant>
        <vt:lpwstr/>
      </vt:variant>
      <vt:variant>
        <vt:i4>6946912</vt:i4>
      </vt:variant>
      <vt:variant>
        <vt:i4>129</vt:i4>
      </vt:variant>
      <vt:variant>
        <vt:i4>0</vt:i4>
      </vt:variant>
      <vt:variant>
        <vt:i4>5</vt:i4>
      </vt:variant>
      <vt:variant>
        <vt:lpwstr>https://mkcclegisearch.kingcounty.gov/LegislationDetail.aspx?ID=1450880&amp;GUID=DB197BF2-B537-4E0D-BCBE-EB515535BEC1&amp;Options=Advanced&amp;Search=</vt:lpwstr>
      </vt:variant>
      <vt:variant>
        <vt:lpwstr/>
      </vt:variant>
      <vt:variant>
        <vt:i4>6291508</vt:i4>
      </vt:variant>
      <vt:variant>
        <vt:i4>126</vt:i4>
      </vt:variant>
      <vt:variant>
        <vt:i4>0</vt:i4>
      </vt:variant>
      <vt:variant>
        <vt:i4>5</vt:i4>
      </vt:variant>
      <vt:variant>
        <vt:lpwstr>https://mkcclegisearch.kingcounty.gov/LegislationDetail.aspx?ID=1912040&amp;GUID=2523ABC0-535F-415D-AB4B-53528CC8E329&amp;Options=Advanced&amp;Search=</vt:lpwstr>
      </vt:variant>
      <vt:variant>
        <vt:lpwstr/>
      </vt:variant>
      <vt:variant>
        <vt:i4>1048667</vt:i4>
      </vt:variant>
      <vt:variant>
        <vt:i4>123</vt:i4>
      </vt:variant>
      <vt:variant>
        <vt:i4>0</vt:i4>
      </vt:variant>
      <vt:variant>
        <vt:i4>5</vt:i4>
      </vt:variant>
      <vt:variant>
        <vt:lpwstr>https://mkcclegisearch.kingcounty.gov/LegislationDetail.aspx?ID=660111&amp;GUID=0D42D9E0-FE16-41D4-A34E-C3F4DED7D62C&amp;Options=Advanced&amp;Search=&amp;FullText=1</vt:lpwstr>
      </vt:variant>
      <vt:variant>
        <vt:lpwstr/>
      </vt:variant>
      <vt:variant>
        <vt:i4>7077997</vt:i4>
      </vt:variant>
      <vt:variant>
        <vt:i4>120</vt:i4>
      </vt:variant>
      <vt:variant>
        <vt:i4>0</vt:i4>
      </vt:variant>
      <vt:variant>
        <vt:i4>5</vt:i4>
      </vt:variant>
      <vt:variant>
        <vt:lpwstr>https://kingcounty.gov/elected/executive/equity-social-justice/strategic-plan.aspx</vt:lpwstr>
      </vt:variant>
      <vt:variant>
        <vt:lpwstr/>
      </vt:variant>
      <vt:variant>
        <vt:i4>7077989</vt:i4>
      </vt:variant>
      <vt:variant>
        <vt:i4>117</vt:i4>
      </vt:variant>
      <vt:variant>
        <vt:i4>0</vt:i4>
      </vt:variant>
      <vt:variant>
        <vt:i4>5</vt:i4>
      </vt:variant>
      <vt:variant>
        <vt:lpwstr>https://mkcclegisearch.kingcounty.gov/LegislationDetail.aspx?ID=2262393&amp;GUID=97785504-F62B-4D30-99EB-B73643996991&amp;Options=Advanced&amp;Search=</vt:lpwstr>
      </vt:variant>
      <vt:variant>
        <vt:lpwstr/>
      </vt:variant>
      <vt:variant>
        <vt:i4>6946912</vt:i4>
      </vt:variant>
      <vt:variant>
        <vt:i4>114</vt:i4>
      </vt:variant>
      <vt:variant>
        <vt:i4>0</vt:i4>
      </vt:variant>
      <vt:variant>
        <vt:i4>5</vt:i4>
      </vt:variant>
      <vt:variant>
        <vt:lpwstr>https://mkcclegisearch.kingcounty.gov/LegislationDetail.aspx?ID=1450880&amp;GUID=DB197BF2-B537-4E0D-BCBE-EB515535BEC1&amp;Options=Advanced&amp;Search=</vt:lpwstr>
      </vt:variant>
      <vt:variant>
        <vt:lpwstr/>
      </vt:variant>
      <vt:variant>
        <vt:i4>1114198</vt:i4>
      </vt:variant>
      <vt:variant>
        <vt:i4>111</vt:i4>
      </vt:variant>
      <vt:variant>
        <vt:i4>0</vt:i4>
      </vt:variant>
      <vt:variant>
        <vt:i4>5</vt:i4>
      </vt:variant>
      <vt:variant>
        <vt:lpwstr>https://tinyurl.com/y7m8ddkg</vt:lpwstr>
      </vt:variant>
      <vt:variant>
        <vt:lpwstr/>
      </vt:variant>
      <vt:variant>
        <vt:i4>1114198</vt:i4>
      </vt:variant>
      <vt:variant>
        <vt:i4>108</vt:i4>
      </vt:variant>
      <vt:variant>
        <vt:i4>0</vt:i4>
      </vt:variant>
      <vt:variant>
        <vt:i4>5</vt:i4>
      </vt:variant>
      <vt:variant>
        <vt:lpwstr>https://tinyurl.com/y7m8ddkg</vt:lpwstr>
      </vt:variant>
      <vt:variant>
        <vt:lpwstr/>
      </vt:variant>
      <vt:variant>
        <vt:i4>6553655</vt:i4>
      </vt:variant>
      <vt:variant>
        <vt:i4>105</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1310833</vt:i4>
      </vt:variant>
      <vt:variant>
        <vt:i4>102</vt:i4>
      </vt:variant>
      <vt:variant>
        <vt:i4>0</vt:i4>
      </vt:variant>
      <vt:variant>
        <vt:i4>5</vt:i4>
      </vt:variant>
      <vt:variant>
        <vt:lpwstr/>
      </vt:variant>
      <vt:variant>
        <vt:lpwstr>_Best_Starts_2016-2021</vt:lpwstr>
      </vt:variant>
      <vt:variant>
        <vt:i4>5111873</vt:i4>
      </vt:variant>
      <vt:variant>
        <vt:i4>99</vt:i4>
      </vt:variant>
      <vt:variant>
        <vt:i4>0</vt:i4>
      </vt:variant>
      <vt:variant>
        <vt:i4>5</vt:i4>
      </vt:variant>
      <vt:variant>
        <vt:lpwstr>http://acycpjournal.pitt.edu/ojs/jcycw/article/view/70/54</vt:lpwstr>
      </vt:variant>
      <vt:variant>
        <vt:lpwstr/>
      </vt:variant>
      <vt:variant>
        <vt:i4>393303</vt:i4>
      </vt:variant>
      <vt:variant>
        <vt:i4>96</vt:i4>
      </vt:variant>
      <vt:variant>
        <vt:i4>0</vt:i4>
      </vt:variant>
      <vt:variant>
        <vt:i4>5</vt:i4>
      </vt:variant>
      <vt:variant>
        <vt:lpwstr>https://heckmanequation.org/</vt:lpwstr>
      </vt:variant>
      <vt:variant>
        <vt:lpwstr/>
      </vt:variant>
      <vt:variant>
        <vt:i4>7864355</vt:i4>
      </vt:variant>
      <vt:variant>
        <vt:i4>93</vt:i4>
      </vt:variant>
      <vt:variant>
        <vt:i4>0</vt:i4>
      </vt:variant>
      <vt:variant>
        <vt:i4>5</vt:i4>
      </vt:variant>
      <vt:variant>
        <vt:lpwstr>https://www.kingcounty.gov/depts/community-human-services/initiatives/best-starts-for-kids/programs/awards.aspx</vt:lpwstr>
      </vt:variant>
      <vt:variant>
        <vt:lpwstr/>
      </vt:variant>
      <vt:variant>
        <vt:i4>6553655</vt:i4>
      </vt:variant>
      <vt:variant>
        <vt:i4>90</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6488167</vt:i4>
      </vt:variant>
      <vt:variant>
        <vt:i4>87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3997810</vt:i4>
      </vt:variant>
      <vt:variant>
        <vt:i4>84</vt:i4>
      </vt:variant>
      <vt:variant>
        <vt:i4>0</vt:i4>
      </vt:variant>
      <vt:variant>
        <vt:i4>5</vt:i4>
      </vt:variant>
      <vt:variant>
        <vt:lpwstr>https://mkcclegisearch.kingcounty.gov/Legislation.aspx</vt:lpwstr>
      </vt:variant>
      <vt:variant>
        <vt:lpwstr/>
      </vt:variant>
      <vt:variant>
        <vt:i4>3670078</vt:i4>
      </vt:variant>
      <vt:variant>
        <vt:i4>81</vt:i4>
      </vt:variant>
      <vt:variant>
        <vt:i4>0</vt:i4>
      </vt:variant>
      <vt:variant>
        <vt:i4>5</vt:i4>
      </vt:variant>
      <vt:variant>
        <vt:lpwstr>https://mkcclegisearch.kingcounty.gov/LegislationDetail.aspx?ID=2272643&amp;GUID=CBE73912-E2E8-440D-A87C-90A0E4B7C0DE&amp;Options=Advanced&amp;Search=</vt:lpwstr>
      </vt:variant>
      <vt:variant>
        <vt:lpwstr/>
      </vt:variant>
      <vt:variant>
        <vt:i4>7536754</vt:i4>
      </vt:variant>
      <vt:variant>
        <vt:i4>78</vt:i4>
      </vt:variant>
      <vt:variant>
        <vt:i4>0</vt:i4>
      </vt:variant>
      <vt:variant>
        <vt:i4>5</vt:i4>
      </vt:variant>
      <vt:variant>
        <vt:lpwstr>https://app.leg.wa.gov/rcw/default.aspx?cite=84.55.050</vt:lpwstr>
      </vt:variant>
      <vt:variant>
        <vt:lpwstr/>
      </vt:variant>
      <vt:variant>
        <vt:i4>7602294</vt:i4>
      </vt:variant>
      <vt:variant>
        <vt:i4>75</vt:i4>
      </vt:variant>
      <vt:variant>
        <vt:i4>0</vt:i4>
      </vt:variant>
      <vt:variant>
        <vt:i4>5</vt:i4>
      </vt:variant>
      <vt:variant>
        <vt:lpwstr>https://app.leg.wa.gov/rcw/default.aspx?cite=84.52.010</vt:lpwstr>
      </vt:variant>
      <vt:variant>
        <vt:lpwstr/>
      </vt:variant>
      <vt:variant>
        <vt:i4>6488167</vt:i4>
      </vt:variant>
      <vt:variant>
        <vt:i4>72</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917585</vt:i4>
      </vt:variant>
      <vt:variant>
        <vt:i4>69</vt:i4>
      </vt:variant>
      <vt:variant>
        <vt:i4>0</vt:i4>
      </vt:variant>
      <vt:variant>
        <vt:i4>5</vt:i4>
      </vt:variant>
      <vt:variant>
        <vt:lpwstr>https://www.healthypeople.gov/2020/topics-objectives/topic/social-determinants-of-health</vt:lpwstr>
      </vt:variant>
      <vt:variant>
        <vt:lpwstr/>
      </vt:variant>
      <vt:variant>
        <vt:i4>3866658</vt:i4>
      </vt:variant>
      <vt:variant>
        <vt:i4>66</vt:i4>
      </vt:variant>
      <vt:variant>
        <vt:i4>0</vt:i4>
      </vt:variant>
      <vt:variant>
        <vt:i4>5</vt:i4>
      </vt:variant>
      <vt:variant>
        <vt:lpwstr>https://kingcounty.gov/~/media/depts/community-human-services/best-starts-kids/documents/technical-evaluation-reports/BSK_COVID-19_Impacts_Report_through_August_2020.ashx?la=en</vt:lpwstr>
      </vt:variant>
      <vt:variant>
        <vt:lpwstr/>
      </vt:variant>
      <vt:variant>
        <vt:i4>6488167</vt:i4>
      </vt:variant>
      <vt:variant>
        <vt:i4>63</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60</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6553705</vt:i4>
      </vt:variant>
      <vt:variant>
        <vt:i4>57</vt:i4>
      </vt:variant>
      <vt:variant>
        <vt:i4>0</vt:i4>
      </vt:variant>
      <vt:variant>
        <vt:i4>5</vt:i4>
      </vt:variant>
      <vt:variant>
        <vt:lpwstr>https://mkcclegisearch.kingcounty.gov/LegislationDetail.aspx?ID=2740623&amp;GUID=BE56F984-F187-4903-86CC-907CE53438AA&amp;Options=Advanced&amp;Search=</vt:lpwstr>
      </vt:variant>
      <vt:variant>
        <vt:lpwstr/>
      </vt:variant>
      <vt:variant>
        <vt:i4>5111873</vt:i4>
      </vt:variant>
      <vt:variant>
        <vt:i4>54</vt:i4>
      </vt:variant>
      <vt:variant>
        <vt:i4>0</vt:i4>
      </vt:variant>
      <vt:variant>
        <vt:i4>5</vt:i4>
      </vt:variant>
      <vt:variant>
        <vt:lpwstr>http://acycpjournal.pitt.edu/ojs/jcycw/article/view/70/54</vt:lpwstr>
      </vt:variant>
      <vt:variant>
        <vt:lpwstr/>
      </vt:variant>
      <vt:variant>
        <vt:i4>393303</vt:i4>
      </vt:variant>
      <vt:variant>
        <vt:i4>51</vt:i4>
      </vt:variant>
      <vt:variant>
        <vt:i4>0</vt:i4>
      </vt:variant>
      <vt:variant>
        <vt:i4>5</vt:i4>
      </vt:variant>
      <vt:variant>
        <vt:lpwstr>https://heckmanequation.org/</vt:lpwstr>
      </vt:variant>
      <vt:variant>
        <vt:lpwstr/>
      </vt:variant>
      <vt:variant>
        <vt:i4>6488167</vt:i4>
      </vt:variant>
      <vt:variant>
        <vt:i4>48</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6094861</vt:i4>
      </vt:variant>
      <vt:variant>
        <vt:i4>45</vt:i4>
      </vt:variant>
      <vt:variant>
        <vt:i4>0</vt:i4>
      </vt:variant>
      <vt:variant>
        <vt:i4>5</vt:i4>
      </vt:variant>
      <vt:variant>
        <vt:lpwstr>https://mkcclegisearch.kingcounty.gov/LegislationDetail.aspx?ID=4072097&amp;GUID=700C62D6-F2B1-4064-ACA0-A121720F0890&amp;Options=&amp;Search=&amp;FullText=1</vt:lpwstr>
      </vt:variant>
      <vt:variant>
        <vt:lpwstr/>
      </vt:variant>
      <vt:variant>
        <vt:i4>1310801</vt:i4>
      </vt:variant>
      <vt:variant>
        <vt:i4>42</vt:i4>
      </vt:variant>
      <vt:variant>
        <vt:i4>0</vt:i4>
      </vt:variant>
      <vt:variant>
        <vt:i4>5</vt:i4>
      </vt:variant>
      <vt:variant>
        <vt:lpwstr>C:\Users\mamiller\Downloads\0148 REPORT - Best Start for Kids Assessment Report October 2020.pdf</vt:lpwstr>
      </vt:variant>
      <vt:variant>
        <vt:lpwstr/>
      </vt:variant>
      <vt:variant>
        <vt:i4>2228348</vt:i4>
      </vt:variant>
      <vt:variant>
        <vt:i4>39</vt:i4>
      </vt:variant>
      <vt:variant>
        <vt:i4>0</vt:i4>
      </vt:variant>
      <vt:variant>
        <vt:i4>5</vt:i4>
      </vt:variant>
      <vt:variant>
        <vt:lpwstr>https://www.kingcounty.gov/depts/assessor/Reports/annual-reports/~/media/depts/assessor/documents/annualreports/2020/20AVByCity.ashx?la=en</vt:lpwstr>
      </vt:variant>
      <vt:variant>
        <vt:lpwstr/>
      </vt:variant>
      <vt:variant>
        <vt:i4>131120</vt:i4>
      </vt:variant>
      <vt:variant>
        <vt:i4>36</vt:i4>
      </vt:variant>
      <vt:variant>
        <vt:i4>0</vt:i4>
      </vt:variant>
      <vt:variant>
        <vt:i4>5</vt:i4>
      </vt:variant>
      <vt:variant>
        <vt:lpwstr/>
      </vt:variant>
      <vt:variant>
        <vt:lpwstr>_Data_and_Evaluation</vt:lpwstr>
      </vt:variant>
      <vt:variant>
        <vt:i4>5111873</vt:i4>
      </vt:variant>
      <vt:variant>
        <vt:i4>33</vt:i4>
      </vt:variant>
      <vt:variant>
        <vt:i4>0</vt:i4>
      </vt:variant>
      <vt:variant>
        <vt:i4>5</vt:i4>
      </vt:variant>
      <vt:variant>
        <vt:lpwstr>http://acycpjournal.pitt.edu/ojs/jcycw/article/view/70/54</vt:lpwstr>
      </vt:variant>
      <vt:variant>
        <vt:lpwstr/>
      </vt:variant>
      <vt:variant>
        <vt:i4>6488167</vt:i4>
      </vt:variant>
      <vt:variant>
        <vt:i4>30</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6357046</vt:i4>
      </vt:variant>
      <vt:variant>
        <vt:i4>27</vt:i4>
      </vt:variant>
      <vt:variant>
        <vt:i4>0</vt:i4>
      </vt:variant>
      <vt:variant>
        <vt:i4>5</vt:i4>
      </vt:variant>
      <vt:variant>
        <vt:lpwstr>https://mkcclegisearch.kingcounty.gov/LegislationDetail.aspx?ID=4913461&amp;GUID=45ED00FB-0BF6-444A-B66A-9E32B176B3A1&amp;Options=Advanced&amp;Search=</vt:lpwstr>
      </vt:variant>
      <vt:variant>
        <vt:lpwstr/>
      </vt:variant>
      <vt:variant>
        <vt:i4>6488167</vt:i4>
      </vt:variant>
      <vt:variant>
        <vt:i4>24</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7077989</vt:i4>
      </vt:variant>
      <vt:variant>
        <vt:i4>21</vt:i4>
      </vt:variant>
      <vt:variant>
        <vt:i4>0</vt:i4>
      </vt:variant>
      <vt:variant>
        <vt:i4>5</vt:i4>
      </vt:variant>
      <vt:variant>
        <vt:lpwstr>https://mkcclegisearch.kingcounty.gov/LegislationDetail.aspx?ID=2262393&amp;GUID=97785504-F62B-4D30-99EB-B73643996991&amp;Options=Advanced&amp;Search=</vt:lpwstr>
      </vt:variant>
      <vt:variant>
        <vt:lpwstr/>
      </vt:variant>
      <vt:variant>
        <vt:i4>6946912</vt:i4>
      </vt:variant>
      <vt:variant>
        <vt:i4>18</vt:i4>
      </vt:variant>
      <vt:variant>
        <vt:i4>0</vt:i4>
      </vt:variant>
      <vt:variant>
        <vt:i4>5</vt:i4>
      </vt:variant>
      <vt:variant>
        <vt:lpwstr>https://mkcclegisearch.kingcounty.gov/LegislationDetail.aspx?ID=1450880&amp;GUID=DB197BF2-B537-4E0D-BCBE-EB515535BEC1&amp;Options=Advanced&amp;Search=</vt:lpwstr>
      </vt:variant>
      <vt:variant>
        <vt:lpwstr/>
      </vt:variant>
      <vt:variant>
        <vt:i4>1114198</vt:i4>
      </vt:variant>
      <vt:variant>
        <vt:i4>15</vt:i4>
      </vt:variant>
      <vt:variant>
        <vt:i4>0</vt:i4>
      </vt:variant>
      <vt:variant>
        <vt:i4>5</vt:i4>
      </vt:variant>
      <vt:variant>
        <vt:lpwstr>https://tinyurl.com/y7m8ddkg</vt:lpwstr>
      </vt:variant>
      <vt:variant>
        <vt:lpwstr/>
      </vt:variant>
      <vt:variant>
        <vt:i4>1114198</vt:i4>
      </vt:variant>
      <vt:variant>
        <vt:i4>12</vt:i4>
      </vt:variant>
      <vt:variant>
        <vt:i4>0</vt:i4>
      </vt:variant>
      <vt:variant>
        <vt:i4>5</vt:i4>
      </vt:variant>
      <vt:variant>
        <vt:lpwstr>https://tinyurl.com/y7m8ddkg</vt:lpwstr>
      </vt:variant>
      <vt:variant>
        <vt:lpwstr/>
      </vt:variant>
      <vt:variant>
        <vt:i4>1114198</vt:i4>
      </vt:variant>
      <vt:variant>
        <vt:i4>9</vt:i4>
      </vt:variant>
      <vt:variant>
        <vt:i4>0</vt:i4>
      </vt:variant>
      <vt:variant>
        <vt:i4>5</vt:i4>
      </vt:variant>
      <vt:variant>
        <vt:lpwstr>https://tinyurl.com/y7m8ddkg</vt:lpwstr>
      </vt:variant>
      <vt:variant>
        <vt:lpwstr/>
      </vt:variant>
      <vt:variant>
        <vt:i4>6553655</vt:i4>
      </vt:variant>
      <vt:variant>
        <vt:i4>6</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3932271</vt:i4>
      </vt:variant>
      <vt:variant>
        <vt:i4>3</vt:i4>
      </vt:variant>
      <vt:variant>
        <vt:i4>0</vt:i4>
      </vt:variant>
      <vt:variant>
        <vt:i4>5</vt:i4>
      </vt:variant>
      <vt:variant>
        <vt:lpwstr>https://mkcclegisearch.kingcounty.gov/LegislationDetail.aspx?ID=4769161&amp;GUID=4D2C08F1-E2A9-4796-BB9F-A628D60163B7&amp;Options=Advanced&amp;Search=</vt:lpwstr>
      </vt:variant>
      <vt:variant>
        <vt:lpwstr/>
      </vt:variant>
      <vt:variant>
        <vt:i4>6488167</vt:i4>
      </vt:variant>
      <vt:variant>
        <vt:i4>0</vt:i4>
      </vt:variant>
      <vt:variant>
        <vt:i4>0</vt:i4>
      </vt:variant>
      <vt:variant>
        <vt:i4>5</vt:i4>
      </vt:variant>
      <vt:variant>
        <vt:lpwstr>https://mkcclegisearch.kingcounty.gov/LegislationDetail.aspx?ID=4769147&amp;GUID=D66186DB-DAAC-46FC-8A44-CC5FD645AC09&amp;Options=Advanced&amp;Search=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NEW</dc:title>
  <dc:subject>Department of Community and Human Services        Public Health – Seattle King County</dc:subject>
  <dc:creator>Author</dc:creator>
  <cp:keywords/>
  <dc:description/>
  <cp:lastModifiedBy>Capestany, Sheila</cp:lastModifiedBy>
  <cp:revision>2</cp:revision>
  <cp:lastPrinted>2019-10-09T14:51:00Z</cp:lastPrinted>
  <dcterms:created xsi:type="dcterms:W3CDTF">2021-11-02T21:47:00Z</dcterms:created>
  <dcterms:modified xsi:type="dcterms:W3CDTF">2021-11-02T21:47:00Z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0x010100D03C1FEDB24A304B88B22491CFC0976900439C0B438D39E641BC7BB72D65436508</vt:lpwstr>
  </property>
  <property fmtid="{D5CDD505-2E9C-101B-9397-08002B2CF9AE}" pid="3" name="_dlc_DocIdItemGuid">
    <vt:lpwstr>f1dbe449-0f1b-4efd-a0de-ff6d03cf94d0</vt:lpwstr>
  </property>
  <property fmtid="{D5CDD505-2E9C-101B-9397-08002B2CF9AE}" pid="4" name="ComplianceAssetId">
    <vt:lpwstr/>
  </property>
  <property fmtid="{D5CDD505-2E9C-101B-9397-08002B2CF9AE}" pid="5" name="Order">
    <vt:r8>3700</vt:r8>
  </property>
  <property fmtid="{D5CDD505-2E9C-101B-9397-08002B2CF9AE}" pid="6" name="_ExtendedDescription">
    <vt:lpwstr/>
  </property>
</Properties>
</file>