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976BB4">
        <w:rPr>
          <w:rFonts w:ascii="CG Times (W1)" w:hAnsi="CG Times (W1)"/>
          <w:sz w:val="22"/>
          <w:szCs w:val="22"/>
        </w:rPr>
        <w:t>6</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E85884">
        <w:rPr>
          <w:rFonts w:ascii="CG Times (W1)" w:hAnsi="CG Times (W1)"/>
          <w:sz w:val="22"/>
          <w:szCs w:val="22"/>
        </w:rPr>
        <w:t xml:space="preserve">April </w:t>
      </w:r>
      <w:r w:rsidR="00976BB4">
        <w:rPr>
          <w:rFonts w:ascii="CG Times (W1)" w:hAnsi="CG Times (W1)"/>
          <w:sz w:val="22"/>
          <w:szCs w:val="22"/>
        </w:rPr>
        <w:t>16</w:t>
      </w:r>
      <w:r w:rsidR="0002312C">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w:t>
      </w:r>
      <w:r w:rsidR="00976BB4">
        <w:t>April 5</w:t>
      </w:r>
      <w:r>
        <w:t xml:space="preserve">, 2020 to </w:t>
      </w:r>
      <w:r w:rsidR="003048FB">
        <w:t>April</w:t>
      </w:r>
      <w:r>
        <w:t xml:space="preserve"> </w:t>
      </w:r>
      <w:r w:rsidR="00976BB4">
        <w:t>11</w:t>
      </w:r>
      <w:r>
        <w:t>, 2020</w:t>
      </w:r>
    </w:p>
    <w:p w:rsidR="002C6242" w:rsidRDefault="002C6242" w:rsidP="00212C39"/>
    <w:p w:rsidR="00A2196C" w:rsidRDefault="006F4B31" w:rsidP="00212C39">
      <w:r>
        <w:t xml:space="preserve">The </w:t>
      </w:r>
      <w:r w:rsidR="007776EC">
        <w:t>Governor</w:t>
      </w:r>
      <w:r w:rsidR="00A2196C">
        <w:t xml:space="preserve">’s </w:t>
      </w:r>
      <w:r>
        <w:t xml:space="preserve">Stay Home, Stay Healthy </w:t>
      </w:r>
      <w:r w:rsidR="00451859">
        <w:t xml:space="preserve">order </w:t>
      </w:r>
      <w:r w:rsidR="00A2196C">
        <w:t xml:space="preserve">continues to be in effect but </w:t>
      </w:r>
      <w:r w:rsidR="00451859">
        <w:t>some</w:t>
      </w:r>
      <w:r w:rsidR="00A2196C">
        <w:t xml:space="preserve"> have turned to thoughts about re-opening the economy</w:t>
      </w:r>
      <w:r w:rsidR="00451859">
        <w:t xml:space="preserve"> as the rate of infection appears to be slowing</w:t>
      </w:r>
      <w:r w:rsidR="00A2196C">
        <w:t xml:space="preserve">. We know the following </w:t>
      </w:r>
      <w:r w:rsidR="00D261CB">
        <w:t>restrictions</w:t>
      </w:r>
      <w:r w:rsidR="00A2196C">
        <w:t xml:space="preserve"> exist:</w:t>
      </w:r>
    </w:p>
    <w:p w:rsidR="00451859" w:rsidRDefault="00451859" w:rsidP="00451859">
      <w:pPr>
        <w:ind w:firstLine="720"/>
      </w:pPr>
    </w:p>
    <w:p w:rsidR="00A2196C" w:rsidRDefault="00A2196C" w:rsidP="00451859">
      <w:pPr>
        <w:ind w:firstLine="720"/>
      </w:pPr>
      <w:r>
        <w:t>-Stay Home, Sta</w:t>
      </w:r>
      <w:r w:rsidR="00440930">
        <w:t>y</w:t>
      </w:r>
      <w:r>
        <w:t xml:space="preserve"> Healthy in effect until May 4</w:t>
      </w:r>
    </w:p>
    <w:p w:rsidR="00A2196C" w:rsidRDefault="00A2196C" w:rsidP="00451859">
      <w:pPr>
        <w:ind w:firstLine="720"/>
      </w:pPr>
      <w:r>
        <w:t>-Ban on non-critical medical and dental procedures through May 18</w:t>
      </w:r>
    </w:p>
    <w:p w:rsidR="00A2196C" w:rsidRDefault="00A2196C" w:rsidP="00451859">
      <w:pPr>
        <w:ind w:firstLine="720"/>
      </w:pPr>
      <w:r>
        <w:t>-School closures through June</w:t>
      </w:r>
      <w:r w:rsidR="00183FE7">
        <w:t xml:space="preserve"> 19</w:t>
      </w:r>
    </w:p>
    <w:p w:rsidR="00183FE7" w:rsidRDefault="00183FE7" w:rsidP="00212C39"/>
    <w:p w:rsidR="00183FE7" w:rsidRDefault="00183FE7" w:rsidP="00212C39">
      <w:r>
        <w:t>This week the Governor announced Washington would be coordinating closely with Oregon and California on plans to re-open the economy. The governor said we will use health outcomes based on science in any plan.In a news conference yesterday</w:t>
      </w:r>
      <w:r w:rsidR="00451859">
        <w:t>,</w:t>
      </w:r>
      <w:r>
        <w:t xml:space="preserve"> the </w:t>
      </w:r>
      <w:r w:rsidR="00D261CB">
        <w:t>Governor</w:t>
      </w:r>
      <w:r>
        <w:t xml:space="preserve"> indicated we will be opening the economy in phases</w:t>
      </w:r>
      <w:r w:rsidR="00BE293F">
        <w:t xml:space="preserve"> and it </w:t>
      </w:r>
      <w:r>
        <w:t xml:space="preserve">“…will not be a light </w:t>
      </w:r>
      <w:r w:rsidR="00D261CB">
        <w:t>switch</w:t>
      </w:r>
      <w:r>
        <w:t xml:space="preserve">, on and off, it will be a dial”. This reflects the fact that opening the economy means more interaction and likely an increase in infections and so we will be in a balancing act that will involve more testing, </w:t>
      </w:r>
      <w:r w:rsidR="00BE293F">
        <w:t xml:space="preserve">likely </w:t>
      </w:r>
      <w:r>
        <w:t xml:space="preserve">some sort of </w:t>
      </w:r>
      <w:r w:rsidR="00D261CB">
        <w:t>contact</w:t>
      </w:r>
      <w:r>
        <w:t xml:space="preserve"> tracing program, </w:t>
      </w:r>
      <w:r w:rsidR="00451859">
        <w:t xml:space="preserve">and </w:t>
      </w:r>
      <w:r w:rsidR="00BA5A0D">
        <w:t xml:space="preserve">continued distancing </w:t>
      </w:r>
      <w:r w:rsidR="00451859">
        <w:t xml:space="preserve">measures </w:t>
      </w:r>
      <w:r w:rsidR="00BA5A0D">
        <w:t xml:space="preserve">that might vary based on infection rates until either enough people get infected that the virus can’t spread more (i.e. herd immunity) or we have a vaccine which appears to be a year or more out. All of this suggests we will not be back to </w:t>
      </w:r>
      <w:r w:rsidR="00BE293F">
        <w:t xml:space="preserve">pre-covid </w:t>
      </w:r>
      <w:r w:rsidR="00BA5A0D">
        <w:t>normal for a while.</w:t>
      </w:r>
      <w:r w:rsidR="007D2BD5">
        <w:t xml:space="preserve"> </w:t>
      </w:r>
      <w:r w:rsidR="00451859">
        <w:t>As a tangible example, a</w:t>
      </w:r>
      <w:r w:rsidR="007D2BD5">
        <w:t xml:space="preserve"> recent Sound Cities memo indicates many communities have already cancelled some</w:t>
      </w:r>
      <w:r w:rsidR="00451859">
        <w:t xml:space="preserve"> or all</w:t>
      </w:r>
      <w:r w:rsidR="007D2BD5">
        <w:t xml:space="preserve"> summer </w:t>
      </w:r>
      <w:r w:rsidR="00451859">
        <w:t>festivals</w:t>
      </w:r>
      <w:r w:rsidR="007D2BD5">
        <w:t xml:space="preserve"> like 4</w:t>
      </w:r>
      <w:r w:rsidR="007D2BD5" w:rsidRPr="007D2BD5">
        <w:rPr>
          <w:vertAlign w:val="superscript"/>
        </w:rPr>
        <w:t>th</w:t>
      </w:r>
      <w:r w:rsidR="007D2BD5">
        <w:t xml:space="preserve"> of July celebrations or local </w:t>
      </w:r>
      <w:r w:rsidR="00451859">
        <w:t xml:space="preserve">theme </w:t>
      </w:r>
      <w:r w:rsidR="007D2BD5">
        <w:t>festivals (Sound Cities Association, 4-15-20).</w:t>
      </w:r>
    </w:p>
    <w:p w:rsidR="00A2196C" w:rsidRDefault="00A2196C" w:rsidP="00212C39"/>
    <w:p w:rsidR="007776EC" w:rsidRDefault="00BA5A0D" w:rsidP="00212C39">
      <w:r>
        <w:t xml:space="preserve">Last week Airbus announced it would cut its production rate by about 35% compared with 2019 levels. </w:t>
      </w:r>
      <w:r w:rsidR="00FF18C4">
        <w:t>A recent analysis (Business Insider, 4-15-20) suggested Boeing will follow suit when it gets back to production again by reducing the rate for the 787 Dreamliner. A big uncertainty is when the 737 Max will be able to fly and th</w:t>
      </w:r>
      <w:r w:rsidR="00BE293F">
        <w:t>e</w:t>
      </w:r>
      <w:r w:rsidR="00FF18C4">
        <w:t xml:space="preserve"> analysis assumed it would be 2020:3Q. With about 400 finished planes currently parked</w:t>
      </w:r>
      <w:r w:rsidR="00440930">
        <w:t>,</w:t>
      </w:r>
      <w:r w:rsidR="00FF18C4">
        <w:t xml:space="preserve"> any re-start of production is likely to be at low rates. Boeing did re-open production of the K-46 tanker and the P-8 subchaser and c</w:t>
      </w:r>
      <w:r w:rsidR="00BE293F">
        <w:t xml:space="preserve">alled back about 2,500 workers </w:t>
      </w:r>
      <w:r w:rsidR="005764A0">
        <w:t xml:space="preserve">this week </w:t>
      </w:r>
      <w:r w:rsidR="00BE293F">
        <w:t xml:space="preserve">but lower </w:t>
      </w:r>
      <w:r w:rsidR="00440930">
        <w:t xml:space="preserve">production </w:t>
      </w:r>
      <w:r w:rsidR="00BE293F">
        <w:t>rates suggest we may see longer term employment impacts.</w:t>
      </w:r>
    </w:p>
    <w:p w:rsidR="00FF18C4" w:rsidRDefault="00FF18C4" w:rsidP="00212C39"/>
    <w:p w:rsidR="00315F77" w:rsidRDefault="00EA5AA3" w:rsidP="009F51D4">
      <w:r>
        <w:t xml:space="preserve">Otherwise, the economy continues to be largely shuttered. Construction activity continues to be mostly stopped unless it </w:t>
      </w:r>
      <w:r w:rsidR="006F52B1">
        <w:t>“further</w:t>
      </w:r>
      <w:r w:rsidR="00BE293F">
        <w:t>s</w:t>
      </w:r>
      <w:r w:rsidR="006F52B1">
        <w:t xml:space="preserve"> a public purpose”, </w:t>
      </w:r>
      <w:r>
        <w:t xml:space="preserve">or is </w:t>
      </w:r>
      <w:r w:rsidR="006F52B1">
        <w:t>related to emergency repairs. Per media reports, work continue</w:t>
      </w:r>
      <w:r w:rsidR="00BE293F">
        <w:t>s</w:t>
      </w:r>
      <w:r w:rsidR="006F52B1">
        <w:t xml:space="preserve"> on the Key Arena remodel</w:t>
      </w:r>
      <w:r w:rsidR="00336153">
        <w:t xml:space="preserve"> and </w:t>
      </w:r>
      <w:r w:rsidR="006F52B1">
        <w:t xml:space="preserve">the </w:t>
      </w:r>
      <w:r w:rsidR="00336153">
        <w:t>W</w:t>
      </w:r>
      <w:r w:rsidR="00315F77">
        <w:t xml:space="preserve">ashington State </w:t>
      </w:r>
      <w:r w:rsidR="006F52B1">
        <w:t>Convention Center expansion</w:t>
      </w:r>
      <w:r w:rsidR="00315F77">
        <w:t xml:space="preserve">. Sound Transit </w:t>
      </w:r>
      <w:r>
        <w:t xml:space="preserve">had </w:t>
      </w:r>
      <w:r w:rsidR="00315F77">
        <w:t>suspended all work on its projects</w:t>
      </w:r>
      <w:r>
        <w:t xml:space="preserve"> but reports this week indicate they are continuing work on a limited number of projects</w:t>
      </w:r>
      <w:r w:rsidR="00315F77">
        <w:t xml:space="preserve">. </w:t>
      </w:r>
    </w:p>
    <w:p w:rsidR="00E51011" w:rsidRDefault="00315F77" w:rsidP="00315F77">
      <w:pPr>
        <w:tabs>
          <w:tab w:val="left" w:pos="7125"/>
        </w:tabs>
      </w:pPr>
      <w:r>
        <w:tab/>
      </w:r>
    </w:p>
    <w:p w:rsidR="00EA5AA3" w:rsidRDefault="00337DD4" w:rsidP="009F51D4">
      <w:r>
        <w:t xml:space="preserve">Non-essential physical </w:t>
      </w:r>
      <w:r w:rsidR="00315F77">
        <w:t xml:space="preserve">retail locations </w:t>
      </w:r>
      <w:r w:rsidR="00EA5AA3">
        <w:t xml:space="preserve">continue to be </w:t>
      </w:r>
      <w:r w:rsidR="00315F77">
        <w:t xml:space="preserve">closed under the state’s orders. Many retailers </w:t>
      </w:r>
      <w:r w:rsidR="00EA5AA3">
        <w:t>have furloughed or laid off workers. Visit Seattle</w:t>
      </w:r>
      <w:r w:rsidR="007B6695">
        <w:t xml:space="preserve"> released new numbers </w:t>
      </w:r>
      <w:r w:rsidR="00C2306C">
        <w:t xml:space="preserve">at the end of </w:t>
      </w:r>
      <w:r w:rsidR="007B6695">
        <w:t xml:space="preserve">last week that continue to show the </w:t>
      </w:r>
      <w:r w:rsidR="00D261CB">
        <w:t>impact</w:t>
      </w:r>
      <w:r w:rsidR="007B6695">
        <w:t xml:space="preserve"> on travel and tourism. One survey noted that 65.3% of people surveyed indic</w:t>
      </w:r>
      <w:r w:rsidR="00D261CB">
        <w:t>a</w:t>
      </w:r>
      <w:r w:rsidR="007B6695">
        <w:t xml:space="preserve">ted they had cancelled a trip </w:t>
      </w:r>
      <w:r w:rsidR="005764A0">
        <w:t>although</w:t>
      </w:r>
      <w:r w:rsidR="007B6695">
        <w:t xml:space="preserve"> 53.1% indicat</w:t>
      </w:r>
      <w:r w:rsidR="005764A0">
        <w:t>e</w:t>
      </w:r>
      <w:r w:rsidR="007B6695">
        <w:t xml:space="preserve"> they </w:t>
      </w:r>
      <w:r w:rsidR="00BE293F">
        <w:t xml:space="preserve">still </w:t>
      </w:r>
      <w:r w:rsidR="007B6695">
        <w:t>had plans to travel in the fall. Thirteen city-</w:t>
      </w:r>
      <w:r w:rsidR="00BE293F">
        <w:t>w</w:t>
      </w:r>
      <w:r w:rsidR="007B6695">
        <w:t xml:space="preserve">ide Seattle conventions have either cancelled or postponed through June and about 7,500 hotel rooms are currently “unavailable”. </w:t>
      </w:r>
      <w:r w:rsidR="005764A0">
        <w:t>Hotel r</w:t>
      </w:r>
      <w:r w:rsidR="007B6695">
        <w:t>evenues continue to track about 90% below last year for most hotels (Sea-Tac area hotels are down about 70%).</w:t>
      </w:r>
    </w:p>
    <w:p w:rsidR="00BE293F" w:rsidRDefault="00BE293F" w:rsidP="009F51D4"/>
    <w:p w:rsidR="007D2BD5" w:rsidRDefault="005764A0" w:rsidP="009F51D4">
      <w:r>
        <w:t>I</w:t>
      </w:r>
      <w:r w:rsidR="00BE293F">
        <w:t xml:space="preserve">ncreasing strains </w:t>
      </w:r>
      <w:r>
        <w:t>are also being felt by the S</w:t>
      </w:r>
      <w:r w:rsidR="00BE293F">
        <w:t xml:space="preserve">tate and local governments. </w:t>
      </w:r>
      <w:r>
        <w:t xml:space="preserve">The </w:t>
      </w:r>
      <w:r w:rsidR="007D2BD5">
        <w:t>W</w:t>
      </w:r>
      <w:r>
        <w:t xml:space="preserve">ashington </w:t>
      </w:r>
      <w:r w:rsidR="007D2BD5">
        <w:t xml:space="preserve">OFM recently sent a letter to </w:t>
      </w:r>
      <w:r>
        <w:t>agency</w:t>
      </w:r>
      <w:r w:rsidR="007D2BD5">
        <w:t xml:space="preserve"> heads</w:t>
      </w:r>
      <w:r>
        <w:t>, statewide elected officials</w:t>
      </w:r>
      <w:r w:rsidR="007D2BD5">
        <w:t xml:space="preserve"> and higher educa</w:t>
      </w:r>
      <w:r>
        <w:t>t</w:t>
      </w:r>
      <w:r w:rsidR="007D2BD5">
        <w:t>ion leaders to begin looking for ways to save money</w:t>
      </w:r>
      <w:r>
        <w:t xml:space="preserve"> this biennium</w:t>
      </w:r>
      <w:r w:rsidR="007D2BD5">
        <w:t xml:space="preserve"> and to start considering how to manage</w:t>
      </w:r>
      <w:r>
        <w:t xml:space="preserve"> further reductions in budget if required by reduced revenues</w:t>
      </w:r>
      <w:r w:rsidR="007D2BD5">
        <w:t>. More K</w:t>
      </w:r>
      <w:r>
        <w:t xml:space="preserve">ing County </w:t>
      </w:r>
      <w:r w:rsidR="007D2BD5">
        <w:t xml:space="preserve">cities are also looking at how to manage increased expenditures </w:t>
      </w:r>
      <w:r>
        <w:t xml:space="preserve">related </w:t>
      </w:r>
      <w:r w:rsidR="007D2BD5">
        <w:t xml:space="preserve">to covid service needs and reduced revenues associated with </w:t>
      </w:r>
      <w:r>
        <w:t xml:space="preserve">lower </w:t>
      </w:r>
      <w:r w:rsidR="007D2BD5">
        <w:t xml:space="preserve">retail sales and business taxes. There is some hope the HR 6467 introduced in the </w:t>
      </w:r>
      <w:r>
        <w:t xml:space="preserve">U.S. </w:t>
      </w:r>
      <w:r w:rsidR="007D2BD5">
        <w:t>House will provide some relief.</w:t>
      </w:r>
    </w:p>
    <w:p w:rsidR="007D2BD5" w:rsidRDefault="007D2BD5" w:rsidP="009F51D4"/>
    <w:p w:rsidR="00582298" w:rsidRDefault="000B66BF" w:rsidP="009F51D4">
      <w:r>
        <w:t>We received our first employment numbers for March from ESD for King and Snohomish counties</w:t>
      </w:r>
      <w:r w:rsidR="00BE293F">
        <w:t xml:space="preserve"> together</w:t>
      </w:r>
      <w:r>
        <w:t xml:space="preserve"> (we get the county level data next week). The data indicated growth of about 1.6% in employment</w:t>
      </w:r>
      <w:r w:rsidR="00BE293F">
        <w:t xml:space="preserve"> in March</w:t>
      </w:r>
      <w:r>
        <w:t xml:space="preserve">. The unemployment values did show the beginning of the </w:t>
      </w:r>
      <w:r w:rsidR="00AA301A">
        <w:t>impacts of c</w:t>
      </w:r>
      <w:r w:rsidR="00440891">
        <w:t xml:space="preserve">ovid </w:t>
      </w:r>
      <w:r>
        <w:t>with unemployment rising from 2.5% in February to 5.5% in March. The conflicting direction of these values likely reflects the fact that they are derived from two different surveys; one measures people by where they live</w:t>
      </w:r>
      <w:r w:rsidR="00440891">
        <w:t xml:space="preserve"> (unemployment)</w:t>
      </w:r>
      <w:r>
        <w:t xml:space="preserve"> and one measures jobs by where they are located </w:t>
      </w:r>
      <w:r w:rsidR="00440891">
        <w:t xml:space="preserve">(employment) </w:t>
      </w:r>
      <w:r>
        <w:t xml:space="preserve">and the early timing of the survey in March. The April values are likely to be far more indicative of the state of the labor market. </w:t>
      </w:r>
    </w:p>
    <w:p w:rsidR="000B66BF" w:rsidRDefault="000B66BF" w:rsidP="009F51D4"/>
    <w:p w:rsidR="004252D3" w:rsidRDefault="00462CC4" w:rsidP="009F51D4">
      <w:r w:rsidRPr="00BE293F">
        <w:t>Other i</w:t>
      </w:r>
      <w:r w:rsidR="00942560" w:rsidRPr="00BE293F">
        <w:t xml:space="preserve">ndicators for </w:t>
      </w:r>
      <w:r w:rsidR="00E51643" w:rsidRPr="00BE293F">
        <w:t xml:space="preserve">last </w:t>
      </w:r>
      <w:r w:rsidR="00942560" w:rsidRPr="00BE293F">
        <w:t xml:space="preserve">week </w:t>
      </w:r>
      <w:r w:rsidR="00BE293F" w:rsidRPr="00BE293F">
        <w:t xml:space="preserve">continued to </w:t>
      </w:r>
      <w:r w:rsidR="00942560" w:rsidRPr="00BE293F">
        <w:t>show the impact of the massive drop in revenues and business that is now leading to furloughs and unemployment</w:t>
      </w:r>
      <w:r w:rsidR="00942560" w:rsidRPr="00264D65">
        <w:t xml:space="preserve">. </w:t>
      </w:r>
      <w:r w:rsidR="00582298" w:rsidRPr="00264D65">
        <w:t>The numbers for the week ending 4/</w:t>
      </w:r>
      <w:r w:rsidR="00264D65" w:rsidRPr="00264D65">
        <w:t>11</w:t>
      </w:r>
      <w:r w:rsidR="00582298" w:rsidRPr="00264D65">
        <w:t xml:space="preserve">/20 saw </w:t>
      </w:r>
      <w:r w:rsidR="00264D65" w:rsidRPr="00264D65">
        <w:t xml:space="preserve">initial </w:t>
      </w:r>
      <w:r w:rsidR="00582298" w:rsidRPr="00264D65">
        <w:t xml:space="preserve">claims in King County </w:t>
      </w:r>
      <w:r w:rsidR="00264D65" w:rsidRPr="00264D65">
        <w:t xml:space="preserve">of 39,796 which is an enormous increase but actually about 16% lower than last week. Manufacturing claims rose a lot this week supporting anecdotal information of layoffs at aerospace suppliers and Boeing. </w:t>
      </w:r>
    </w:p>
    <w:p w:rsidR="00264D65" w:rsidRDefault="00264D65" w:rsidP="009F51D4"/>
    <w:p w:rsidR="004252D3" w:rsidRDefault="00D261CB" w:rsidP="009F51D4">
      <w:r>
        <w:t xml:space="preserve">National data is now reflecting some of the impacts in March. Last week we received the March employment numbers that showed some impact although it was limited due to the surveys </w:t>
      </w:r>
      <w:r w:rsidR="00304639">
        <w:t xml:space="preserve">occurring </w:t>
      </w:r>
      <w:r>
        <w:t xml:space="preserve">relatively early in March. The University of Michigan consumer sentiment survey fell significantly </w:t>
      </w:r>
      <w:r w:rsidR="00440891">
        <w:t>last week. T</w:t>
      </w:r>
      <w:r>
        <w:t>hi</w:t>
      </w:r>
      <w:r w:rsidR="00440891">
        <w:t>s</w:t>
      </w:r>
      <w:r>
        <w:t xml:space="preserve"> week the Nat</w:t>
      </w:r>
      <w:r w:rsidR="00440891">
        <w:t>ional</w:t>
      </w:r>
      <w:r>
        <w:t xml:space="preserve"> Association of Home Builders </w:t>
      </w:r>
      <w:r w:rsidR="00440891">
        <w:t xml:space="preserve">(NAHB) </w:t>
      </w:r>
      <w:r>
        <w:t>released their bui</w:t>
      </w:r>
      <w:r w:rsidR="00440891">
        <w:t>l</w:t>
      </w:r>
      <w:r>
        <w:t xml:space="preserve">ders sentiment survey which </w:t>
      </w:r>
      <w:r w:rsidR="00440891">
        <w:t xml:space="preserve">changed </w:t>
      </w:r>
      <w:r>
        <w:t>from 72 in March to 30 in April</w:t>
      </w:r>
      <w:r w:rsidR="00440891">
        <w:t>, a significant drop for builders.</w:t>
      </w:r>
      <w:r>
        <w:t xml:space="preserve"> March retail sales figures also came in down 8.7% f</w:t>
      </w:r>
      <w:r w:rsidR="00440891">
        <w:t>r</w:t>
      </w:r>
      <w:r>
        <w:t>om February</w:t>
      </w:r>
      <w:r w:rsidR="00440891">
        <w:t>, 2020</w:t>
      </w:r>
      <w:r>
        <w:t xml:space="preserve"> and </w:t>
      </w:r>
      <w:r w:rsidR="004252D3" w:rsidRPr="00D261CB">
        <w:rPr>
          <w:color w:val="222222"/>
          <w:szCs w:val="24"/>
        </w:rPr>
        <w:t xml:space="preserve">reflecting large declines in auto (-25.6%) and gas station sales (-17.2%) but an increase in </w:t>
      </w:r>
      <w:r>
        <w:rPr>
          <w:color w:val="222222"/>
          <w:szCs w:val="24"/>
        </w:rPr>
        <w:t xml:space="preserve">core </w:t>
      </w:r>
      <w:r w:rsidR="004252D3" w:rsidRPr="00D261CB">
        <w:rPr>
          <w:color w:val="222222"/>
          <w:szCs w:val="24"/>
        </w:rPr>
        <w:lastRenderedPageBreak/>
        <w:t>retail</w:t>
      </w:r>
      <w:r>
        <w:rPr>
          <w:color w:val="222222"/>
          <w:szCs w:val="24"/>
        </w:rPr>
        <w:t xml:space="preserve"> sales </w:t>
      </w:r>
      <w:r w:rsidR="004252D3" w:rsidRPr="00D261CB">
        <w:rPr>
          <w:color w:val="222222"/>
          <w:szCs w:val="24"/>
        </w:rPr>
        <w:t>(ex-autos, gasoline, a</w:t>
      </w:r>
      <w:r>
        <w:rPr>
          <w:color w:val="222222"/>
          <w:szCs w:val="24"/>
        </w:rPr>
        <w:t xml:space="preserve">nd building materials) of 1.7%. Components of the report were weak with </w:t>
      </w:r>
      <w:r w:rsidR="004252D3" w:rsidRPr="00D261CB">
        <w:rPr>
          <w:color w:val="222222"/>
          <w:szCs w:val="24"/>
        </w:rPr>
        <w:t xml:space="preserve">large declines in clothing (-50.5%), furniture (-26.8%), food services (-26.5%), and sporting goods (-23.3%) offset by increases in food and beverage purchases (+25.6%), general merchandise (+6.4%), and health and personal care (+4.3%) spending. </w:t>
      </w:r>
    </w:p>
    <w:p w:rsidR="00F77106" w:rsidRDefault="00942560" w:rsidP="009F51D4">
      <w:r>
        <w:t xml:space="preserve"> </w:t>
      </w:r>
    </w:p>
    <w:p w:rsidR="001B06C1" w:rsidRDefault="002A4738" w:rsidP="00BE293F">
      <w:r>
        <w:t xml:space="preserve">The </w:t>
      </w:r>
      <w:r w:rsidR="00BE293F">
        <w:t>International Monetary Fund (IMF) released an updated forecast this week and now predicts that the global economy will experience the worst recession since the Great Depression. It indicates that the U.S. economy will contract about 5.9% in 2020 vs. 4.2% during the 2007-2009 recession</w:t>
      </w:r>
      <w:r w:rsidR="00304639">
        <w:t>.</w:t>
      </w:r>
    </w:p>
    <w:p w:rsidR="001B06C1" w:rsidRDefault="001B06C1" w:rsidP="009F51D4"/>
    <w:p w:rsidR="00645698" w:rsidRDefault="00BE293F" w:rsidP="00365051">
      <w:r>
        <w:t>Fewer a</w:t>
      </w:r>
      <w:r w:rsidR="00C46995">
        <w:t>necdot</w:t>
      </w:r>
      <w:r>
        <w:t>es coming in this week as most things are shuttered and the impacts have been highlighted previou</w:t>
      </w:r>
      <w:r w:rsidR="00440891">
        <w:t>s</w:t>
      </w:r>
      <w:r>
        <w:t xml:space="preserve">ly. </w:t>
      </w:r>
      <w:r w:rsidR="00440891">
        <w:t xml:space="preserve">Those listed </w:t>
      </w:r>
      <w:r w:rsidR="00F41CE7">
        <w:t xml:space="preserve">continue to </w:t>
      </w:r>
      <w:r w:rsidR="006F2990">
        <w:t>s</w:t>
      </w:r>
      <w:r w:rsidR="00F41CE7">
        <w:t>how</w:t>
      </w:r>
      <w:r w:rsidR="006F2990">
        <w:t xml:space="preserve"> the drastic reduction in demand </w:t>
      </w:r>
      <w:r w:rsidR="00645698">
        <w:t>and now the consequent layoffs and furloughs locally.</w:t>
      </w:r>
    </w:p>
    <w:p w:rsidR="00645698" w:rsidRDefault="001D652B" w:rsidP="00365051">
      <w:r w:rsidRPr="001D652B">
        <w:lastRenderedPageBreak/>
        <w:drawing>
          <wp:inline distT="0" distB="0" distL="0" distR="0">
            <wp:extent cx="5942965" cy="88211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380" cy="8832182"/>
                    </a:xfrm>
                    <a:prstGeom prst="rect">
                      <a:avLst/>
                    </a:prstGeom>
                    <a:noFill/>
                    <a:ln>
                      <a:noFill/>
                    </a:ln>
                  </pic:spPr>
                </pic:pic>
              </a:graphicData>
            </a:graphic>
          </wp:inline>
        </w:drawing>
      </w:r>
    </w:p>
    <w:p w:rsidR="00C8554F" w:rsidRPr="00B62916" w:rsidRDefault="00984033" w:rsidP="002C6242">
      <w:pPr>
        <w:widowControl/>
        <w:overflowPunct/>
        <w:autoSpaceDE/>
        <w:autoSpaceDN/>
        <w:adjustRightInd/>
        <w:textAlignment w:val="auto"/>
        <w:rPr>
          <w:b/>
          <w:u w:val="single"/>
        </w:rPr>
      </w:pPr>
      <w:r w:rsidRPr="00B62916">
        <w:rPr>
          <w:b/>
          <w:u w:val="single"/>
        </w:rPr>
        <w:lastRenderedPageBreak/>
        <w:t>Anecdotal by Industry</w:t>
      </w:r>
    </w:p>
    <w:p w:rsidR="00956B49" w:rsidRPr="004E3F98" w:rsidRDefault="00956B49" w:rsidP="00C8554F">
      <w:pPr>
        <w:rPr>
          <w:highlight w:val="yellow"/>
          <w:u w:val="single"/>
        </w:rPr>
      </w:pPr>
    </w:p>
    <w:p w:rsidR="007C4D20" w:rsidRPr="00B62916" w:rsidRDefault="007C4D20" w:rsidP="00C8554F">
      <w:pPr>
        <w:rPr>
          <w:u w:val="single"/>
        </w:rPr>
      </w:pPr>
      <w:r w:rsidRPr="00B62916">
        <w:rPr>
          <w:u w:val="single"/>
        </w:rPr>
        <w:t>Manufacturing</w:t>
      </w:r>
    </w:p>
    <w:p w:rsidR="00B62916" w:rsidRPr="00B62916" w:rsidRDefault="007C4D20" w:rsidP="00C8554F">
      <w:pPr>
        <w:rPr>
          <w:rFonts w:ascii="Calibri" w:hAnsi="Calibri" w:cs="Calibri"/>
        </w:rPr>
      </w:pPr>
      <w:r w:rsidRPr="00B62916">
        <w:rPr>
          <w:rFonts w:ascii="Calibri" w:hAnsi="Calibri" w:cs="Calibri"/>
        </w:rPr>
        <w:t>•</w:t>
      </w:r>
      <w:r w:rsidR="00B62916" w:rsidRPr="00B62916">
        <w:rPr>
          <w:rFonts w:ascii="Calibri" w:hAnsi="Calibri" w:cs="Calibri"/>
        </w:rPr>
        <w:t>Boeing will do a limited re-start for military planes and Moses Lake and is calling back 2,500 employees (PSBJ, 4-10-20)</w:t>
      </w:r>
    </w:p>
    <w:p w:rsidR="007C4D20" w:rsidRPr="004E3F98" w:rsidRDefault="007C4D20" w:rsidP="00C8554F">
      <w:pPr>
        <w:rPr>
          <w:highlight w:val="yellow"/>
        </w:rPr>
      </w:pPr>
    </w:p>
    <w:p w:rsidR="00404802" w:rsidRPr="00735690" w:rsidRDefault="00404802" w:rsidP="00C8554F">
      <w:pPr>
        <w:rPr>
          <w:u w:val="single"/>
        </w:rPr>
      </w:pPr>
      <w:r w:rsidRPr="00735690">
        <w:rPr>
          <w:u w:val="single"/>
        </w:rPr>
        <w:t>Construction</w:t>
      </w:r>
    </w:p>
    <w:p w:rsidR="00EE40FB" w:rsidRPr="00735690" w:rsidRDefault="00D2110E" w:rsidP="00C8554F">
      <w:pPr>
        <w:rPr>
          <w:rFonts w:ascii="Calibri" w:hAnsi="Calibri" w:cs="Calibri"/>
        </w:rPr>
      </w:pPr>
      <w:r w:rsidRPr="00735690">
        <w:rPr>
          <w:rFonts w:ascii="Calibri" w:hAnsi="Calibri" w:cs="Calibri"/>
        </w:rPr>
        <w:t>•</w:t>
      </w:r>
      <w:r w:rsidR="00735690" w:rsidRPr="00735690">
        <w:rPr>
          <w:rFonts w:ascii="Calibri" w:hAnsi="Calibri" w:cs="Calibri"/>
        </w:rPr>
        <w:t xml:space="preserve">N/A </w:t>
      </w:r>
    </w:p>
    <w:p w:rsidR="00735690" w:rsidRPr="004E3F98" w:rsidRDefault="00735690" w:rsidP="00C8554F">
      <w:pPr>
        <w:rPr>
          <w:highlight w:val="yellow"/>
          <w:u w:val="single"/>
        </w:rPr>
      </w:pPr>
    </w:p>
    <w:p w:rsidR="00956B49" w:rsidRPr="00735690" w:rsidRDefault="00956B49" w:rsidP="00C8554F">
      <w:pPr>
        <w:rPr>
          <w:u w:val="single"/>
        </w:rPr>
      </w:pPr>
      <w:r w:rsidRPr="00735690">
        <w:rPr>
          <w:u w:val="single"/>
        </w:rPr>
        <w:t>Retail</w:t>
      </w:r>
    </w:p>
    <w:p w:rsidR="008B2FDC" w:rsidRPr="004156CE" w:rsidRDefault="008B2FDC" w:rsidP="00C8554F">
      <w:pPr>
        <w:rPr>
          <w:rFonts w:ascii="Calibri" w:hAnsi="Calibri" w:cs="Calibri"/>
        </w:rPr>
      </w:pPr>
      <w:r w:rsidRPr="004156CE">
        <w:rPr>
          <w:rFonts w:ascii="Calibri" w:hAnsi="Calibri" w:cs="Calibri"/>
        </w:rPr>
        <w:t xml:space="preserve">•Earnest national </w:t>
      </w:r>
      <w:r w:rsidR="004156CE">
        <w:rPr>
          <w:rFonts w:ascii="Calibri" w:hAnsi="Calibri" w:cs="Calibri"/>
        </w:rPr>
        <w:t xml:space="preserve">spending </w:t>
      </w:r>
      <w:r w:rsidRPr="004156CE">
        <w:rPr>
          <w:rFonts w:ascii="Calibri" w:hAnsi="Calibri" w:cs="Calibri"/>
        </w:rPr>
        <w:t xml:space="preserve">data week ending </w:t>
      </w:r>
      <w:r w:rsidR="004156CE">
        <w:rPr>
          <w:rFonts w:ascii="Calibri" w:hAnsi="Calibri" w:cs="Calibri"/>
        </w:rPr>
        <w:t>4/8/20</w:t>
      </w:r>
      <w:r w:rsidRPr="004156CE">
        <w:rPr>
          <w:rFonts w:ascii="Calibri" w:hAnsi="Calibri" w:cs="Calibri"/>
        </w:rPr>
        <w:t xml:space="preserve">; </w:t>
      </w:r>
      <w:r w:rsidR="004156CE">
        <w:rPr>
          <w:rFonts w:ascii="Calibri" w:hAnsi="Calibri" w:cs="Calibri"/>
        </w:rPr>
        <w:t xml:space="preserve">online grocers +146% (yoy), restaurant spend </w:t>
      </w:r>
      <w:r w:rsidR="0079676F">
        <w:rPr>
          <w:rFonts w:ascii="Calibri" w:hAnsi="Calibri" w:cs="Calibri"/>
        </w:rPr>
        <w:t>“</w:t>
      </w:r>
      <w:r w:rsidR="004156CE">
        <w:rPr>
          <w:rFonts w:ascii="Calibri" w:hAnsi="Calibri" w:cs="Calibri"/>
        </w:rPr>
        <w:t>improved</w:t>
      </w:r>
      <w:r w:rsidR="0079676F">
        <w:rPr>
          <w:rFonts w:ascii="Calibri" w:hAnsi="Calibri" w:cs="Calibri"/>
        </w:rPr>
        <w:t>”</w:t>
      </w:r>
      <w:r w:rsidR="004156CE">
        <w:rPr>
          <w:rFonts w:ascii="Calibri" w:hAnsi="Calibri" w:cs="Calibri"/>
        </w:rPr>
        <w:t xml:space="preserve"> to -30% (yoy), online home furnishings +55% (yoy), online home improvements (+78% yoy)</w:t>
      </w:r>
      <w:r w:rsidR="00EE40FB" w:rsidRPr="004156CE">
        <w:rPr>
          <w:rFonts w:ascii="Calibri" w:hAnsi="Calibri" w:cs="Calibri"/>
        </w:rPr>
        <w:t xml:space="preserve"> (Earnest, </w:t>
      </w:r>
      <w:r w:rsidR="004156CE">
        <w:rPr>
          <w:rFonts w:ascii="Calibri" w:hAnsi="Calibri" w:cs="Calibri"/>
        </w:rPr>
        <w:t>4</w:t>
      </w:r>
      <w:r w:rsidR="00EE40FB" w:rsidRPr="004156CE">
        <w:rPr>
          <w:rFonts w:ascii="Calibri" w:hAnsi="Calibri" w:cs="Calibri"/>
        </w:rPr>
        <w:t>-</w:t>
      </w:r>
      <w:r w:rsidR="004156CE">
        <w:rPr>
          <w:rFonts w:ascii="Calibri" w:hAnsi="Calibri" w:cs="Calibri"/>
        </w:rPr>
        <w:t>15</w:t>
      </w:r>
      <w:r w:rsidR="00EE40FB" w:rsidRPr="004156CE">
        <w:rPr>
          <w:rFonts w:ascii="Calibri" w:hAnsi="Calibri" w:cs="Calibri"/>
        </w:rPr>
        <w:t>-20)</w:t>
      </w:r>
    </w:p>
    <w:p w:rsidR="00735690" w:rsidRPr="00735690" w:rsidRDefault="00437DAB" w:rsidP="00C8554F">
      <w:pPr>
        <w:rPr>
          <w:rFonts w:ascii="Calibri" w:hAnsi="Calibri" w:cs="Calibri"/>
        </w:rPr>
      </w:pPr>
      <w:r w:rsidRPr="00735690">
        <w:rPr>
          <w:rFonts w:ascii="Calibri" w:hAnsi="Calibri" w:cs="Calibri"/>
        </w:rPr>
        <w:t xml:space="preserve">•Costco </w:t>
      </w:r>
      <w:r w:rsidR="00735690" w:rsidRPr="00735690">
        <w:rPr>
          <w:rFonts w:ascii="Calibri" w:hAnsi="Calibri" w:cs="Calibri"/>
        </w:rPr>
        <w:t xml:space="preserve">E-commerce up nearly 50% in </w:t>
      </w:r>
      <w:r w:rsidRPr="00735690">
        <w:rPr>
          <w:rFonts w:ascii="Calibri" w:hAnsi="Calibri" w:cs="Calibri"/>
        </w:rPr>
        <w:t>March</w:t>
      </w:r>
      <w:r w:rsidR="00735690" w:rsidRPr="00735690">
        <w:rPr>
          <w:rFonts w:ascii="Calibri" w:hAnsi="Calibri" w:cs="Calibri"/>
        </w:rPr>
        <w:t xml:space="preserve"> (PSBJ, 4-15-20)</w:t>
      </w:r>
    </w:p>
    <w:p w:rsidR="00984033" w:rsidRPr="004E3F98" w:rsidRDefault="00984033" w:rsidP="00C8554F">
      <w:pPr>
        <w:rPr>
          <w:highlight w:val="yellow"/>
          <w:u w:val="single"/>
        </w:rPr>
      </w:pPr>
    </w:p>
    <w:p w:rsidR="00984033" w:rsidRPr="00735690" w:rsidRDefault="00984033" w:rsidP="00C8554F">
      <w:pPr>
        <w:rPr>
          <w:u w:val="single"/>
        </w:rPr>
      </w:pPr>
      <w:r w:rsidRPr="00735690">
        <w:rPr>
          <w:u w:val="single"/>
        </w:rPr>
        <w:t>Hotels</w:t>
      </w:r>
    </w:p>
    <w:p w:rsidR="002303DF" w:rsidRPr="00735690" w:rsidRDefault="00EE40FB" w:rsidP="00C8554F">
      <w:r w:rsidRPr="00735690">
        <w:rPr>
          <w:rFonts w:ascii="Calibri" w:hAnsi="Calibri" w:cs="Calibri"/>
        </w:rPr>
        <w:t>•</w:t>
      </w:r>
      <w:r w:rsidR="00735690">
        <w:t>Revenues down 70%-90% on average (Visit Seattle, 4-9-20)</w:t>
      </w:r>
    </w:p>
    <w:p w:rsidR="00EE40FB" w:rsidRPr="00735690" w:rsidRDefault="00EE40FB" w:rsidP="00C8554F"/>
    <w:p w:rsidR="00956B49" w:rsidRPr="00735690" w:rsidRDefault="00956B49" w:rsidP="00C8554F">
      <w:pPr>
        <w:rPr>
          <w:u w:val="single"/>
        </w:rPr>
      </w:pPr>
      <w:r w:rsidRPr="00735690">
        <w:rPr>
          <w:u w:val="single"/>
        </w:rPr>
        <w:t>Restaurants</w:t>
      </w:r>
    </w:p>
    <w:p w:rsidR="00956B49" w:rsidRPr="00735690" w:rsidRDefault="009072EE" w:rsidP="00EE40FB">
      <w:pPr>
        <w:rPr>
          <w:u w:val="single"/>
        </w:rPr>
      </w:pPr>
      <w:r w:rsidRPr="00735690">
        <w:rPr>
          <w:rFonts w:ascii="Calibri" w:hAnsi="Calibri" w:cs="Calibri"/>
        </w:rPr>
        <w:t>•</w:t>
      </w:r>
      <w:r w:rsidR="00735690">
        <w:rPr>
          <w:rFonts w:ascii="Calibri" w:hAnsi="Calibri" w:cs="Calibri"/>
        </w:rPr>
        <w:t>Mod Pizza expects the impacts of covid to affect their business for one to two years (PSBJ, 4-15-20)</w:t>
      </w:r>
    </w:p>
    <w:p w:rsidR="00BA7212" w:rsidRPr="004E3F98" w:rsidRDefault="00BA7212" w:rsidP="00C8554F">
      <w:pPr>
        <w:rPr>
          <w:highlight w:val="yellow"/>
          <w:u w:val="single"/>
        </w:rPr>
      </w:pPr>
    </w:p>
    <w:p w:rsidR="00EE40FB" w:rsidRPr="006D6636" w:rsidRDefault="00EE40FB" w:rsidP="00C8554F">
      <w:pPr>
        <w:rPr>
          <w:u w:val="single"/>
        </w:rPr>
      </w:pPr>
      <w:r w:rsidRPr="006D6636">
        <w:rPr>
          <w:u w:val="single"/>
        </w:rPr>
        <w:t>Tourism</w:t>
      </w:r>
    </w:p>
    <w:p w:rsidR="00EE40FB" w:rsidRPr="006D6636" w:rsidRDefault="00EE40FB" w:rsidP="00EE40FB">
      <w:pPr>
        <w:rPr>
          <w:rFonts w:ascii="Calibri" w:hAnsi="Calibri" w:cs="Calibri"/>
        </w:rPr>
      </w:pPr>
      <w:r w:rsidRPr="006D6636">
        <w:rPr>
          <w:rFonts w:ascii="Calibri" w:hAnsi="Calibri" w:cs="Calibri"/>
        </w:rPr>
        <w:t>•Daily passengers departing Sea-Tac down 9</w:t>
      </w:r>
      <w:r w:rsidR="006D6636">
        <w:rPr>
          <w:rFonts w:ascii="Calibri" w:hAnsi="Calibri" w:cs="Calibri"/>
        </w:rPr>
        <w:t>4</w:t>
      </w:r>
      <w:r w:rsidRPr="006D6636">
        <w:rPr>
          <w:rFonts w:ascii="Calibri" w:hAnsi="Calibri" w:cs="Calibri"/>
        </w:rPr>
        <w:t>% compared with same period</w:t>
      </w:r>
      <w:r w:rsidR="006D6636">
        <w:rPr>
          <w:rFonts w:ascii="Calibri" w:hAnsi="Calibri" w:cs="Calibri"/>
        </w:rPr>
        <w:t xml:space="preserve"> last year (Port of Seattle, 4-15</w:t>
      </w:r>
      <w:r w:rsidRPr="006D6636">
        <w:rPr>
          <w:rFonts w:ascii="Calibri" w:hAnsi="Calibri" w:cs="Calibri"/>
        </w:rPr>
        <w:t>-20)</w:t>
      </w:r>
    </w:p>
    <w:p w:rsidR="00E952E6" w:rsidRPr="004E3F98" w:rsidRDefault="00E952E6" w:rsidP="00C8554F">
      <w:pPr>
        <w:rPr>
          <w:highlight w:val="yellow"/>
          <w:u w:val="single"/>
        </w:rPr>
      </w:pPr>
    </w:p>
    <w:p w:rsidR="002303DF" w:rsidRPr="006D6636" w:rsidRDefault="002303DF" w:rsidP="00C8554F">
      <w:pPr>
        <w:rPr>
          <w:u w:val="single"/>
        </w:rPr>
      </w:pPr>
      <w:r w:rsidRPr="006D6636">
        <w:rPr>
          <w:u w:val="single"/>
        </w:rPr>
        <w:t>Airlines</w:t>
      </w:r>
      <w:r w:rsidR="008E2488" w:rsidRPr="006D6636">
        <w:rPr>
          <w:u w:val="single"/>
        </w:rPr>
        <w:t>/Trade</w:t>
      </w:r>
      <w:r w:rsidR="006D6636" w:rsidRPr="006D6636">
        <w:rPr>
          <w:u w:val="single"/>
        </w:rPr>
        <w:t xml:space="preserve"> </w:t>
      </w:r>
    </w:p>
    <w:p w:rsidR="000351C3" w:rsidRPr="006D6636" w:rsidRDefault="00FE121C" w:rsidP="00FE121C">
      <w:pPr>
        <w:rPr>
          <w:rFonts w:ascii="Calibri" w:hAnsi="Calibri" w:cs="Calibri"/>
        </w:rPr>
      </w:pPr>
      <w:r w:rsidRPr="006D6636">
        <w:rPr>
          <w:rFonts w:ascii="Calibri" w:hAnsi="Calibri" w:cs="Calibri"/>
        </w:rPr>
        <w:t>•</w:t>
      </w:r>
      <w:r w:rsidR="006D6636">
        <w:rPr>
          <w:rFonts w:ascii="Calibri" w:hAnsi="Calibri" w:cs="Calibri"/>
        </w:rPr>
        <w:t>Container volumes down 21.6% yoy in March at Seattle and Tacoma ports</w:t>
      </w:r>
      <w:r w:rsidR="000351C3" w:rsidRPr="006D6636">
        <w:rPr>
          <w:rFonts w:ascii="Calibri" w:hAnsi="Calibri" w:cs="Calibri"/>
        </w:rPr>
        <w:t xml:space="preserve"> (P</w:t>
      </w:r>
      <w:r w:rsidR="00C22E74">
        <w:rPr>
          <w:rFonts w:ascii="Calibri" w:hAnsi="Calibri" w:cs="Calibri"/>
        </w:rPr>
        <w:t>ort of Seattle</w:t>
      </w:r>
      <w:r w:rsidR="000351C3" w:rsidRPr="006D6636">
        <w:rPr>
          <w:rFonts w:ascii="Calibri" w:hAnsi="Calibri" w:cs="Calibri"/>
        </w:rPr>
        <w:t>, 4-</w:t>
      </w:r>
      <w:r w:rsidR="00C22E74">
        <w:rPr>
          <w:rFonts w:ascii="Calibri" w:hAnsi="Calibri" w:cs="Calibri"/>
        </w:rPr>
        <w:t>15</w:t>
      </w:r>
      <w:r w:rsidR="000351C3" w:rsidRPr="006D6636">
        <w:rPr>
          <w:rFonts w:ascii="Calibri" w:hAnsi="Calibri" w:cs="Calibri"/>
        </w:rPr>
        <w:t>-20)</w:t>
      </w:r>
    </w:p>
    <w:p w:rsidR="002303DF" w:rsidRPr="004E3F98" w:rsidRDefault="002303DF" w:rsidP="00C8554F">
      <w:pPr>
        <w:rPr>
          <w:highlight w:val="yellow"/>
        </w:rPr>
      </w:pPr>
    </w:p>
    <w:p w:rsidR="002303DF" w:rsidRPr="005C160F" w:rsidRDefault="002303DF" w:rsidP="00C8554F">
      <w:pPr>
        <w:rPr>
          <w:u w:val="single"/>
        </w:rPr>
      </w:pPr>
      <w:r w:rsidRPr="005C160F">
        <w:rPr>
          <w:u w:val="single"/>
        </w:rPr>
        <w:t>Real Estate</w:t>
      </w:r>
    </w:p>
    <w:p w:rsidR="005C160F" w:rsidRDefault="00FE121C" w:rsidP="00FE121C">
      <w:pPr>
        <w:rPr>
          <w:rFonts w:ascii="Calibri" w:hAnsi="Calibri" w:cs="Calibri"/>
        </w:rPr>
      </w:pPr>
      <w:r w:rsidRPr="005C160F">
        <w:rPr>
          <w:rFonts w:ascii="Calibri" w:hAnsi="Calibri" w:cs="Calibri"/>
        </w:rPr>
        <w:t>•</w:t>
      </w:r>
      <w:r w:rsidR="00B42431">
        <w:rPr>
          <w:rFonts w:ascii="Calibri" w:hAnsi="Calibri" w:cs="Calibri"/>
        </w:rPr>
        <w:t>A</w:t>
      </w:r>
      <w:r w:rsidR="005C160F" w:rsidRPr="005C160F">
        <w:rPr>
          <w:rFonts w:ascii="Calibri" w:hAnsi="Calibri" w:cs="Calibri"/>
        </w:rPr>
        <w:t xml:space="preserve"> 20% drop in </w:t>
      </w:r>
      <w:r w:rsidR="00B42431">
        <w:rPr>
          <w:rFonts w:ascii="Calibri" w:hAnsi="Calibri" w:cs="Calibri"/>
        </w:rPr>
        <w:t xml:space="preserve">daily </w:t>
      </w:r>
      <w:r w:rsidR="005C160F" w:rsidRPr="005C160F">
        <w:rPr>
          <w:rFonts w:ascii="Calibri" w:hAnsi="Calibri" w:cs="Calibri"/>
        </w:rPr>
        <w:t>new listings</w:t>
      </w:r>
      <w:r w:rsidR="00B42431">
        <w:rPr>
          <w:rFonts w:ascii="Calibri" w:hAnsi="Calibri" w:cs="Calibri"/>
        </w:rPr>
        <w:t xml:space="preserve"> in early April</w:t>
      </w:r>
      <w:r w:rsidR="005C160F" w:rsidRPr="005C160F">
        <w:rPr>
          <w:rFonts w:ascii="Calibri" w:hAnsi="Calibri" w:cs="Calibri"/>
        </w:rPr>
        <w:t xml:space="preserve"> (PSBJ, 4-9-20)</w:t>
      </w:r>
    </w:p>
    <w:p w:rsidR="005C160F" w:rsidRDefault="005C160F" w:rsidP="00FE121C">
      <w:pPr>
        <w:rPr>
          <w:rFonts w:ascii="Calibri" w:hAnsi="Calibri" w:cs="Calibri"/>
        </w:rPr>
      </w:pPr>
      <w:r>
        <w:rPr>
          <w:rFonts w:ascii="Calibri" w:hAnsi="Calibri" w:cs="Calibri"/>
        </w:rPr>
        <w:t>•Moody’s says sales will fall 25% below targets this year (PSBJ, 4-9-20)</w:t>
      </w:r>
    </w:p>
    <w:p w:rsidR="002101A7" w:rsidRDefault="002101A7" w:rsidP="00FE121C">
      <w:pPr>
        <w:rPr>
          <w:rFonts w:ascii="Calibri" w:hAnsi="Calibri" w:cs="Calibri"/>
        </w:rPr>
      </w:pPr>
      <w:r>
        <w:rPr>
          <w:rFonts w:ascii="Calibri" w:hAnsi="Calibri" w:cs="Calibri"/>
        </w:rPr>
        <w:t>•MF housing council says 69% of renters paid by April 5 vs. 82% a year prior</w:t>
      </w:r>
      <w:r w:rsidR="00B42431">
        <w:rPr>
          <w:rFonts w:ascii="Calibri" w:hAnsi="Calibri" w:cs="Calibri"/>
        </w:rPr>
        <w:t xml:space="preserve"> (PSBJ, 4-9-20)</w:t>
      </w:r>
    </w:p>
    <w:p w:rsidR="008F59C9" w:rsidRPr="004E3F98" w:rsidRDefault="008F59C9" w:rsidP="00C8554F">
      <w:pPr>
        <w:rPr>
          <w:highlight w:val="yellow"/>
          <w:u w:val="single"/>
        </w:rPr>
      </w:pPr>
    </w:p>
    <w:p w:rsidR="00E8421C" w:rsidRPr="00735690" w:rsidRDefault="00E8421C" w:rsidP="00C8554F">
      <w:pPr>
        <w:rPr>
          <w:u w:val="single"/>
        </w:rPr>
      </w:pPr>
      <w:r w:rsidRPr="00735690">
        <w:rPr>
          <w:u w:val="single"/>
        </w:rPr>
        <w:t>Employment</w:t>
      </w:r>
    </w:p>
    <w:p w:rsidR="00FE619F" w:rsidRDefault="00735690" w:rsidP="00C8554F">
      <w:pPr>
        <w:rPr>
          <w:rFonts w:ascii="Calibri" w:hAnsi="Calibri" w:cs="Calibri"/>
        </w:rPr>
      </w:pPr>
      <w:r w:rsidRPr="00735690">
        <w:rPr>
          <w:rFonts w:ascii="Calibri" w:hAnsi="Calibri" w:cs="Calibri"/>
        </w:rPr>
        <w:t>•N/A</w:t>
      </w:r>
    </w:p>
    <w:p w:rsidR="00735690" w:rsidRPr="00735690" w:rsidRDefault="00735690" w:rsidP="00C8554F">
      <w:pPr>
        <w:rPr>
          <w:rFonts w:ascii="Calibri" w:hAnsi="Calibri" w:cs="Calibri"/>
        </w:rPr>
      </w:pPr>
    </w:p>
    <w:p w:rsidR="00FE619F" w:rsidRPr="0016296C" w:rsidRDefault="0016296C" w:rsidP="00C8554F">
      <w:pPr>
        <w:rPr>
          <w:rFonts w:ascii="Calibri" w:hAnsi="Calibri" w:cs="Calibri"/>
          <w:u w:val="single"/>
        </w:rPr>
      </w:pPr>
      <w:r w:rsidRPr="0016296C">
        <w:rPr>
          <w:rFonts w:ascii="Calibri" w:hAnsi="Calibri" w:cs="Calibri"/>
          <w:u w:val="single"/>
        </w:rPr>
        <w:t>State/</w:t>
      </w:r>
      <w:r w:rsidR="00FE619F" w:rsidRPr="0016296C">
        <w:rPr>
          <w:rFonts w:ascii="Calibri" w:hAnsi="Calibri" w:cs="Calibri"/>
          <w:u w:val="single"/>
        </w:rPr>
        <w:t>Municipal Governments</w:t>
      </w:r>
    </w:p>
    <w:p w:rsidR="0016296C" w:rsidRPr="0016296C" w:rsidRDefault="00FE619F" w:rsidP="00FE619F">
      <w:pPr>
        <w:rPr>
          <w:rFonts w:ascii="Calibri" w:hAnsi="Calibri" w:cs="Calibri"/>
        </w:rPr>
      </w:pPr>
      <w:r w:rsidRPr="0016296C">
        <w:rPr>
          <w:rFonts w:ascii="Calibri" w:hAnsi="Calibri" w:cs="Calibri"/>
        </w:rPr>
        <w:t>•</w:t>
      </w:r>
      <w:r w:rsidR="0016296C" w:rsidRPr="0016296C">
        <w:rPr>
          <w:rFonts w:ascii="Calibri" w:hAnsi="Calibri" w:cs="Calibri"/>
        </w:rPr>
        <w:t xml:space="preserve">WA OFM memo to </w:t>
      </w:r>
      <w:r w:rsidR="0079676F">
        <w:rPr>
          <w:rFonts w:ascii="Calibri" w:hAnsi="Calibri" w:cs="Calibri"/>
        </w:rPr>
        <w:t>agency heads</w:t>
      </w:r>
      <w:r w:rsidR="0016296C" w:rsidRPr="0016296C">
        <w:rPr>
          <w:rFonts w:ascii="Calibri" w:hAnsi="Calibri" w:cs="Calibri"/>
        </w:rPr>
        <w:t xml:space="preserve"> and higher education leaders asked for sea</w:t>
      </w:r>
      <w:r w:rsidR="0079676F">
        <w:rPr>
          <w:rFonts w:ascii="Calibri" w:hAnsi="Calibri" w:cs="Calibri"/>
        </w:rPr>
        <w:t>r</w:t>
      </w:r>
      <w:r w:rsidR="0016296C" w:rsidRPr="0016296C">
        <w:rPr>
          <w:rFonts w:ascii="Calibri" w:hAnsi="Calibri" w:cs="Calibri"/>
        </w:rPr>
        <w:t>ch</w:t>
      </w:r>
      <w:r w:rsidR="0079676F">
        <w:rPr>
          <w:rFonts w:ascii="Calibri" w:hAnsi="Calibri" w:cs="Calibri"/>
        </w:rPr>
        <w:t>e</w:t>
      </w:r>
      <w:r w:rsidR="0016296C" w:rsidRPr="0016296C">
        <w:rPr>
          <w:rFonts w:ascii="Calibri" w:hAnsi="Calibri" w:cs="Calibri"/>
        </w:rPr>
        <w:t>s into how to reduce expenditures via items like reducing or delaying programs and identifying ways to reduce budget</w:t>
      </w:r>
      <w:r w:rsidR="0079676F">
        <w:rPr>
          <w:rFonts w:ascii="Calibri" w:hAnsi="Calibri" w:cs="Calibri"/>
        </w:rPr>
        <w:t>s</w:t>
      </w:r>
      <w:r w:rsidR="0016296C" w:rsidRPr="0016296C">
        <w:rPr>
          <w:rFonts w:ascii="Calibri" w:hAnsi="Calibri" w:cs="Calibri"/>
        </w:rPr>
        <w:t xml:space="preserve"> which may be required</w:t>
      </w:r>
      <w:r w:rsidR="0079676F">
        <w:rPr>
          <w:rFonts w:ascii="Calibri" w:hAnsi="Calibri" w:cs="Calibri"/>
        </w:rPr>
        <w:t xml:space="preserve"> </w:t>
      </w:r>
      <w:r w:rsidR="0016296C" w:rsidRPr="0016296C">
        <w:rPr>
          <w:rFonts w:ascii="Calibri" w:hAnsi="Calibri" w:cs="Calibri"/>
        </w:rPr>
        <w:t>in the future (OFM Director Schumacher, 4-14-20)</w:t>
      </w:r>
    </w:p>
    <w:p w:rsidR="00E8421C" w:rsidRPr="004E3F98" w:rsidRDefault="00E8421C" w:rsidP="00C8554F">
      <w:pPr>
        <w:rPr>
          <w:highlight w:val="yellow"/>
          <w:u w:val="single"/>
        </w:rPr>
      </w:pPr>
    </w:p>
    <w:p w:rsidR="002303DF" w:rsidRPr="002101A7" w:rsidRDefault="002303DF" w:rsidP="00C8554F">
      <w:pPr>
        <w:rPr>
          <w:u w:val="single"/>
        </w:rPr>
      </w:pPr>
      <w:r w:rsidRPr="002101A7">
        <w:rPr>
          <w:u w:val="single"/>
        </w:rPr>
        <w:t>Other</w:t>
      </w:r>
    </w:p>
    <w:p w:rsidR="00421094" w:rsidRPr="00C03B1F" w:rsidRDefault="00F7681B" w:rsidP="00735690">
      <w:pPr>
        <w:rPr>
          <w:rFonts w:ascii="Calibri" w:hAnsi="Calibri" w:cs="Calibri"/>
        </w:rPr>
      </w:pPr>
      <w:r w:rsidRPr="002101A7">
        <w:rPr>
          <w:rFonts w:ascii="Calibri" w:hAnsi="Calibri" w:cs="Calibri"/>
        </w:rPr>
        <w:t>•</w:t>
      </w:r>
      <w:r w:rsidR="00CE4CAE" w:rsidRPr="002101A7">
        <w:rPr>
          <w:rFonts w:ascii="Calibri" w:hAnsi="Calibri" w:cs="Calibri"/>
        </w:rPr>
        <w:t>Healthpoint Dental Centers losing $1M/month they are closed (</w:t>
      </w:r>
      <w:r w:rsidR="002101A7" w:rsidRPr="002101A7">
        <w:rPr>
          <w:rFonts w:ascii="Calibri" w:hAnsi="Calibri" w:cs="Calibri"/>
        </w:rPr>
        <w:t>PSBJ, 4-8-20)</w:t>
      </w:r>
      <w:bookmarkStart w:id="0" w:name="_GoBack"/>
      <w:bookmarkEnd w:id="0"/>
    </w:p>
    <w:sectPr w:rsidR="00421094" w:rsidRPr="00C03B1F" w:rsidSect="009F51D4">
      <w:headerReference w:type="default" r:id="rId9"/>
      <w:footerReference w:type="even" r:id="rId10"/>
      <w:footerReference w:type="default" r:id="rId11"/>
      <w:headerReference w:type="first" r:id="rId12"/>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4639">
      <w:rPr>
        <w:rStyle w:val="PageNumber"/>
        <w:noProof/>
      </w:rPr>
      <w:t>5</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976BB4">
      <w:t>6</w:t>
    </w:r>
  </w:p>
  <w:p w:rsidR="00F74303" w:rsidRDefault="00E85884">
    <w:pPr>
      <w:pStyle w:val="Header"/>
    </w:pPr>
    <w:r>
      <w:t xml:space="preserve">April </w:t>
    </w:r>
    <w:r w:rsidR="00976BB4">
      <w:t>16</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304639">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16"/>
  </w:num>
  <w:num w:numId="5">
    <w:abstractNumId w:val="0"/>
  </w:num>
  <w:num w:numId="6">
    <w:abstractNumId w:val="1"/>
  </w:num>
  <w:num w:numId="7">
    <w:abstractNumId w:val="2"/>
  </w:num>
  <w:num w:numId="8">
    <w:abstractNumId w:val="7"/>
  </w:num>
  <w:num w:numId="9">
    <w:abstractNumId w:val="4"/>
  </w:num>
  <w:num w:numId="10">
    <w:abstractNumId w:val="5"/>
  </w:num>
  <w:num w:numId="11">
    <w:abstractNumId w:val="8"/>
  </w:num>
  <w:num w:numId="12">
    <w:abstractNumId w:val="12"/>
  </w:num>
  <w:num w:numId="13">
    <w:abstractNumId w:val="3"/>
  </w:num>
  <w:num w:numId="14">
    <w:abstractNumId w:val="6"/>
  </w:num>
  <w:num w:numId="15">
    <w:abstractNumId w:val="1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34849"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33BD"/>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1C3"/>
    <w:rsid w:val="00035675"/>
    <w:rsid w:val="0003668A"/>
    <w:rsid w:val="0003686A"/>
    <w:rsid w:val="00036DF4"/>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0FDA"/>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2AC6"/>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6BF"/>
    <w:rsid w:val="000B6B3F"/>
    <w:rsid w:val="000B6D10"/>
    <w:rsid w:val="000B6D75"/>
    <w:rsid w:val="000B76BF"/>
    <w:rsid w:val="000B7B33"/>
    <w:rsid w:val="000C00B3"/>
    <w:rsid w:val="000C00E7"/>
    <w:rsid w:val="000C08D8"/>
    <w:rsid w:val="000C101D"/>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14CB"/>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E4A"/>
    <w:rsid w:val="000E1EA8"/>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A30"/>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96C"/>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561"/>
    <w:rsid w:val="00180733"/>
    <w:rsid w:val="00180CE7"/>
    <w:rsid w:val="00181689"/>
    <w:rsid w:val="00181F63"/>
    <w:rsid w:val="001821CD"/>
    <w:rsid w:val="00183044"/>
    <w:rsid w:val="00183198"/>
    <w:rsid w:val="00183BF0"/>
    <w:rsid w:val="00183FE7"/>
    <w:rsid w:val="00184134"/>
    <w:rsid w:val="00184F48"/>
    <w:rsid w:val="0018712A"/>
    <w:rsid w:val="001872FD"/>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6C1"/>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D652B"/>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01A7"/>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8A2"/>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4D65"/>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8"/>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E93"/>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639"/>
    <w:rsid w:val="003048FB"/>
    <w:rsid w:val="00304C50"/>
    <w:rsid w:val="00304F15"/>
    <w:rsid w:val="00304F2F"/>
    <w:rsid w:val="00304FE2"/>
    <w:rsid w:val="0030510C"/>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5F77"/>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0F5"/>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153"/>
    <w:rsid w:val="003367D5"/>
    <w:rsid w:val="00337440"/>
    <w:rsid w:val="00337618"/>
    <w:rsid w:val="00337DD4"/>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2E91"/>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6018"/>
    <w:rsid w:val="003C60B9"/>
    <w:rsid w:val="003C6173"/>
    <w:rsid w:val="003C6428"/>
    <w:rsid w:val="003C65B8"/>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56CE"/>
    <w:rsid w:val="004161B0"/>
    <w:rsid w:val="004167EA"/>
    <w:rsid w:val="0041732D"/>
    <w:rsid w:val="004201D0"/>
    <w:rsid w:val="00420242"/>
    <w:rsid w:val="00420986"/>
    <w:rsid w:val="00420D31"/>
    <w:rsid w:val="00421094"/>
    <w:rsid w:val="004214EA"/>
    <w:rsid w:val="0042172F"/>
    <w:rsid w:val="00421D97"/>
    <w:rsid w:val="00422058"/>
    <w:rsid w:val="00422B46"/>
    <w:rsid w:val="004239F8"/>
    <w:rsid w:val="00424153"/>
    <w:rsid w:val="00424473"/>
    <w:rsid w:val="00424815"/>
    <w:rsid w:val="004249A4"/>
    <w:rsid w:val="004252D3"/>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0FD"/>
    <w:rsid w:val="0043562B"/>
    <w:rsid w:val="004356EF"/>
    <w:rsid w:val="00435915"/>
    <w:rsid w:val="004363AF"/>
    <w:rsid w:val="00436B13"/>
    <w:rsid w:val="00436B7B"/>
    <w:rsid w:val="00436D16"/>
    <w:rsid w:val="00436DB7"/>
    <w:rsid w:val="00436DDB"/>
    <w:rsid w:val="00436E8B"/>
    <w:rsid w:val="004370BF"/>
    <w:rsid w:val="00437DAB"/>
    <w:rsid w:val="00440891"/>
    <w:rsid w:val="00440930"/>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859"/>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7CB"/>
    <w:rsid w:val="004E1A78"/>
    <w:rsid w:val="004E1D3C"/>
    <w:rsid w:val="004E1D50"/>
    <w:rsid w:val="004E2A26"/>
    <w:rsid w:val="004E3F98"/>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69F"/>
    <w:rsid w:val="004F1B7C"/>
    <w:rsid w:val="004F1F19"/>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A0"/>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298"/>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160F"/>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140D"/>
    <w:rsid w:val="005E153A"/>
    <w:rsid w:val="005E1883"/>
    <w:rsid w:val="005E19A0"/>
    <w:rsid w:val="005E1BDA"/>
    <w:rsid w:val="005E27E7"/>
    <w:rsid w:val="005E2875"/>
    <w:rsid w:val="005E2972"/>
    <w:rsid w:val="005E35EC"/>
    <w:rsid w:val="005E3BBA"/>
    <w:rsid w:val="005E413E"/>
    <w:rsid w:val="005E54C1"/>
    <w:rsid w:val="005E5FDF"/>
    <w:rsid w:val="005E6636"/>
    <w:rsid w:val="005E69DC"/>
    <w:rsid w:val="005E715A"/>
    <w:rsid w:val="005E75FD"/>
    <w:rsid w:val="005E7652"/>
    <w:rsid w:val="005F01D9"/>
    <w:rsid w:val="005F114A"/>
    <w:rsid w:val="005F1F8B"/>
    <w:rsid w:val="005F253D"/>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3800"/>
    <w:rsid w:val="00675CEA"/>
    <w:rsid w:val="006760BE"/>
    <w:rsid w:val="0067682A"/>
    <w:rsid w:val="00676985"/>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6636"/>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249"/>
    <w:rsid w:val="00715315"/>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5690"/>
    <w:rsid w:val="00736161"/>
    <w:rsid w:val="00737DA8"/>
    <w:rsid w:val="00737F37"/>
    <w:rsid w:val="007404AC"/>
    <w:rsid w:val="00740EDC"/>
    <w:rsid w:val="00741878"/>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6EC"/>
    <w:rsid w:val="00777BEB"/>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3E2"/>
    <w:rsid w:val="00787A94"/>
    <w:rsid w:val="007907A8"/>
    <w:rsid w:val="00790A20"/>
    <w:rsid w:val="007910E1"/>
    <w:rsid w:val="00791FFA"/>
    <w:rsid w:val="0079293D"/>
    <w:rsid w:val="0079313A"/>
    <w:rsid w:val="00793A7D"/>
    <w:rsid w:val="00794630"/>
    <w:rsid w:val="00794786"/>
    <w:rsid w:val="00794D17"/>
    <w:rsid w:val="0079676F"/>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A7C18"/>
    <w:rsid w:val="007B02F3"/>
    <w:rsid w:val="007B0647"/>
    <w:rsid w:val="007B069D"/>
    <w:rsid w:val="007B0757"/>
    <w:rsid w:val="007B0B3E"/>
    <w:rsid w:val="007B0E14"/>
    <w:rsid w:val="007B1C0D"/>
    <w:rsid w:val="007B2270"/>
    <w:rsid w:val="007B4568"/>
    <w:rsid w:val="007B5810"/>
    <w:rsid w:val="007B612B"/>
    <w:rsid w:val="007B6355"/>
    <w:rsid w:val="007B669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BD5"/>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53"/>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5BD"/>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006"/>
    <w:rsid w:val="008A72F1"/>
    <w:rsid w:val="008B01F9"/>
    <w:rsid w:val="008B1482"/>
    <w:rsid w:val="008B1826"/>
    <w:rsid w:val="008B195E"/>
    <w:rsid w:val="008B22F8"/>
    <w:rsid w:val="008B24F3"/>
    <w:rsid w:val="008B2FDC"/>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67FAF"/>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6BB4"/>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FFF"/>
    <w:rsid w:val="009A3518"/>
    <w:rsid w:val="009A424D"/>
    <w:rsid w:val="009A45BA"/>
    <w:rsid w:val="009A4F2D"/>
    <w:rsid w:val="009A51F6"/>
    <w:rsid w:val="009A59C7"/>
    <w:rsid w:val="009A5B08"/>
    <w:rsid w:val="009A6006"/>
    <w:rsid w:val="009A6E44"/>
    <w:rsid w:val="009B01D9"/>
    <w:rsid w:val="009B09B0"/>
    <w:rsid w:val="009B09E7"/>
    <w:rsid w:val="009B0A72"/>
    <w:rsid w:val="009B0AAA"/>
    <w:rsid w:val="009B1409"/>
    <w:rsid w:val="009B1548"/>
    <w:rsid w:val="009B278B"/>
    <w:rsid w:val="009B3167"/>
    <w:rsid w:val="009B54BB"/>
    <w:rsid w:val="009B6099"/>
    <w:rsid w:val="009B6E94"/>
    <w:rsid w:val="009B70C8"/>
    <w:rsid w:val="009B7445"/>
    <w:rsid w:val="009B7C68"/>
    <w:rsid w:val="009C034E"/>
    <w:rsid w:val="009C036C"/>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96C"/>
    <w:rsid w:val="00A21C41"/>
    <w:rsid w:val="00A21FE9"/>
    <w:rsid w:val="00A2202A"/>
    <w:rsid w:val="00A22162"/>
    <w:rsid w:val="00A22479"/>
    <w:rsid w:val="00A231AE"/>
    <w:rsid w:val="00A23F10"/>
    <w:rsid w:val="00A25272"/>
    <w:rsid w:val="00A256EA"/>
    <w:rsid w:val="00A2751D"/>
    <w:rsid w:val="00A27689"/>
    <w:rsid w:val="00A276FB"/>
    <w:rsid w:val="00A27D63"/>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54C"/>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4F10"/>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7E2"/>
    <w:rsid w:val="00A71815"/>
    <w:rsid w:val="00A71EFB"/>
    <w:rsid w:val="00A728B2"/>
    <w:rsid w:val="00A737A2"/>
    <w:rsid w:val="00A748B9"/>
    <w:rsid w:val="00A74B83"/>
    <w:rsid w:val="00A75370"/>
    <w:rsid w:val="00A757C0"/>
    <w:rsid w:val="00A757F9"/>
    <w:rsid w:val="00A75BE3"/>
    <w:rsid w:val="00A75FC5"/>
    <w:rsid w:val="00A764A4"/>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01A"/>
    <w:rsid w:val="00AA326E"/>
    <w:rsid w:val="00AA32EE"/>
    <w:rsid w:val="00AA3D10"/>
    <w:rsid w:val="00AA46D6"/>
    <w:rsid w:val="00AA4C35"/>
    <w:rsid w:val="00AA5787"/>
    <w:rsid w:val="00AA5C8F"/>
    <w:rsid w:val="00AA6170"/>
    <w:rsid w:val="00AA63B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0CA"/>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2431"/>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916"/>
    <w:rsid w:val="00B62A11"/>
    <w:rsid w:val="00B6332C"/>
    <w:rsid w:val="00B63DA0"/>
    <w:rsid w:val="00B652DA"/>
    <w:rsid w:val="00B652E7"/>
    <w:rsid w:val="00B6533E"/>
    <w:rsid w:val="00B65983"/>
    <w:rsid w:val="00B65B03"/>
    <w:rsid w:val="00B65E49"/>
    <w:rsid w:val="00B66113"/>
    <w:rsid w:val="00B66A3F"/>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0D"/>
    <w:rsid w:val="00BA5A41"/>
    <w:rsid w:val="00BA6043"/>
    <w:rsid w:val="00BA6A37"/>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3F"/>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B1F"/>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5DCA"/>
    <w:rsid w:val="00C1620A"/>
    <w:rsid w:val="00C16231"/>
    <w:rsid w:val="00C162FF"/>
    <w:rsid w:val="00C1645C"/>
    <w:rsid w:val="00C16802"/>
    <w:rsid w:val="00C16AC2"/>
    <w:rsid w:val="00C20493"/>
    <w:rsid w:val="00C212CC"/>
    <w:rsid w:val="00C21355"/>
    <w:rsid w:val="00C22271"/>
    <w:rsid w:val="00C22880"/>
    <w:rsid w:val="00C22E74"/>
    <w:rsid w:val="00C2306C"/>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1F10"/>
    <w:rsid w:val="00C4280B"/>
    <w:rsid w:val="00C42A86"/>
    <w:rsid w:val="00C42AA8"/>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ED3"/>
    <w:rsid w:val="00CD37E8"/>
    <w:rsid w:val="00CD3D7D"/>
    <w:rsid w:val="00CD4695"/>
    <w:rsid w:val="00CD52A6"/>
    <w:rsid w:val="00CD5AA0"/>
    <w:rsid w:val="00CD6426"/>
    <w:rsid w:val="00CD674D"/>
    <w:rsid w:val="00CD78B0"/>
    <w:rsid w:val="00CE048F"/>
    <w:rsid w:val="00CE27F1"/>
    <w:rsid w:val="00CE296E"/>
    <w:rsid w:val="00CE2A45"/>
    <w:rsid w:val="00CE3C83"/>
    <w:rsid w:val="00CE4284"/>
    <w:rsid w:val="00CE438F"/>
    <w:rsid w:val="00CE4755"/>
    <w:rsid w:val="00CE4CAE"/>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974"/>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518"/>
    <w:rsid w:val="00D17DF9"/>
    <w:rsid w:val="00D20B35"/>
    <w:rsid w:val="00D2110E"/>
    <w:rsid w:val="00D2169A"/>
    <w:rsid w:val="00D21A6C"/>
    <w:rsid w:val="00D21F4E"/>
    <w:rsid w:val="00D2340F"/>
    <w:rsid w:val="00D23468"/>
    <w:rsid w:val="00D24697"/>
    <w:rsid w:val="00D25528"/>
    <w:rsid w:val="00D2570E"/>
    <w:rsid w:val="00D25FF5"/>
    <w:rsid w:val="00D261CB"/>
    <w:rsid w:val="00D26251"/>
    <w:rsid w:val="00D2665E"/>
    <w:rsid w:val="00D26668"/>
    <w:rsid w:val="00D268C6"/>
    <w:rsid w:val="00D302AB"/>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111E"/>
    <w:rsid w:val="00D52026"/>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E2A"/>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4389"/>
    <w:rsid w:val="00DF4AA0"/>
    <w:rsid w:val="00DF5019"/>
    <w:rsid w:val="00DF5688"/>
    <w:rsid w:val="00DF61E4"/>
    <w:rsid w:val="00DF669D"/>
    <w:rsid w:val="00DF6A17"/>
    <w:rsid w:val="00DF7196"/>
    <w:rsid w:val="00E01CAD"/>
    <w:rsid w:val="00E01ED8"/>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11"/>
    <w:rsid w:val="00E51028"/>
    <w:rsid w:val="00E51643"/>
    <w:rsid w:val="00E51C78"/>
    <w:rsid w:val="00E5206B"/>
    <w:rsid w:val="00E525EE"/>
    <w:rsid w:val="00E528B9"/>
    <w:rsid w:val="00E53ECA"/>
    <w:rsid w:val="00E54990"/>
    <w:rsid w:val="00E54F8E"/>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47A"/>
    <w:rsid w:val="00E67621"/>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9D"/>
    <w:rsid w:val="00E83050"/>
    <w:rsid w:val="00E8313B"/>
    <w:rsid w:val="00E8335F"/>
    <w:rsid w:val="00E836B5"/>
    <w:rsid w:val="00E84044"/>
    <w:rsid w:val="00E8421C"/>
    <w:rsid w:val="00E85884"/>
    <w:rsid w:val="00E85906"/>
    <w:rsid w:val="00E864F0"/>
    <w:rsid w:val="00E8768A"/>
    <w:rsid w:val="00E90FF5"/>
    <w:rsid w:val="00E91E5C"/>
    <w:rsid w:val="00E92673"/>
    <w:rsid w:val="00E92EAD"/>
    <w:rsid w:val="00E931C1"/>
    <w:rsid w:val="00E93BE0"/>
    <w:rsid w:val="00E94273"/>
    <w:rsid w:val="00E94543"/>
    <w:rsid w:val="00E94B15"/>
    <w:rsid w:val="00E94C96"/>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5AA3"/>
    <w:rsid w:val="00EA612D"/>
    <w:rsid w:val="00EA673F"/>
    <w:rsid w:val="00EA6B13"/>
    <w:rsid w:val="00EA6D45"/>
    <w:rsid w:val="00EA6DAD"/>
    <w:rsid w:val="00EA700C"/>
    <w:rsid w:val="00EB1872"/>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7458"/>
    <w:rsid w:val="00ED78AE"/>
    <w:rsid w:val="00EE03F5"/>
    <w:rsid w:val="00EE07AA"/>
    <w:rsid w:val="00EE0BBE"/>
    <w:rsid w:val="00EE1480"/>
    <w:rsid w:val="00EE241B"/>
    <w:rsid w:val="00EE2787"/>
    <w:rsid w:val="00EE2D86"/>
    <w:rsid w:val="00EE390B"/>
    <w:rsid w:val="00EE40F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375"/>
    <w:rsid w:val="00EF56DF"/>
    <w:rsid w:val="00EF5DFE"/>
    <w:rsid w:val="00EF6BD4"/>
    <w:rsid w:val="00EF6D41"/>
    <w:rsid w:val="00EF7973"/>
    <w:rsid w:val="00EF7AF6"/>
    <w:rsid w:val="00F006E8"/>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446"/>
    <w:rsid w:val="00F22E21"/>
    <w:rsid w:val="00F23269"/>
    <w:rsid w:val="00F238FB"/>
    <w:rsid w:val="00F247FF"/>
    <w:rsid w:val="00F24EBF"/>
    <w:rsid w:val="00F2533A"/>
    <w:rsid w:val="00F266F0"/>
    <w:rsid w:val="00F26C9E"/>
    <w:rsid w:val="00F26E06"/>
    <w:rsid w:val="00F2723F"/>
    <w:rsid w:val="00F30345"/>
    <w:rsid w:val="00F30B30"/>
    <w:rsid w:val="00F31B66"/>
    <w:rsid w:val="00F32439"/>
    <w:rsid w:val="00F32449"/>
    <w:rsid w:val="00F331B0"/>
    <w:rsid w:val="00F33419"/>
    <w:rsid w:val="00F3396F"/>
    <w:rsid w:val="00F33C3A"/>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F9A"/>
    <w:rsid w:val="00F4326E"/>
    <w:rsid w:val="00F4352A"/>
    <w:rsid w:val="00F43788"/>
    <w:rsid w:val="00F439BF"/>
    <w:rsid w:val="00F43BD0"/>
    <w:rsid w:val="00F43E4C"/>
    <w:rsid w:val="00F44A46"/>
    <w:rsid w:val="00F45381"/>
    <w:rsid w:val="00F45AA0"/>
    <w:rsid w:val="00F460F2"/>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18C4"/>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18224774">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31304258">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8552-2E8F-413A-9DD5-32E913BD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1309</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31</cp:revision>
  <cp:lastPrinted>2019-10-30T14:54:00Z</cp:lastPrinted>
  <dcterms:created xsi:type="dcterms:W3CDTF">2020-04-13T21:02:00Z</dcterms:created>
  <dcterms:modified xsi:type="dcterms:W3CDTF">2020-04-16T18:18:00Z</dcterms:modified>
</cp:coreProperties>
</file>